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1DA8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WHAT ACTORS AND ISSUES SHOULD THE COMPANY BE MONITORING IN ORDER TO ACCURATELY FORECAST FUTURE EVENTS, ACTIONS AND DECISIONS?</w:t>
      </w:r>
    </w:p>
    <w:p w14:paraId="62849D35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This question came up in the ZOOM on Friday and I wanted to frame the answer.</w:t>
      </w:r>
    </w:p>
    <w:p w14:paraId="148FD8AB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Go back to Module 7 in which we explored the question, “WHAT ACTORS AND ISSUES SHOULD THE COMPANY BE MONITORING?</w:t>
      </w:r>
    </w:p>
    <w:p w14:paraId="6D77C680" w14:textId="77777777" w:rsidR="00A61197" w:rsidRPr="00A61197" w:rsidRDefault="00A61197" w:rsidP="00A611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 If you can identify the key actors in the case other than the company,  you can speculate on how they will act as the future unfolds. </w:t>
      </w:r>
    </w:p>
    <w:p w14:paraId="2707070D" w14:textId="77777777" w:rsidR="00A61197" w:rsidRPr="00A61197" w:rsidRDefault="00A61197" w:rsidP="00A611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3A63C96" w14:textId="77777777" w:rsidR="00A61197" w:rsidRPr="00A61197" w:rsidRDefault="00A61197" w:rsidP="00A611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 If you can identify the key issues that underlie the case and of importance to the company and other actors, you can project how these issues will unfold.</w:t>
      </w:r>
    </w:p>
    <w:p w14:paraId="2B6F2F8B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637FB44C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As an example, in Case #7 issues unfolding would be:</w:t>
      </w:r>
    </w:p>
    <w:p w14:paraId="3534A86B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 regulations and industrial policy to require and incentivise the use of hydrogen in aviation</w:t>
      </w:r>
    </w:p>
    <w:p w14:paraId="402DDE6C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alternative fuels other than hydrogen</w:t>
      </w:r>
    </w:p>
    <w:p w14:paraId="3ABAAF00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Hydrogen availability worldwide</w:t>
      </w:r>
    </w:p>
    <w:p w14:paraId="26D85DB5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The building of airport infrastructure by local governments to support hydro-fueled aircraft.</w:t>
      </w:r>
    </w:p>
    <w:p w14:paraId="558F9FE6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Changing public perceptions about hydrogen</w:t>
      </w:r>
    </w:p>
    <w:p w14:paraId="01F62EC6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6D0AD7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Actors whose future actions and decisions would be:</w:t>
      </w:r>
    </w:p>
    <w:p w14:paraId="5E45BAB0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Airbus competitors like Boeing</w:t>
      </w:r>
    </w:p>
    <w:p w14:paraId="3417E7F3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000000"/>
          <w:sz w:val="24"/>
          <w:szCs w:val="24"/>
        </w:rPr>
        <w:t>Local airport authorities</w:t>
      </w:r>
    </w:p>
    <w:p w14:paraId="31D9FE03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European government Energy Transitions Commission (ETC)</w:t>
      </w:r>
    </w:p>
    <w:p w14:paraId="12F27ABB" w14:textId="77777777" w:rsidR="00A61197" w:rsidRPr="00A61197" w:rsidRDefault="00A61197" w:rsidP="00A611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61197">
        <w:rPr>
          <w:rFonts w:ascii="Times New Roman" w:eastAsia="Times New Roman" w:hAnsi="Times New Roman" w:cs="Times New Roman"/>
          <w:color w:val="26282A"/>
          <w:sz w:val="24"/>
          <w:szCs w:val="24"/>
        </w:rPr>
        <w:t>Zero Emission Development Centre (ZEDC)  (working to develop a “cost-competitive cryogenic fuel system”)</w:t>
      </w:r>
    </w:p>
    <w:p w14:paraId="792169EE" w14:textId="77777777" w:rsidR="00D57A09" w:rsidRDefault="00D57A09"/>
    <w:sectPr w:rsidR="00D5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97"/>
    <w:rsid w:val="000F5AF1"/>
    <w:rsid w:val="00890103"/>
    <w:rsid w:val="008C2391"/>
    <w:rsid w:val="00A61197"/>
    <w:rsid w:val="00D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1B16"/>
  <w15:chartTrackingRefBased/>
  <w15:docId w15:val="{2FAB2238-DE6A-4CF4-A6E2-4AC279F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99833176ydp88b792c3yiv1209391062ydp9bb28293msonormal">
    <w:name w:val="yiv3999833176ydp88b792c3yiv1209391062ydp9bb28293msonormal"/>
    <w:basedOn w:val="Normal"/>
    <w:rsid w:val="00A6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3</cp:revision>
  <dcterms:created xsi:type="dcterms:W3CDTF">2022-11-08T19:43:00Z</dcterms:created>
  <dcterms:modified xsi:type="dcterms:W3CDTF">2022-11-08T20:18:00Z</dcterms:modified>
</cp:coreProperties>
</file>