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D42" w:rsidRPr="00932C79" w:rsidRDefault="00900D42">
      <w:r w:rsidRPr="00932C79">
        <w:t>Zpětná vazba studujícím SOC284 ke druhému seminárnímu úkolu</w:t>
      </w:r>
    </w:p>
    <w:p w:rsidR="00900D42" w:rsidRPr="00932C79" w:rsidRDefault="00900D42">
      <w:r w:rsidRPr="00932C79">
        <w:t>18.10.2017</w:t>
      </w:r>
    </w:p>
    <w:p w:rsidR="00305A11" w:rsidRPr="00932C79" w:rsidRDefault="0091505C">
      <w:r w:rsidRPr="00932C79">
        <w:t>V</w:t>
      </w:r>
      <w:r w:rsidR="00900D42" w:rsidRPr="00932C79">
        <w:t xml:space="preserve">ážení studující, </w:t>
      </w:r>
    </w:p>
    <w:p w:rsidR="00900D42" w:rsidRPr="00932C79" w:rsidRDefault="00900D42">
      <w:r w:rsidRPr="00932C79">
        <w:t>děkuji všem, kteří včas odevzdali svědomitě splněný a zapsaný druhý seminární úkol.</w:t>
      </w:r>
      <w:r w:rsidR="0091505C" w:rsidRPr="00932C79">
        <w:t xml:space="preserve"> Z Vašich reflexí jsem vyčetla, že úkol splnil svůj cíl, tedy vyzkoušeli jste si formu mediální analýzy, podívali jste se na mediální svět „jinak než obvykle“ a pocvičili jste se ve vědeckém postupu zápisu provedených pozorování a analýz. Ve většině případů jste si také vyhledali aktuální věkové složení populace ČR a byli jste schopni jej adekvátně využít pro srovnání svých výsledků (samozřejmě omezených pro cvičné účely, jak správně řada z Vás podotkla v textu). Hodnocení jsem si v tomto seminárním úkolu rozdělila na pět </w:t>
      </w:r>
      <w:r w:rsidR="00840F4A">
        <w:t>částí</w:t>
      </w:r>
      <w:r w:rsidR="0091505C" w:rsidRPr="00932C79">
        <w:t>:</w:t>
      </w:r>
    </w:p>
    <w:p w:rsidR="0091505C" w:rsidRPr="00932C79" w:rsidRDefault="0091505C" w:rsidP="0091505C">
      <w:pPr>
        <w:pStyle w:val="Odstavecseseznamem"/>
        <w:numPr>
          <w:ilvl w:val="0"/>
          <w:numId w:val="1"/>
        </w:numPr>
      </w:pPr>
      <w:r w:rsidRPr="00932C79">
        <w:t xml:space="preserve">struktura, logika a úprava; </w:t>
      </w:r>
    </w:p>
    <w:p w:rsidR="0091505C" w:rsidRPr="00932C79" w:rsidRDefault="0091505C" w:rsidP="0091505C">
      <w:pPr>
        <w:pStyle w:val="Odstavecseseznamem"/>
        <w:numPr>
          <w:ilvl w:val="0"/>
          <w:numId w:val="1"/>
        </w:numPr>
      </w:pPr>
      <w:r w:rsidRPr="00932C79">
        <w:t xml:space="preserve">práce s daty ČSÚ; </w:t>
      </w:r>
    </w:p>
    <w:p w:rsidR="0091505C" w:rsidRPr="00932C79" w:rsidRDefault="0091505C" w:rsidP="0091505C">
      <w:pPr>
        <w:pStyle w:val="Odstavecseseznamem"/>
        <w:numPr>
          <w:ilvl w:val="0"/>
          <w:numId w:val="1"/>
        </w:numPr>
      </w:pPr>
      <w:r w:rsidRPr="00932C79">
        <w:t xml:space="preserve">stručný(!) zápis vlastního pozorování; </w:t>
      </w:r>
    </w:p>
    <w:p w:rsidR="0091505C" w:rsidRPr="00932C79" w:rsidRDefault="0091505C" w:rsidP="0091505C">
      <w:pPr>
        <w:pStyle w:val="Odstavecseseznamem"/>
        <w:numPr>
          <w:ilvl w:val="0"/>
          <w:numId w:val="1"/>
        </w:numPr>
      </w:pPr>
      <w:r w:rsidRPr="00932C79">
        <w:t>splněný rozsah;</w:t>
      </w:r>
    </w:p>
    <w:p w:rsidR="0091505C" w:rsidRPr="00932C79" w:rsidRDefault="0091505C" w:rsidP="0091505C">
      <w:pPr>
        <w:pStyle w:val="Odstavecseseznamem"/>
        <w:numPr>
          <w:ilvl w:val="0"/>
          <w:numId w:val="1"/>
        </w:numPr>
      </w:pPr>
      <w:r w:rsidRPr="00932C79">
        <w:t xml:space="preserve">reflexe </w:t>
      </w:r>
    </w:p>
    <w:p w:rsidR="0091505C" w:rsidRPr="00932C79" w:rsidRDefault="0091505C">
      <w:r w:rsidRPr="00932C79">
        <w:t xml:space="preserve">Pokud jste neobdrželi plný počet bodů shledala jsem pochybení v některém z těchto výše uvedených aspektů. Fakticky jsem tak hodnotila dodržení zadání, nikoliv Vaše postoje k tématu. Níže shrnuji některá doporučení proto, aby další zpracování tématu bylo ještě lepší než to současné. Připomínám ovšem, že řada těchto postupů a informací je součástí </w:t>
      </w:r>
      <w:proofErr w:type="spellStart"/>
      <w:r w:rsidRPr="00932C79">
        <w:t>Power</w:t>
      </w:r>
      <w:proofErr w:type="spellEnd"/>
      <w:r w:rsidRPr="00932C79">
        <w:t xml:space="preserve"> Pointových prezentací z přednášek, které jsou zavěšeny v </w:t>
      </w:r>
      <w:proofErr w:type="spellStart"/>
      <w:r w:rsidRPr="00932C79">
        <w:t>ISu</w:t>
      </w:r>
      <w:proofErr w:type="spellEnd"/>
      <w:r w:rsidRPr="00932C79">
        <w:t xml:space="preserve"> pro Vaše domácí studium.</w:t>
      </w:r>
    </w:p>
    <w:p w:rsidR="0091505C" w:rsidRPr="00932C79" w:rsidRDefault="00305A11">
      <w:r w:rsidRPr="00932C79">
        <w:t>Níže uvedené příklady jsou vykopírované anonymně z Vaši textů</w:t>
      </w:r>
      <w:r w:rsidR="00840F4A">
        <w:t xml:space="preserve"> (záměrně tedy porušuji pravidla citace)</w:t>
      </w:r>
      <w:r w:rsidRPr="00932C79">
        <w:t xml:space="preserve">. Jedná se o ilustrativní příklady ne právě ideálního zpracování, které se vyskytly opakovaně. Pokud tedy poznáváte svůj text, berte to prosím pouze tak, že jsem zrovna Vaši práci otevřela dříve než jinou. </w:t>
      </w:r>
    </w:p>
    <w:p w:rsidR="00305A11" w:rsidRPr="00932C79" w:rsidRDefault="00305A11">
      <w:pPr>
        <w:rPr>
          <w:b/>
        </w:rPr>
      </w:pPr>
      <w:r w:rsidRPr="00932C79">
        <w:rPr>
          <w:b/>
        </w:rPr>
        <w:t>Doporučení:</w:t>
      </w:r>
    </w:p>
    <w:p w:rsidR="00305A11" w:rsidRPr="00932C79" w:rsidRDefault="00305A11" w:rsidP="00305A11">
      <w:pPr>
        <w:pStyle w:val="Odstavecseseznamem"/>
        <w:numPr>
          <w:ilvl w:val="0"/>
          <w:numId w:val="2"/>
        </w:numPr>
        <w:rPr>
          <w:b/>
        </w:rPr>
      </w:pPr>
      <w:r w:rsidRPr="00932C79">
        <w:rPr>
          <w:b/>
        </w:rPr>
        <w:t>Generalizující, zkratkovitá tvrzení bez odkazu</w:t>
      </w:r>
      <w:r w:rsidR="00932C79">
        <w:rPr>
          <w:b/>
        </w:rPr>
        <w:t>; práce s jazykem</w:t>
      </w:r>
    </w:p>
    <w:p w:rsidR="00045230" w:rsidRPr="00932C79" w:rsidRDefault="00305A11">
      <w:r w:rsidRPr="00932C79">
        <w:t>„</w:t>
      </w:r>
      <w:r w:rsidR="00045230" w:rsidRPr="00932C79">
        <w:t>Na televizi se příliš často nedívám. Naše generace vlastně obecně téměř vůbec</w:t>
      </w:r>
      <w:r w:rsidRPr="00932C79">
        <w:t>.“</w:t>
      </w:r>
    </w:p>
    <w:p w:rsidR="00305A11" w:rsidRDefault="00305A11">
      <w:r w:rsidRPr="00932C79">
        <w:t>Nevydávejte</w:t>
      </w:r>
      <w:r w:rsidR="00840F4A">
        <w:t>,</w:t>
      </w:r>
      <w:r w:rsidRPr="00932C79">
        <w:t xml:space="preserve"> </w:t>
      </w:r>
      <w:proofErr w:type="gramStart"/>
      <w:r w:rsidRPr="00932C79">
        <w:t xml:space="preserve">prosím </w:t>
      </w:r>
      <w:r w:rsidR="00840F4A">
        <w:t>,</w:t>
      </w:r>
      <w:r w:rsidRPr="00932C79">
        <w:t>své</w:t>
      </w:r>
      <w:proofErr w:type="gramEnd"/>
      <w:r w:rsidRPr="00932C79">
        <w:t xml:space="preserve"> dojmy za obecně platná tvrzení. Pokud k tomu nemát</w:t>
      </w:r>
      <w:r w:rsidR="00840F4A">
        <w:t>e nějaké důkazy, a vycházíte jen</w:t>
      </w:r>
      <w:r w:rsidRPr="00932C79">
        <w:t xml:space="preserve"> z toho co se tak děje ve Vaší sociální bublině, ještě to nemusí odrážet „generaci“ obecně. Za každým takovým tvrzením by měl být odkaz na nějaký důkaz, anebo uvedeno „zdá se mi“. Takový úvod si ale můžeme dovolit v reflexi a slohových esejích, ne v odborných </w:t>
      </w:r>
      <w:r w:rsidR="00840F4A">
        <w:t xml:space="preserve">statích, jejichž produkci </w:t>
      </w:r>
      <w:r w:rsidRPr="00932C79">
        <w:t>zde nacvičujeme.</w:t>
      </w:r>
    </w:p>
    <w:p w:rsidR="00932C79" w:rsidRDefault="00932C79" w:rsidP="00932C79">
      <w:pPr>
        <w:rPr>
          <w:rFonts w:cs="Times New Roman"/>
        </w:rPr>
      </w:pPr>
      <w:r>
        <w:rPr>
          <w:rFonts w:cs="Times New Roman"/>
        </w:rPr>
        <w:t>„</w:t>
      </w:r>
      <w:r w:rsidRPr="00932C79">
        <w:rPr>
          <w:rFonts w:cs="Times New Roman"/>
        </w:rPr>
        <w:t>Pro sledování jsem pro analýzu sledování vycházel z dělení Českého statistického úřadu na 3 věkové kategorie – Méně než patnáct let, patnáct až šedesát čtyři let, a více jak 65 let. Dále také dělení podle pohlavní kategorie</w:t>
      </w:r>
      <w:r>
        <w:rPr>
          <w:rFonts w:cs="Times New Roman"/>
        </w:rPr>
        <w:t>“.</w:t>
      </w:r>
    </w:p>
    <w:p w:rsidR="00932C79" w:rsidRDefault="00932C79" w:rsidP="00932C79">
      <w:pPr>
        <w:pStyle w:val="Odstavecseseznamem"/>
        <w:numPr>
          <w:ilvl w:val="0"/>
          <w:numId w:val="3"/>
        </w:numPr>
        <w:rPr>
          <w:rFonts w:cs="Times New Roman"/>
        </w:rPr>
      </w:pPr>
      <w:r>
        <w:rPr>
          <w:rFonts w:cs="Times New Roman"/>
        </w:rPr>
        <w:t>Možná lépe kategorie pohlaví? Genderové kategorie?</w:t>
      </w:r>
    </w:p>
    <w:p w:rsidR="00932C79" w:rsidRDefault="00932C79" w:rsidP="00932C79">
      <w:pPr>
        <w:pStyle w:val="Odstavecseseznamem"/>
        <w:numPr>
          <w:ilvl w:val="0"/>
          <w:numId w:val="3"/>
        </w:numPr>
        <w:rPr>
          <w:rFonts w:cs="Times New Roman"/>
        </w:rPr>
      </w:pPr>
      <w:r>
        <w:rPr>
          <w:rFonts w:cs="Times New Roman"/>
        </w:rPr>
        <w:t>Kontrolujte také po sobě gramatiku, případně nevhodné automatické opravy (-- Méně)</w:t>
      </w:r>
    </w:p>
    <w:p w:rsidR="00840F4A" w:rsidRPr="00932C79" w:rsidRDefault="00840F4A" w:rsidP="00932C79">
      <w:pPr>
        <w:pStyle w:val="Odstavecseseznamem"/>
        <w:numPr>
          <w:ilvl w:val="0"/>
          <w:numId w:val="3"/>
        </w:numPr>
        <w:rPr>
          <w:rFonts w:cs="Times New Roman"/>
        </w:rPr>
      </w:pPr>
      <w:r>
        <w:rPr>
          <w:rFonts w:cs="Times New Roman"/>
        </w:rPr>
        <w:t>Sociologický časopis doporučuje číslovky do deseti vypisovat slovy</w:t>
      </w:r>
    </w:p>
    <w:p w:rsidR="00932C79" w:rsidRDefault="00932C79" w:rsidP="00932C79">
      <w:pPr>
        <w:spacing w:after="0"/>
      </w:pPr>
      <w:r>
        <w:t>„</w:t>
      </w:r>
      <w:r w:rsidRPr="00932C79">
        <w:t xml:space="preserve">Pánská skupina byla početnější ve čtyřech z pěti </w:t>
      </w:r>
      <w:proofErr w:type="gramStart"/>
      <w:r w:rsidRPr="00932C79">
        <w:t>případů - ve</w:t>
      </w:r>
      <w:proofErr w:type="gramEnd"/>
      <w:r w:rsidRPr="00932C79">
        <w:t xml:space="preserve"> věkové skupině 16 až 30 let ale převážily dámy.</w:t>
      </w:r>
      <w:r>
        <w:t>“</w:t>
      </w:r>
    </w:p>
    <w:p w:rsidR="00932C79" w:rsidRPr="00932C79" w:rsidRDefault="00932C79" w:rsidP="00932C79">
      <w:pPr>
        <w:pStyle w:val="Odstavecseseznamem"/>
        <w:numPr>
          <w:ilvl w:val="0"/>
          <w:numId w:val="3"/>
        </w:numPr>
        <w:spacing w:after="0"/>
      </w:pPr>
      <w:r>
        <w:t>lépe snad hovořit o mužích a ženách</w:t>
      </w:r>
      <w:r w:rsidR="00840F4A">
        <w:t>?</w:t>
      </w:r>
    </w:p>
    <w:p w:rsidR="00932C79" w:rsidRPr="00932C79" w:rsidRDefault="00932C79"/>
    <w:p w:rsidR="00305A11" w:rsidRPr="00932C79" w:rsidRDefault="00305A11" w:rsidP="00305A11">
      <w:pPr>
        <w:pStyle w:val="Odstavecseseznamem"/>
        <w:numPr>
          <w:ilvl w:val="0"/>
          <w:numId w:val="2"/>
        </w:numPr>
        <w:rPr>
          <w:b/>
        </w:rPr>
      </w:pPr>
      <w:r w:rsidRPr="00932C79">
        <w:rPr>
          <w:b/>
        </w:rPr>
        <w:t xml:space="preserve">Citace </w:t>
      </w:r>
    </w:p>
    <w:p w:rsidR="003E62E1" w:rsidRPr="00932C79" w:rsidRDefault="00305A11">
      <w:r w:rsidRPr="00932C79">
        <w:t>„</w:t>
      </w:r>
      <w:r w:rsidR="00B85255" w:rsidRPr="00932C79">
        <w:t xml:space="preserve">Jak píší ve své publikaci </w:t>
      </w:r>
      <w:proofErr w:type="spellStart"/>
      <w:r w:rsidR="00B85255" w:rsidRPr="00932C79">
        <w:t>Renzetti</w:t>
      </w:r>
      <w:proofErr w:type="spellEnd"/>
      <w:r w:rsidR="00B85255" w:rsidRPr="00932C79">
        <w:t xml:space="preserve"> a </w:t>
      </w:r>
      <w:proofErr w:type="spellStart"/>
      <w:r w:rsidR="00B85255" w:rsidRPr="00932C79">
        <w:t>Curran</w:t>
      </w:r>
      <w:proofErr w:type="spellEnd"/>
      <w:r w:rsidR="00B85255" w:rsidRPr="00932C79">
        <w:t xml:space="preserve"> „stáří je v televizi obzvláště velkou nevýhodou a být stará je úplně hrozné“</w:t>
      </w:r>
      <w:r w:rsidR="00B85255" w:rsidRPr="00932C79">
        <w:rPr>
          <w:rFonts w:cs="Times New Roman"/>
        </w:rPr>
        <w:t xml:space="preserve"> [Petrová 2010]</w:t>
      </w:r>
      <w:r w:rsidR="00B85255" w:rsidRPr="00932C79">
        <w:t>.</w:t>
      </w:r>
      <w:r w:rsidRPr="00932C79">
        <w:t>“</w:t>
      </w:r>
    </w:p>
    <w:p w:rsidR="00305A11" w:rsidRPr="00932C79" w:rsidRDefault="00305A11" w:rsidP="00B85255">
      <w:pPr>
        <w:jc w:val="both"/>
      </w:pPr>
      <w:r w:rsidRPr="00932C79">
        <w:t xml:space="preserve">Prosím zopakujte si jaké jsou požadavky na citace, a to nejen v seznamu zdrojů, ale i </w:t>
      </w:r>
      <w:r w:rsidR="00840F4A">
        <w:t xml:space="preserve">v </w:t>
      </w:r>
      <w:r w:rsidRPr="00932C79">
        <w:t>textu. Rozlišujte citace přímé</w:t>
      </w:r>
      <w:r w:rsidR="00840F4A">
        <w:t xml:space="preserve">, </w:t>
      </w:r>
      <w:r w:rsidRPr="00932C79">
        <w:t>u kterých musíme uvé</w:t>
      </w:r>
      <w:r w:rsidR="00840F4A">
        <w:t>st číslo stránky,</w:t>
      </w:r>
      <w:r w:rsidRPr="00932C79">
        <w:t xml:space="preserve"> a parafráze. Pokud by program na odhalování plagiátů našel že u citace předstíráme, že je to </w:t>
      </w:r>
      <w:proofErr w:type="spellStart"/>
      <w:r w:rsidRPr="00932C79">
        <w:t>prafráze</w:t>
      </w:r>
      <w:proofErr w:type="spellEnd"/>
      <w:r w:rsidRPr="00932C79">
        <w:t xml:space="preserve">, nebylo by to dobré. </w:t>
      </w:r>
    </w:p>
    <w:p w:rsidR="00305A11" w:rsidRPr="00932C79" w:rsidRDefault="00305A11" w:rsidP="00305A11">
      <w:pPr>
        <w:jc w:val="both"/>
      </w:pPr>
      <w:r w:rsidRPr="00932C79">
        <w:t>V tomto případě mělo být správně</w:t>
      </w:r>
      <w:r w:rsidR="00840F4A">
        <w:t xml:space="preserve"> asi </w:t>
      </w:r>
      <w:proofErr w:type="gramStart"/>
      <w:r w:rsidR="00840F4A">
        <w:t>takto</w:t>
      </w:r>
      <w:r w:rsidRPr="00932C79">
        <w:t xml:space="preserve">:  </w:t>
      </w:r>
      <w:r w:rsidRPr="00932C79">
        <w:t>Jak</w:t>
      </w:r>
      <w:proofErr w:type="gramEnd"/>
      <w:r w:rsidRPr="00932C79">
        <w:t xml:space="preserve"> píší ve své publikaci </w:t>
      </w:r>
      <w:proofErr w:type="spellStart"/>
      <w:r w:rsidRPr="00932C79">
        <w:t>Renzetti</w:t>
      </w:r>
      <w:proofErr w:type="spellEnd"/>
      <w:r w:rsidRPr="00932C79">
        <w:t xml:space="preserve"> a </w:t>
      </w:r>
      <w:proofErr w:type="spellStart"/>
      <w:r w:rsidRPr="00932C79">
        <w:t>Curran</w:t>
      </w:r>
      <w:proofErr w:type="spellEnd"/>
      <w:r w:rsidRPr="00932C79">
        <w:t xml:space="preserve"> [RRRR] in Petrová [2010: SS]</w:t>
      </w:r>
      <w:r w:rsidRPr="00932C79">
        <w:t xml:space="preserve"> „stáří je v televizi obzvláště velkou nevýhodou a být stará je úplně hrozné“</w:t>
      </w:r>
      <w:r w:rsidRPr="00932C79">
        <w:t>.</w:t>
      </w:r>
      <w:r w:rsidR="00840F4A">
        <w:t xml:space="preserve"> (Skutečně to tako někdo napsal?)</w:t>
      </w:r>
    </w:p>
    <w:p w:rsidR="00B85255" w:rsidRPr="00932C79" w:rsidRDefault="00305A11" w:rsidP="00B85255">
      <w:pPr>
        <w:jc w:val="both"/>
        <w:rPr>
          <w:rFonts w:cs="Times New Roman"/>
        </w:rPr>
      </w:pPr>
      <w:r w:rsidRPr="00932C79">
        <w:t xml:space="preserve">Obdobně v tomto </w:t>
      </w:r>
      <w:r w:rsidR="00840F4A">
        <w:t xml:space="preserve">dalším </w:t>
      </w:r>
      <w:r w:rsidRPr="00932C79">
        <w:t xml:space="preserve">příkladu není jasné, kolik zdrojů je citováno a odkaz </w:t>
      </w:r>
      <w:r w:rsidR="00932C79" w:rsidRPr="00932C79">
        <w:t xml:space="preserve">v poznámce pod čarou nemá správný formát: </w:t>
      </w:r>
      <w:r w:rsidR="00840F4A">
        <w:t>„</w:t>
      </w:r>
      <w:r w:rsidR="00B85255" w:rsidRPr="00932C79">
        <w:rPr>
          <w:rFonts w:cs="Times New Roman"/>
        </w:rPr>
        <w:t>Pro porovnání s populací jsem pracovala s daty Českého statistického úřadu</w:t>
      </w:r>
      <w:r w:rsidR="00B85255" w:rsidRPr="00932C79">
        <w:rPr>
          <w:rStyle w:val="Znakapoznpodarou"/>
          <w:rFonts w:cs="Times New Roman"/>
        </w:rPr>
        <w:footnoteReference w:id="1"/>
      </w:r>
      <w:r w:rsidR="00B85255" w:rsidRPr="00932C79">
        <w:rPr>
          <w:rFonts w:cs="Times New Roman"/>
        </w:rPr>
        <w:t>. Konkrétně s daty z cenzu (Sčítání lidu, domů a bytů z roku 2011).</w:t>
      </w:r>
      <w:r w:rsidR="00840F4A">
        <w:rPr>
          <w:rFonts w:cs="Times New Roman"/>
        </w:rPr>
        <w:t>“</w:t>
      </w:r>
    </w:p>
    <w:p w:rsidR="00932C79" w:rsidRPr="00932C79" w:rsidRDefault="00932C79" w:rsidP="00932C79">
      <w:pPr>
        <w:pStyle w:val="Odstavecseseznamem"/>
        <w:numPr>
          <w:ilvl w:val="0"/>
          <w:numId w:val="2"/>
        </w:numPr>
        <w:rPr>
          <w:b/>
        </w:rPr>
      </w:pPr>
      <w:r w:rsidRPr="00932C79">
        <w:rPr>
          <w:b/>
        </w:rPr>
        <w:t>Práce s tabulkami</w:t>
      </w:r>
    </w:p>
    <w:p w:rsidR="00932C79" w:rsidRPr="00932C79" w:rsidRDefault="00932C79" w:rsidP="00932C79">
      <w:pPr>
        <w:jc w:val="both"/>
      </w:pPr>
      <w:r>
        <w:t xml:space="preserve">V textu nemůžeme používat vykopírované tabulky z SPSS bez další úpravy a ani tabulky bez patřičných náležitostí (viz </w:t>
      </w:r>
      <w:proofErr w:type="spellStart"/>
      <w:r>
        <w:t>ppt</w:t>
      </w:r>
      <w:proofErr w:type="spellEnd"/>
      <w:r>
        <w:t>).</w:t>
      </w:r>
    </w:p>
    <w:p w:rsidR="00932C79" w:rsidRDefault="00932C79" w:rsidP="00932C79">
      <w:pPr>
        <w:pStyle w:val="Odstavecseseznamem"/>
        <w:numPr>
          <w:ilvl w:val="0"/>
          <w:numId w:val="2"/>
        </w:numPr>
        <w:rPr>
          <w:b/>
        </w:rPr>
      </w:pPr>
      <w:r w:rsidRPr="00932C79">
        <w:rPr>
          <w:b/>
        </w:rPr>
        <w:t>Práce s</w:t>
      </w:r>
      <w:r>
        <w:rPr>
          <w:b/>
        </w:rPr>
        <w:t> </w:t>
      </w:r>
      <w:proofErr w:type="gramStart"/>
      <w:r w:rsidRPr="00932C79">
        <w:rPr>
          <w:b/>
        </w:rPr>
        <w:t>daty</w:t>
      </w:r>
      <w:r>
        <w:rPr>
          <w:b/>
        </w:rPr>
        <w:t xml:space="preserve"> - tabulky</w:t>
      </w:r>
      <w:proofErr w:type="gramEnd"/>
    </w:p>
    <w:p w:rsidR="00932C79" w:rsidRPr="00932C79" w:rsidRDefault="00932C79" w:rsidP="00932C79">
      <w:pPr>
        <w:jc w:val="both"/>
      </w:pPr>
      <w:r>
        <w:t>Z tabulky uvedené níže nepoznáme, kolik osob bylo v dané kategorii pozorováno. Sloučením buněk v prázdných kategoriích také ztrácí smysl podbarvení buněk. Namísto, aby přispělo k přehlednosti musí čtenář zkoumat</w:t>
      </w:r>
      <w:r w:rsidR="00840F4A">
        <w:t xml:space="preserve"> proč tam ta podbarvení jsou. M</w:t>
      </w:r>
      <w:r>
        <w:t>ají snad něco zdůrazňovat?</w:t>
      </w:r>
      <w:r w:rsidR="002A7B18">
        <w:t xml:space="preserve"> V textech se také nezřídka objevovala práce s barvami buněk (mimo šedé). I když je to na pohled docela hezké a může to pomoci autorské orientaci při analýzách, do závěrečného textu duha nepatří.</w:t>
      </w:r>
    </w:p>
    <w:tbl>
      <w:tblPr>
        <w:tblStyle w:val="Tabulkasmkou2"/>
        <w:tblW w:w="0" w:type="auto"/>
        <w:tblInd w:w="0" w:type="dxa"/>
        <w:tblLook w:val="04A0" w:firstRow="1" w:lastRow="0" w:firstColumn="1" w:lastColumn="0" w:noHBand="0" w:noVBand="1"/>
      </w:tblPr>
      <w:tblGrid>
        <w:gridCol w:w="1796"/>
        <w:gridCol w:w="1195"/>
        <w:gridCol w:w="717"/>
        <w:gridCol w:w="882"/>
        <w:gridCol w:w="882"/>
        <w:gridCol w:w="882"/>
        <w:gridCol w:w="882"/>
        <w:gridCol w:w="802"/>
        <w:gridCol w:w="1034"/>
      </w:tblGrid>
      <w:tr w:rsidR="00487673" w:rsidRPr="00932C79" w:rsidTr="0048767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36" w:type="dxa"/>
            <w:vMerge w:val="restart"/>
            <w:tcBorders>
              <w:left w:val="nil"/>
              <w:bottom w:val="single" w:sz="2" w:space="0" w:color="666666" w:themeColor="text1" w:themeTint="99"/>
            </w:tcBorders>
            <w:hideMark/>
          </w:tcPr>
          <w:p w:rsidR="00487673" w:rsidRPr="00932C79" w:rsidRDefault="00487673">
            <w:r w:rsidRPr="00932C79">
              <w:t>Pořad/film/seriál</w:t>
            </w:r>
          </w:p>
        </w:tc>
        <w:tc>
          <w:tcPr>
            <w:tcW w:w="1197" w:type="dxa"/>
            <w:vMerge w:val="restart"/>
            <w:tcBorders>
              <w:bottom w:val="single" w:sz="2" w:space="0" w:color="666666" w:themeColor="text1" w:themeTint="99"/>
            </w:tcBorders>
            <w:hideMark/>
          </w:tcPr>
          <w:p w:rsidR="00487673" w:rsidRPr="00932C79" w:rsidRDefault="00487673">
            <w:pPr>
              <w:cnfStyle w:val="100000000000" w:firstRow="1" w:lastRow="0" w:firstColumn="0" w:lastColumn="0" w:oddVBand="0" w:evenVBand="0" w:oddHBand="0" w:evenHBand="0" w:firstRowFirstColumn="0" w:firstRowLastColumn="0" w:lastRowFirstColumn="0" w:lastRowLastColumn="0"/>
            </w:pPr>
            <w:r w:rsidRPr="00932C79">
              <w:t>program</w:t>
            </w:r>
          </w:p>
        </w:tc>
        <w:tc>
          <w:tcPr>
            <w:tcW w:w="720" w:type="dxa"/>
            <w:hideMark/>
          </w:tcPr>
          <w:p w:rsidR="00487673" w:rsidRPr="00932C79" w:rsidRDefault="00487673">
            <w:pPr>
              <w:cnfStyle w:val="100000000000" w:firstRow="1" w:lastRow="0" w:firstColumn="0" w:lastColumn="0" w:oddVBand="0" w:evenVBand="0" w:oddHBand="0" w:evenHBand="0" w:firstRowFirstColumn="0" w:firstRowLastColumn="0" w:lastRowFirstColumn="0" w:lastRowLastColumn="0"/>
            </w:pPr>
            <w:r w:rsidRPr="00932C79">
              <w:t>muž</w:t>
            </w:r>
          </w:p>
        </w:tc>
        <w:tc>
          <w:tcPr>
            <w:tcW w:w="890" w:type="dxa"/>
            <w:vMerge w:val="restart"/>
            <w:tcBorders>
              <w:bottom w:val="single" w:sz="2" w:space="0" w:color="666666" w:themeColor="text1" w:themeTint="99"/>
            </w:tcBorders>
            <w:hideMark/>
          </w:tcPr>
          <w:p w:rsidR="00487673" w:rsidRPr="00932C79" w:rsidRDefault="00487673">
            <w:pPr>
              <w:cnfStyle w:val="100000000000" w:firstRow="1" w:lastRow="0" w:firstColumn="0" w:lastColumn="0" w:oddVBand="0" w:evenVBand="0" w:oddHBand="0" w:evenHBand="0" w:firstRowFirstColumn="0" w:firstRowLastColumn="0" w:lastRowFirstColumn="0" w:lastRowLastColumn="0"/>
            </w:pPr>
            <w:proofErr w:type="gramStart"/>
            <w:r w:rsidRPr="00932C79">
              <w:t>0-15let</w:t>
            </w:r>
            <w:proofErr w:type="gramEnd"/>
          </w:p>
        </w:tc>
        <w:tc>
          <w:tcPr>
            <w:tcW w:w="891" w:type="dxa"/>
            <w:vMerge w:val="restart"/>
            <w:tcBorders>
              <w:bottom w:val="single" w:sz="2" w:space="0" w:color="666666" w:themeColor="text1" w:themeTint="99"/>
            </w:tcBorders>
            <w:hideMark/>
          </w:tcPr>
          <w:p w:rsidR="00487673" w:rsidRPr="00932C79" w:rsidRDefault="00487673">
            <w:pPr>
              <w:cnfStyle w:val="100000000000" w:firstRow="1" w:lastRow="0" w:firstColumn="0" w:lastColumn="0" w:oddVBand="0" w:evenVBand="0" w:oddHBand="0" w:evenHBand="0" w:firstRowFirstColumn="0" w:firstRowLastColumn="0" w:lastRowFirstColumn="0" w:lastRowLastColumn="0"/>
            </w:pPr>
            <w:proofErr w:type="gramStart"/>
            <w:r w:rsidRPr="00932C79">
              <w:t>16-25let</w:t>
            </w:r>
            <w:proofErr w:type="gramEnd"/>
          </w:p>
        </w:tc>
        <w:tc>
          <w:tcPr>
            <w:tcW w:w="891" w:type="dxa"/>
            <w:vMerge w:val="restart"/>
            <w:tcBorders>
              <w:bottom w:val="single" w:sz="2" w:space="0" w:color="666666" w:themeColor="text1" w:themeTint="99"/>
            </w:tcBorders>
            <w:hideMark/>
          </w:tcPr>
          <w:p w:rsidR="00487673" w:rsidRPr="00932C79" w:rsidRDefault="00487673">
            <w:pPr>
              <w:cnfStyle w:val="100000000000" w:firstRow="1" w:lastRow="0" w:firstColumn="0" w:lastColumn="0" w:oddVBand="0" w:evenVBand="0" w:oddHBand="0" w:evenHBand="0" w:firstRowFirstColumn="0" w:firstRowLastColumn="0" w:lastRowFirstColumn="0" w:lastRowLastColumn="0"/>
            </w:pPr>
            <w:proofErr w:type="gramStart"/>
            <w:r w:rsidRPr="00932C79">
              <w:t>26-35let</w:t>
            </w:r>
            <w:proofErr w:type="gramEnd"/>
          </w:p>
        </w:tc>
        <w:tc>
          <w:tcPr>
            <w:tcW w:w="891" w:type="dxa"/>
            <w:vMerge w:val="restart"/>
            <w:tcBorders>
              <w:bottom w:val="single" w:sz="2" w:space="0" w:color="666666" w:themeColor="text1" w:themeTint="99"/>
            </w:tcBorders>
            <w:hideMark/>
          </w:tcPr>
          <w:p w:rsidR="00487673" w:rsidRPr="00932C79" w:rsidRDefault="00487673">
            <w:pPr>
              <w:cnfStyle w:val="100000000000" w:firstRow="1" w:lastRow="0" w:firstColumn="0" w:lastColumn="0" w:oddVBand="0" w:evenVBand="0" w:oddHBand="0" w:evenHBand="0" w:firstRowFirstColumn="0" w:firstRowLastColumn="0" w:lastRowFirstColumn="0" w:lastRowLastColumn="0"/>
            </w:pPr>
            <w:proofErr w:type="gramStart"/>
            <w:r w:rsidRPr="00932C79">
              <w:t>36-45let</w:t>
            </w:r>
            <w:proofErr w:type="gramEnd"/>
          </w:p>
        </w:tc>
        <w:tc>
          <w:tcPr>
            <w:tcW w:w="807" w:type="dxa"/>
            <w:vMerge w:val="restart"/>
            <w:tcBorders>
              <w:bottom w:val="single" w:sz="2" w:space="0" w:color="666666" w:themeColor="text1" w:themeTint="99"/>
            </w:tcBorders>
            <w:hideMark/>
          </w:tcPr>
          <w:p w:rsidR="00487673" w:rsidRPr="00932C79" w:rsidRDefault="00487673">
            <w:pPr>
              <w:cnfStyle w:val="100000000000" w:firstRow="1" w:lastRow="0" w:firstColumn="0" w:lastColumn="0" w:oddVBand="0" w:evenVBand="0" w:oddHBand="0" w:evenHBand="0" w:firstRowFirstColumn="0" w:firstRowLastColumn="0" w:lastRowFirstColumn="0" w:lastRowLastColumn="0"/>
            </w:pPr>
            <w:proofErr w:type="gramStart"/>
            <w:r w:rsidRPr="00932C79">
              <w:t>46-55let</w:t>
            </w:r>
            <w:proofErr w:type="gramEnd"/>
          </w:p>
        </w:tc>
        <w:tc>
          <w:tcPr>
            <w:tcW w:w="1039" w:type="dxa"/>
            <w:vMerge w:val="restart"/>
            <w:tcBorders>
              <w:bottom w:val="single" w:sz="2" w:space="0" w:color="666666" w:themeColor="text1" w:themeTint="99"/>
              <w:right w:val="nil"/>
            </w:tcBorders>
            <w:hideMark/>
          </w:tcPr>
          <w:p w:rsidR="00487673" w:rsidRPr="00932C79" w:rsidRDefault="00487673">
            <w:pPr>
              <w:cnfStyle w:val="100000000000" w:firstRow="1" w:lastRow="0" w:firstColumn="0" w:lastColumn="0" w:oddVBand="0" w:evenVBand="0" w:oddHBand="0" w:evenHBand="0" w:firstRowFirstColumn="0" w:firstRowLastColumn="0" w:lastRowFirstColumn="0" w:lastRowLastColumn="0"/>
            </w:pPr>
            <w:r w:rsidRPr="00932C79">
              <w:t>55+více let</w:t>
            </w:r>
          </w:p>
        </w:tc>
      </w:tr>
      <w:tr w:rsidR="00487673" w:rsidRPr="00932C79" w:rsidTr="0048767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2" w:space="0" w:color="666666" w:themeColor="text1" w:themeTint="99"/>
              <w:right w:val="nil"/>
            </w:tcBorders>
            <w:vAlign w:val="center"/>
            <w:hideMark/>
          </w:tcPr>
          <w:p w:rsidR="00487673" w:rsidRPr="00932C79" w:rsidRDefault="00487673"/>
        </w:tc>
        <w:tc>
          <w:tcPr>
            <w:tcW w:w="0" w:type="auto"/>
            <w:vMerge/>
            <w:tcBorders>
              <w:top w:val="nil"/>
              <w:left w:val="nil"/>
              <w:bottom w:val="single" w:sz="2" w:space="0" w:color="666666" w:themeColor="text1" w:themeTint="99"/>
              <w:right w:val="nil"/>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rPr>
                <w:b/>
                <w:bCs/>
              </w:rPr>
            </w:pPr>
          </w:p>
        </w:tc>
        <w:tc>
          <w:tcPr>
            <w:tcW w:w="72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žena</w:t>
            </w:r>
          </w:p>
        </w:tc>
        <w:tc>
          <w:tcPr>
            <w:tcW w:w="0" w:type="auto"/>
            <w:vMerge/>
            <w:tcBorders>
              <w:top w:val="nil"/>
              <w:left w:val="nil"/>
              <w:bottom w:val="single" w:sz="2" w:space="0" w:color="666666" w:themeColor="text1" w:themeTint="99"/>
              <w:right w:val="nil"/>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rPr>
                <w:b/>
                <w:bCs/>
              </w:rPr>
            </w:pPr>
          </w:p>
        </w:tc>
        <w:tc>
          <w:tcPr>
            <w:tcW w:w="0" w:type="auto"/>
            <w:vMerge/>
            <w:tcBorders>
              <w:top w:val="nil"/>
              <w:left w:val="nil"/>
              <w:bottom w:val="single" w:sz="2" w:space="0" w:color="666666" w:themeColor="text1" w:themeTint="99"/>
              <w:right w:val="nil"/>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rPr>
                <w:b/>
                <w:bCs/>
              </w:rPr>
            </w:pPr>
          </w:p>
        </w:tc>
        <w:tc>
          <w:tcPr>
            <w:tcW w:w="0" w:type="auto"/>
            <w:vMerge/>
            <w:tcBorders>
              <w:top w:val="nil"/>
              <w:left w:val="nil"/>
              <w:bottom w:val="single" w:sz="2" w:space="0" w:color="666666" w:themeColor="text1" w:themeTint="99"/>
              <w:right w:val="nil"/>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rPr>
                <w:b/>
                <w:bCs/>
              </w:rPr>
            </w:pPr>
          </w:p>
        </w:tc>
        <w:tc>
          <w:tcPr>
            <w:tcW w:w="0" w:type="auto"/>
            <w:vMerge/>
            <w:tcBorders>
              <w:top w:val="nil"/>
              <w:left w:val="nil"/>
              <w:bottom w:val="single" w:sz="2" w:space="0" w:color="666666" w:themeColor="text1" w:themeTint="99"/>
              <w:right w:val="nil"/>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rPr>
                <w:b/>
                <w:bCs/>
              </w:rPr>
            </w:pPr>
          </w:p>
        </w:tc>
        <w:tc>
          <w:tcPr>
            <w:tcW w:w="0" w:type="auto"/>
            <w:vMerge/>
            <w:tcBorders>
              <w:top w:val="nil"/>
              <w:left w:val="nil"/>
              <w:bottom w:val="single" w:sz="2" w:space="0" w:color="666666" w:themeColor="text1" w:themeTint="99"/>
              <w:right w:val="nil"/>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rPr>
                <w:b/>
                <w:bCs/>
              </w:rPr>
            </w:pPr>
          </w:p>
        </w:tc>
        <w:tc>
          <w:tcPr>
            <w:tcW w:w="0" w:type="auto"/>
            <w:vMerge/>
            <w:tcBorders>
              <w:top w:val="nil"/>
              <w:left w:val="nil"/>
              <w:bottom w:val="single" w:sz="2" w:space="0" w:color="666666" w:themeColor="text1" w:themeTint="99"/>
              <w:right w:val="nil"/>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rPr>
                <w:b/>
                <w:bCs/>
              </w:rPr>
            </w:pPr>
          </w:p>
        </w:tc>
      </w:tr>
      <w:tr w:rsidR="00487673" w:rsidRPr="00932C79" w:rsidTr="00487673">
        <w:trPr>
          <w:trHeight w:val="270"/>
        </w:trPr>
        <w:tc>
          <w:tcPr>
            <w:cnfStyle w:val="001000000000" w:firstRow="0" w:lastRow="0" w:firstColumn="1" w:lastColumn="0" w:oddVBand="0" w:evenVBand="0" w:oddHBand="0" w:evenHBand="0" w:firstRowFirstColumn="0" w:firstRowLastColumn="0" w:lastRowFirstColumn="0" w:lastRowLastColumn="0"/>
            <w:tcW w:w="1736" w:type="dxa"/>
            <w:vMerge w:val="restart"/>
            <w:tcBorders>
              <w:top w:val="single" w:sz="2" w:space="0" w:color="666666" w:themeColor="text1" w:themeTint="99"/>
              <w:left w:val="nil"/>
              <w:bottom w:val="single" w:sz="2" w:space="0" w:color="666666" w:themeColor="text1" w:themeTint="99"/>
              <w:right w:val="single" w:sz="2" w:space="0" w:color="666666" w:themeColor="text1" w:themeTint="99"/>
            </w:tcBorders>
            <w:hideMark/>
          </w:tcPr>
          <w:p w:rsidR="00487673" w:rsidRPr="00932C79" w:rsidRDefault="00487673">
            <w:r w:rsidRPr="00932C79">
              <w:t>Věřte, nevěřte</w:t>
            </w:r>
          </w:p>
        </w:tc>
        <w:tc>
          <w:tcPr>
            <w:tcW w:w="1197" w:type="dxa"/>
            <w:vMerge w:val="restar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TV Barrandov</w:t>
            </w:r>
          </w:p>
        </w:tc>
        <w:tc>
          <w:tcPr>
            <w:tcW w:w="72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muž</w:t>
            </w:r>
          </w:p>
        </w:tc>
        <w:tc>
          <w:tcPr>
            <w:tcW w:w="890" w:type="dxa"/>
            <w:vMerge w:val="restar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 xml:space="preserve">  </w:t>
            </w: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ano</w:t>
            </w:r>
          </w:p>
        </w:tc>
        <w:tc>
          <w:tcPr>
            <w:tcW w:w="891" w:type="dxa"/>
            <w:vMerge w:val="restar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c>
          <w:tcPr>
            <w:tcW w:w="891" w:type="dxa"/>
            <w:vMerge w:val="restar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c>
          <w:tcPr>
            <w:tcW w:w="807"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ano</w:t>
            </w:r>
          </w:p>
        </w:tc>
        <w:tc>
          <w:tcPr>
            <w:tcW w:w="1039" w:type="dxa"/>
            <w:tcBorders>
              <w:top w:val="single" w:sz="2" w:space="0" w:color="666666" w:themeColor="text1" w:themeTint="99"/>
              <w:left w:val="single" w:sz="2" w:space="0" w:color="666666" w:themeColor="text1" w:themeTint="99"/>
              <w:bottom w:val="single" w:sz="2" w:space="0" w:color="666666" w:themeColor="text1" w:themeTint="99"/>
              <w:right w:val="nil"/>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r>
      <w:tr w:rsidR="00487673" w:rsidRPr="00932C79" w:rsidTr="0048767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2" w:space="0" w:color="666666" w:themeColor="text1" w:themeTint="99"/>
              <w:left w:val="nil"/>
              <w:bottom w:val="single" w:sz="2" w:space="0" w:color="666666" w:themeColor="text1" w:themeTint="99"/>
              <w:right w:val="single" w:sz="2" w:space="0" w:color="666666" w:themeColor="text1" w:themeTint="99"/>
            </w:tcBorders>
            <w:vAlign w:val="center"/>
            <w:hideMark/>
          </w:tcPr>
          <w:p w:rsidR="00487673" w:rsidRPr="00932C79" w:rsidRDefault="00487673"/>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72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žena</w:t>
            </w:r>
          </w:p>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807"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1039"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ano</w:t>
            </w:r>
          </w:p>
        </w:tc>
      </w:tr>
      <w:tr w:rsidR="00487673" w:rsidRPr="00932C79" w:rsidTr="00487673">
        <w:trPr>
          <w:trHeight w:val="270"/>
        </w:trPr>
        <w:tc>
          <w:tcPr>
            <w:cnfStyle w:val="001000000000" w:firstRow="0" w:lastRow="0" w:firstColumn="1" w:lastColumn="0" w:oddVBand="0" w:evenVBand="0" w:oddHBand="0" w:evenHBand="0" w:firstRowFirstColumn="0" w:firstRowLastColumn="0" w:lastRowFirstColumn="0" w:lastRowLastColumn="0"/>
            <w:tcW w:w="1736" w:type="dxa"/>
            <w:vMerge w:val="restart"/>
            <w:tcBorders>
              <w:top w:val="single" w:sz="2" w:space="0" w:color="666666" w:themeColor="text1" w:themeTint="99"/>
              <w:left w:val="nil"/>
              <w:bottom w:val="single" w:sz="2" w:space="0" w:color="666666" w:themeColor="text1" w:themeTint="99"/>
              <w:right w:val="single" w:sz="2" w:space="0" w:color="666666" w:themeColor="text1" w:themeTint="99"/>
            </w:tcBorders>
            <w:hideMark/>
          </w:tcPr>
          <w:p w:rsidR="00487673" w:rsidRPr="00932C79" w:rsidRDefault="00487673">
            <w:proofErr w:type="spellStart"/>
            <w:r w:rsidRPr="00932C79">
              <w:t>Dr.House</w:t>
            </w:r>
            <w:proofErr w:type="spellEnd"/>
          </w:p>
        </w:tc>
        <w:tc>
          <w:tcPr>
            <w:tcW w:w="1197" w:type="dxa"/>
            <w:vMerge w:val="restar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 xml:space="preserve">Nova </w:t>
            </w:r>
            <w:proofErr w:type="spellStart"/>
            <w:r w:rsidRPr="00932C79">
              <w:t>Cinema</w:t>
            </w:r>
            <w:proofErr w:type="spellEnd"/>
          </w:p>
        </w:tc>
        <w:tc>
          <w:tcPr>
            <w:tcW w:w="72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muž</w:t>
            </w:r>
          </w:p>
        </w:tc>
        <w:tc>
          <w:tcPr>
            <w:tcW w:w="890" w:type="dxa"/>
            <w:vMerge w:val="restar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c>
          <w:tcPr>
            <w:tcW w:w="891" w:type="dxa"/>
            <w:vMerge w:val="restar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ano</w:t>
            </w: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ano</w:t>
            </w:r>
          </w:p>
        </w:tc>
        <w:tc>
          <w:tcPr>
            <w:tcW w:w="807"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ano</w:t>
            </w:r>
          </w:p>
        </w:tc>
        <w:tc>
          <w:tcPr>
            <w:tcW w:w="1039" w:type="dxa"/>
            <w:vMerge w:val="restart"/>
            <w:tcBorders>
              <w:top w:val="single" w:sz="2" w:space="0" w:color="666666" w:themeColor="text1" w:themeTint="99"/>
              <w:left w:val="single" w:sz="2" w:space="0" w:color="666666" w:themeColor="text1" w:themeTint="99"/>
              <w:bottom w:val="single" w:sz="2" w:space="0" w:color="666666" w:themeColor="text1" w:themeTint="99"/>
              <w:right w:val="nil"/>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r>
      <w:tr w:rsidR="00487673" w:rsidRPr="00932C79" w:rsidTr="0048767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2" w:space="0" w:color="666666" w:themeColor="text1" w:themeTint="99"/>
              <w:left w:val="nil"/>
              <w:bottom w:val="single" w:sz="2" w:space="0" w:color="666666" w:themeColor="text1" w:themeTint="99"/>
              <w:right w:val="single" w:sz="2" w:space="0" w:color="666666" w:themeColor="text1" w:themeTint="99"/>
            </w:tcBorders>
            <w:vAlign w:val="center"/>
            <w:hideMark/>
          </w:tcPr>
          <w:p w:rsidR="00487673" w:rsidRPr="00932C79" w:rsidRDefault="00487673"/>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72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žena</w:t>
            </w:r>
          </w:p>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ano</w:t>
            </w: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807"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nil"/>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r>
      <w:tr w:rsidR="00487673" w:rsidRPr="00932C79" w:rsidTr="00487673">
        <w:trPr>
          <w:trHeight w:val="132"/>
        </w:trPr>
        <w:tc>
          <w:tcPr>
            <w:cnfStyle w:val="001000000000" w:firstRow="0" w:lastRow="0" w:firstColumn="1" w:lastColumn="0" w:oddVBand="0" w:evenVBand="0" w:oddHBand="0" w:evenHBand="0" w:firstRowFirstColumn="0" w:firstRowLastColumn="0" w:lastRowFirstColumn="0" w:lastRowLastColumn="0"/>
            <w:tcW w:w="1736" w:type="dxa"/>
            <w:vMerge w:val="restart"/>
            <w:tcBorders>
              <w:top w:val="single" w:sz="2" w:space="0" w:color="666666" w:themeColor="text1" w:themeTint="99"/>
              <w:left w:val="nil"/>
              <w:bottom w:val="single" w:sz="2" w:space="0" w:color="666666" w:themeColor="text1" w:themeTint="99"/>
              <w:right w:val="single" w:sz="2" w:space="0" w:color="666666" w:themeColor="text1" w:themeTint="99"/>
            </w:tcBorders>
            <w:hideMark/>
          </w:tcPr>
          <w:p w:rsidR="00487673" w:rsidRPr="00932C79" w:rsidRDefault="00487673">
            <w:r w:rsidRPr="00932C79">
              <w:t>Přátelé</w:t>
            </w:r>
          </w:p>
        </w:tc>
        <w:tc>
          <w:tcPr>
            <w:tcW w:w="1197" w:type="dxa"/>
            <w:vMerge w:val="restar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Nova 2</w:t>
            </w:r>
          </w:p>
        </w:tc>
        <w:tc>
          <w:tcPr>
            <w:tcW w:w="72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muž</w:t>
            </w:r>
          </w:p>
        </w:tc>
        <w:tc>
          <w:tcPr>
            <w:tcW w:w="89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ano</w:t>
            </w: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ano</w:t>
            </w: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ano</w:t>
            </w:r>
          </w:p>
        </w:tc>
        <w:tc>
          <w:tcPr>
            <w:tcW w:w="891" w:type="dxa"/>
            <w:vMerge w:val="restar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c>
          <w:tcPr>
            <w:tcW w:w="807" w:type="dxa"/>
            <w:vMerge w:val="restar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c>
          <w:tcPr>
            <w:tcW w:w="1039" w:type="dxa"/>
            <w:vMerge w:val="restart"/>
            <w:tcBorders>
              <w:top w:val="single" w:sz="2" w:space="0" w:color="666666" w:themeColor="text1" w:themeTint="99"/>
              <w:left w:val="single" w:sz="2" w:space="0" w:color="666666" w:themeColor="text1" w:themeTint="99"/>
              <w:bottom w:val="single" w:sz="2" w:space="0" w:color="666666" w:themeColor="text1" w:themeTint="99"/>
              <w:right w:val="nil"/>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r>
      <w:tr w:rsidR="00487673" w:rsidRPr="00932C79" w:rsidTr="00487673">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2" w:space="0" w:color="666666" w:themeColor="text1" w:themeTint="99"/>
              <w:left w:val="nil"/>
              <w:bottom w:val="single" w:sz="2" w:space="0" w:color="666666" w:themeColor="text1" w:themeTint="99"/>
              <w:right w:val="single" w:sz="2" w:space="0" w:color="666666" w:themeColor="text1" w:themeTint="99"/>
            </w:tcBorders>
            <w:vAlign w:val="center"/>
            <w:hideMark/>
          </w:tcPr>
          <w:p w:rsidR="00487673" w:rsidRPr="00932C79" w:rsidRDefault="00487673"/>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72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žena</w:t>
            </w:r>
          </w:p>
        </w:tc>
        <w:tc>
          <w:tcPr>
            <w:tcW w:w="89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ano</w:t>
            </w: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ano</w:t>
            </w: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nil"/>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r>
      <w:tr w:rsidR="00487673" w:rsidRPr="00932C79" w:rsidTr="00487673">
        <w:trPr>
          <w:trHeight w:val="270"/>
        </w:trPr>
        <w:tc>
          <w:tcPr>
            <w:cnfStyle w:val="001000000000" w:firstRow="0" w:lastRow="0" w:firstColumn="1" w:lastColumn="0" w:oddVBand="0" w:evenVBand="0" w:oddHBand="0" w:evenHBand="0" w:firstRowFirstColumn="0" w:firstRowLastColumn="0" w:lastRowFirstColumn="0" w:lastRowLastColumn="0"/>
            <w:tcW w:w="1736" w:type="dxa"/>
            <w:vMerge w:val="restart"/>
            <w:tcBorders>
              <w:top w:val="single" w:sz="2" w:space="0" w:color="666666" w:themeColor="text1" w:themeTint="99"/>
              <w:left w:val="nil"/>
              <w:bottom w:val="single" w:sz="2" w:space="0" w:color="666666" w:themeColor="text1" w:themeTint="99"/>
              <w:right w:val="single" w:sz="2" w:space="0" w:color="666666" w:themeColor="text1" w:themeTint="99"/>
            </w:tcBorders>
            <w:hideMark/>
          </w:tcPr>
          <w:p w:rsidR="00487673" w:rsidRPr="00932C79" w:rsidRDefault="00487673">
            <w:r w:rsidRPr="00932C79">
              <w:t>Taková moderní rodinka</w:t>
            </w:r>
          </w:p>
        </w:tc>
        <w:tc>
          <w:tcPr>
            <w:tcW w:w="1197" w:type="dxa"/>
            <w:vMerge w:val="restar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roofErr w:type="spellStart"/>
            <w:r w:rsidRPr="00932C79">
              <w:t>Comedy</w:t>
            </w:r>
            <w:proofErr w:type="spellEnd"/>
            <w:r w:rsidRPr="00932C79">
              <w:t xml:space="preserve"> </w:t>
            </w:r>
            <w:proofErr w:type="spellStart"/>
            <w:r w:rsidRPr="00932C79">
              <w:t>Central</w:t>
            </w:r>
            <w:proofErr w:type="spellEnd"/>
          </w:p>
        </w:tc>
        <w:tc>
          <w:tcPr>
            <w:tcW w:w="72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muž</w:t>
            </w:r>
          </w:p>
        </w:tc>
        <w:tc>
          <w:tcPr>
            <w:tcW w:w="89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ano</w:t>
            </w: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ano</w:t>
            </w:r>
          </w:p>
        </w:tc>
        <w:tc>
          <w:tcPr>
            <w:tcW w:w="807"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ano</w:t>
            </w:r>
          </w:p>
        </w:tc>
        <w:tc>
          <w:tcPr>
            <w:tcW w:w="1039" w:type="dxa"/>
            <w:vMerge w:val="restart"/>
            <w:tcBorders>
              <w:top w:val="single" w:sz="2" w:space="0" w:color="666666" w:themeColor="text1" w:themeTint="99"/>
              <w:left w:val="single" w:sz="2" w:space="0" w:color="666666" w:themeColor="text1" w:themeTint="99"/>
              <w:bottom w:val="single" w:sz="2" w:space="0" w:color="666666" w:themeColor="text1" w:themeTint="99"/>
              <w:right w:val="nil"/>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r>
      <w:tr w:rsidR="00487673" w:rsidRPr="00932C79" w:rsidTr="0048767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2" w:space="0" w:color="666666" w:themeColor="text1" w:themeTint="99"/>
              <w:left w:val="nil"/>
              <w:bottom w:val="single" w:sz="2" w:space="0" w:color="666666" w:themeColor="text1" w:themeTint="99"/>
              <w:right w:val="single" w:sz="2" w:space="0" w:color="666666" w:themeColor="text1" w:themeTint="99"/>
            </w:tcBorders>
            <w:vAlign w:val="center"/>
            <w:hideMark/>
          </w:tcPr>
          <w:p w:rsidR="00487673" w:rsidRPr="00932C79" w:rsidRDefault="00487673"/>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72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žena</w:t>
            </w:r>
          </w:p>
        </w:tc>
        <w:tc>
          <w:tcPr>
            <w:tcW w:w="89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ano</w:t>
            </w: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ano</w:t>
            </w: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ano</w:t>
            </w: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ano</w:t>
            </w:r>
          </w:p>
        </w:tc>
        <w:tc>
          <w:tcPr>
            <w:tcW w:w="807"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nil"/>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r>
      <w:tr w:rsidR="00487673" w:rsidRPr="00932C79" w:rsidTr="00487673">
        <w:trPr>
          <w:trHeight w:val="270"/>
        </w:trPr>
        <w:tc>
          <w:tcPr>
            <w:cnfStyle w:val="001000000000" w:firstRow="0" w:lastRow="0" w:firstColumn="1" w:lastColumn="0" w:oddVBand="0" w:evenVBand="0" w:oddHBand="0" w:evenHBand="0" w:firstRowFirstColumn="0" w:firstRowLastColumn="0" w:lastRowFirstColumn="0" w:lastRowLastColumn="0"/>
            <w:tcW w:w="1736" w:type="dxa"/>
            <w:vMerge w:val="restart"/>
            <w:tcBorders>
              <w:top w:val="single" w:sz="2" w:space="0" w:color="666666" w:themeColor="text1" w:themeTint="99"/>
              <w:left w:val="nil"/>
              <w:bottom w:val="single" w:sz="2" w:space="0" w:color="666666" w:themeColor="text1" w:themeTint="99"/>
              <w:right w:val="single" w:sz="2" w:space="0" w:color="666666" w:themeColor="text1" w:themeTint="99"/>
            </w:tcBorders>
            <w:hideMark/>
          </w:tcPr>
          <w:p w:rsidR="00487673" w:rsidRPr="00932C79" w:rsidRDefault="00487673">
            <w:r w:rsidRPr="00932C79">
              <w:t xml:space="preserve">Pevnost </w:t>
            </w:r>
            <w:proofErr w:type="spellStart"/>
            <w:r w:rsidRPr="00932C79">
              <w:t>Boyard</w:t>
            </w:r>
            <w:proofErr w:type="spellEnd"/>
          </w:p>
        </w:tc>
        <w:tc>
          <w:tcPr>
            <w:tcW w:w="1197" w:type="dxa"/>
            <w:vMerge w:val="restar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Prima COOL</w:t>
            </w:r>
          </w:p>
        </w:tc>
        <w:tc>
          <w:tcPr>
            <w:tcW w:w="72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muž</w:t>
            </w:r>
          </w:p>
        </w:tc>
        <w:tc>
          <w:tcPr>
            <w:tcW w:w="890" w:type="dxa"/>
            <w:vMerge w:val="restar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ano</w:t>
            </w: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r w:rsidRPr="00932C79">
              <w:t>ano</w:t>
            </w:r>
          </w:p>
        </w:tc>
        <w:tc>
          <w:tcPr>
            <w:tcW w:w="807" w:type="dxa"/>
            <w:vMerge w:val="restar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c>
          <w:tcPr>
            <w:tcW w:w="1039" w:type="dxa"/>
            <w:vMerge w:val="restart"/>
            <w:tcBorders>
              <w:top w:val="single" w:sz="2" w:space="0" w:color="666666" w:themeColor="text1" w:themeTint="99"/>
              <w:left w:val="single" w:sz="2" w:space="0" w:color="666666" w:themeColor="text1" w:themeTint="99"/>
              <w:bottom w:val="single" w:sz="2" w:space="0" w:color="666666" w:themeColor="text1" w:themeTint="99"/>
              <w:right w:val="nil"/>
            </w:tcBorders>
          </w:tcPr>
          <w:p w:rsidR="00487673" w:rsidRPr="00932C79" w:rsidRDefault="00487673">
            <w:pPr>
              <w:cnfStyle w:val="000000000000" w:firstRow="0" w:lastRow="0" w:firstColumn="0" w:lastColumn="0" w:oddVBand="0" w:evenVBand="0" w:oddHBand="0" w:evenHBand="0" w:firstRowFirstColumn="0" w:firstRowLastColumn="0" w:lastRowFirstColumn="0" w:lastRowLastColumn="0"/>
            </w:pPr>
          </w:p>
        </w:tc>
      </w:tr>
      <w:tr w:rsidR="00487673" w:rsidRPr="00932C79" w:rsidTr="0048767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2" w:space="0" w:color="666666" w:themeColor="text1" w:themeTint="99"/>
              <w:left w:val="nil"/>
              <w:bottom w:val="single" w:sz="2" w:space="0" w:color="666666" w:themeColor="text1" w:themeTint="99"/>
              <w:right w:val="single" w:sz="2" w:space="0" w:color="666666" w:themeColor="text1" w:themeTint="99"/>
            </w:tcBorders>
            <w:vAlign w:val="center"/>
            <w:hideMark/>
          </w:tcPr>
          <w:p w:rsidR="00487673" w:rsidRPr="00932C79" w:rsidRDefault="00487673"/>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720"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žena</w:t>
            </w:r>
          </w:p>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r w:rsidRPr="00932C79">
              <w:t>ano</w:t>
            </w: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89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c>
          <w:tcPr>
            <w:tcW w:w="0" w:type="auto"/>
            <w:vMerge/>
            <w:tcBorders>
              <w:top w:val="single" w:sz="2" w:space="0" w:color="666666" w:themeColor="text1" w:themeTint="99"/>
              <w:left w:val="single" w:sz="2" w:space="0" w:color="666666" w:themeColor="text1" w:themeTint="99"/>
              <w:bottom w:val="single" w:sz="2" w:space="0" w:color="666666" w:themeColor="text1" w:themeTint="99"/>
              <w:right w:val="nil"/>
            </w:tcBorders>
            <w:vAlign w:val="center"/>
            <w:hideMark/>
          </w:tcPr>
          <w:p w:rsidR="00487673" w:rsidRPr="00932C79" w:rsidRDefault="00487673">
            <w:pPr>
              <w:cnfStyle w:val="000000100000" w:firstRow="0" w:lastRow="0" w:firstColumn="0" w:lastColumn="0" w:oddVBand="0" w:evenVBand="0" w:oddHBand="1" w:evenHBand="0" w:firstRowFirstColumn="0" w:firstRowLastColumn="0" w:lastRowFirstColumn="0" w:lastRowLastColumn="0"/>
            </w:pPr>
          </w:p>
        </w:tc>
      </w:tr>
    </w:tbl>
    <w:p w:rsidR="00932C79" w:rsidRDefault="00932C79" w:rsidP="00487673"/>
    <w:p w:rsidR="00932C79" w:rsidRDefault="00932C79">
      <w:r>
        <w:br w:type="page"/>
      </w:r>
    </w:p>
    <w:p w:rsidR="00487673" w:rsidRPr="00932C79" w:rsidRDefault="00487673" w:rsidP="00487673"/>
    <w:p w:rsidR="00932C79" w:rsidRDefault="00932C79" w:rsidP="00932C79">
      <w:pPr>
        <w:pStyle w:val="Odstavecseseznamem"/>
        <w:numPr>
          <w:ilvl w:val="0"/>
          <w:numId w:val="2"/>
        </w:numPr>
        <w:rPr>
          <w:b/>
        </w:rPr>
      </w:pPr>
      <w:r w:rsidRPr="00932C79">
        <w:rPr>
          <w:b/>
        </w:rPr>
        <w:t>Práce s</w:t>
      </w:r>
      <w:r>
        <w:rPr>
          <w:b/>
        </w:rPr>
        <w:t> </w:t>
      </w:r>
      <w:proofErr w:type="gramStart"/>
      <w:r>
        <w:rPr>
          <w:b/>
        </w:rPr>
        <w:t>daty -</w:t>
      </w:r>
      <w:r>
        <w:rPr>
          <w:b/>
        </w:rPr>
        <w:t> </w:t>
      </w:r>
      <w:r>
        <w:rPr>
          <w:b/>
        </w:rPr>
        <w:t>grafy</w:t>
      </w:r>
      <w:proofErr w:type="gramEnd"/>
    </w:p>
    <w:p w:rsidR="00932C79" w:rsidRDefault="00932C79" w:rsidP="00932C79">
      <w:pPr>
        <w:pStyle w:val="Odstavecseseznamem"/>
        <w:ind w:left="0"/>
      </w:pPr>
      <w:r>
        <w:t>Prosím porovnejte dva příklady grafů níže, z kterého můžete vyčíst potřebné informace snadněji?</w:t>
      </w:r>
    </w:p>
    <w:p w:rsidR="00450554" w:rsidRDefault="00932C79">
      <w:r w:rsidRPr="00932C79">
        <w:rPr>
          <w:noProof/>
          <w:u w:val="single"/>
          <w:lang w:eastAsia="cs-CZ"/>
        </w:rPr>
        <w:drawing>
          <wp:anchor distT="0" distB="0" distL="114300" distR="114300" simplePos="0" relativeHeight="251659264" behindDoc="0" locked="0" layoutInCell="1" allowOverlap="1" wp14:anchorId="575B688C" wp14:editId="68C6A0D1">
            <wp:simplePos x="0" y="0"/>
            <wp:positionH relativeFrom="column">
              <wp:posOffset>0</wp:posOffset>
            </wp:positionH>
            <wp:positionV relativeFrom="paragraph">
              <wp:posOffset>290195</wp:posOffset>
            </wp:positionV>
            <wp:extent cx="5826125" cy="3954780"/>
            <wp:effectExtent l="0" t="0" r="22225" b="26670"/>
            <wp:wrapSquare wrapText="bothSides"/>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t xml:space="preserve"> </w:t>
      </w:r>
      <w:r w:rsidR="00450554" w:rsidRPr="00932C79">
        <w:rPr>
          <w:noProof/>
        </w:rPr>
        <w:drawing>
          <wp:anchor distT="0" distB="0" distL="114300" distR="114300" simplePos="0" relativeHeight="251660288" behindDoc="0" locked="0" layoutInCell="1" allowOverlap="1" wp14:anchorId="35D00BA1">
            <wp:simplePos x="0" y="0"/>
            <wp:positionH relativeFrom="column">
              <wp:posOffset>29845</wp:posOffset>
            </wp:positionH>
            <wp:positionV relativeFrom="paragraph">
              <wp:posOffset>4274185</wp:posOffset>
            </wp:positionV>
            <wp:extent cx="4846320" cy="3024505"/>
            <wp:effectExtent l="0" t="0" r="11430" b="4445"/>
            <wp:wrapTopAndBottom/>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A7B18" w:rsidRDefault="002A7B18"/>
    <w:p w:rsidR="00840F4A" w:rsidRDefault="002A7B18">
      <w:r>
        <w:t xml:space="preserve">K dokonalosti </w:t>
      </w:r>
      <w:r w:rsidR="00840F4A">
        <w:t>druhému</w:t>
      </w:r>
      <w:r>
        <w:t xml:space="preserve"> grafu ještě chybí lepší barevné odlišení, např. aby </w:t>
      </w:r>
      <w:proofErr w:type="gramStart"/>
      <w:r>
        <w:t>TV - ženy</w:t>
      </w:r>
      <w:proofErr w:type="gramEnd"/>
      <w:r>
        <w:t xml:space="preserve"> byly ve světlém odstínu fialové, anebo ještě lépe, aby např. ženy byl ve světlých odstínech a muži tmavých odstínech (nebo obráceně) v odlišných barvách. </w:t>
      </w:r>
      <w:r w:rsidR="00840F4A">
        <w:t>Rozdíly by pak byly viditelné doslova na první pohled.</w:t>
      </w:r>
    </w:p>
    <w:p w:rsidR="002A7B18" w:rsidRDefault="002A7B18">
      <w:r>
        <w:lastRenderedPageBreak/>
        <w:t xml:space="preserve"> </w:t>
      </w:r>
    </w:p>
    <w:p w:rsidR="00932C79" w:rsidRPr="00932C79" w:rsidRDefault="00713B2D">
      <w:r>
        <w:t>Někteří z Vás postupovali v </w:t>
      </w:r>
      <w:r w:rsidR="00840F4A">
        <w:t>sepisování</w:t>
      </w:r>
      <w:r>
        <w:t xml:space="preserve"> textu </w:t>
      </w:r>
      <w:r w:rsidR="00840F4A">
        <w:t xml:space="preserve">v </w:t>
      </w:r>
      <w:r>
        <w:t xml:space="preserve">chronologických krocích, jako při popisu receptu, analytická práce přitom předpokládá syntézu získaných informací. Takže i když </w:t>
      </w:r>
      <w:r w:rsidR="00840F4A">
        <w:t>takový</w:t>
      </w:r>
      <w:r>
        <w:t xml:space="preserve"> postup </w:t>
      </w:r>
      <w:r w:rsidRPr="00840F4A">
        <w:rPr>
          <w:i/>
        </w:rPr>
        <w:t xml:space="preserve">a </w:t>
      </w:r>
      <w:proofErr w:type="spellStart"/>
      <w:r w:rsidRPr="00840F4A">
        <w:rPr>
          <w:i/>
        </w:rPr>
        <w:t>lá</w:t>
      </w:r>
      <w:proofErr w:type="spellEnd"/>
      <w:r>
        <w:t xml:space="preserve"> kuchařka</w:t>
      </w:r>
      <w:r w:rsidR="00840F4A">
        <w:t xml:space="preserve"> na koláč</w:t>
      </w:r>
      <w:r>
        <w:t xml:space="preserve"> není „špatně“, není ani „dobře“, pokud není provedeno v zadání požadované srovnání dvou skupin dat. A to ideálně formou podílů, nikoliv počtů. </w:t>
      </w:r>
      <w:r w:rsidR="00932C79" w:rsidRPr="00932C79">
        <w:t>Srovnání předpokládá, že hodnoty</w:t>
      </w:r>
      <w:r>
        <w:t xml:space="preserve"> budou nějak vykresleny</w:t>
      </w:r>
      <w:r w:rsidR="00932C79" w:rsidRPr="00932C79">
        <w:t xml:space="preserve"> vedle sebe</w:t>
      </w:r>
      <w:r w:rsidR="00840F4A">
        <w:t xml:space="preserve"> (v tabulce, nebo grafu, použití obojího se stejnou informací už bývá redundantní)</w:t>
      </w:r>
      <w:r>
        <w:t>. Srovnání sice s</w:t>
      </w:r>
      <w:r w:rsidR="00932C79" w:rsidRPr="00932C79">
        <w:t>tačí popsat</w:t>
      </w:r>
      <w:r>
        <w:t xml:space="preserve"> slovně, </w:t>
      </w:r>
      <w:r w:rsidR="00932C79" w:rsidRPr="00932C79">
        <w:t xml:space="preserve">ale grafické srovnání </w:t>
      </w:r>
      <w:r>
        <w:t xml:space="preserve">(a třeba s následným krátkým výkladem/popisem zobrazeného, resp. těch hlavních zjištění vyplvajících ze zobrazené analýzy) je opět pro čtenáře mnohem více komfortní. Příkladu grafu níže bychom mohli namítnout, že skupiny jsou příliš široké, navíc podíly TV populace dávají v součtu 100 %, podíly skutečné populace jen 84,6 %. </w:t>
      </w:r>
    </w:p>
    <w:p w:rsidR="00045230" w:rsidRPr="00932C79" w:rsidRDefault="00045230" w:rsidP="00045230">
      <w:pPr>
        <w:jc w:val="both"/>
        <w:rPr>
          <w:rFonts w:cs="Times New Roman"/>
        </w:rPr>
      </w:pPr>
      <w:r w:rsidRPr="00932C79">
        <w:rPr>
          <w:rFonts w:cs="Times New Roman"/>
          <w:noProof/>
          <w:lang w:eastAsia="cs-CZ"/>
        </w:rPr>
        <w:drawing>
          <wp:inline distT="0" distB="0" distL="0" distR="0">
            <wp:extent cx="3703320" cy="2567940"/>
            <wp:effectExtent l="0" t="0" r="11430" b="381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32C79">
        <w:rPr>
          <w:rFonts w:cs="Times New Roman"/>
        </w:rPr>
        <w:t xml:space="preserve"> </w:t>
      </w:r>
    </w:p>
    <w:p w:rsidR="00045230" w:rsidRDefault="00045230"/>
    <w:p w:rsidR="002A7B18" w:rsidRPr="002A7B18" w:rsidRDefault="002A7B18" w:rsidP="002A7B18">
      <w:pPr>
        <w:pStyle w:val="Odstavecseseznamem"/>
        <w:numPr>
          <w:ilvl w:val="0"/>
          <w:numId w:val="2"/>
        </w:numPr>
        <w:rPr>
          <w:b/>
        </w:rPr>
      </w:pPr>
      <w:r>
        <w:rPr>
          <w:b/>
        </w:rPr>
        <w:t xml:space="preserve">Příklady diskuse </w:t>
      </w:r>
    </w:p>
    <w:p w:rsidR="002A7B18" w:rsidRDefault="002A7B18" w:rsidP="002A7B18"/>
    <w:p w:rsidR="002A7B18" w:rsidRPr="00932C79" w:rsidRDefault="002A7B18" w:rsidP="002A7B18">
      <w:r>
        <w:t>Je vhodné uvést</w:t>
      </w:r>
      <w:r>
        <w:t>, z jakého hlediska</w:t>
      </w:r>
      <w:r>
        <w:t xml:space="preserve"> (na základě jakých argumentů)</w:t>
      </w:r>
      <w:r>
        <w:t xml:space="preserve"> považujeme </w:t>
      </w:r>
      <w:r>
        <w:t>náš názor za platný:</w:t>
      </w:r>
    </w:p>
    <w:p w:rsidR="00A74B17" w:rsidRPr="002A7B18" w:rsidRDefault="002A7B18">
      <w:pPr>
        <w:rPr>
          <w:i/>
        </w:rPr>
      </w:pPr>
      <w:r w:rsidRPr="002A7B18">
        <w:rPr>
          <w:i/>
        </w:rPr>
        <w:t>„</w:t>
      </w:r>
      <w:r w:rsidR="007A7949" w:rsidRPr="002A7B18">
        <w:rPr>
          <w:i/>
        </w:rPr>
        <w:t>Další věc, která nebyla ještě zodpovězena je otázka, zda by televize měla zobrazovat realitu či nikoliv. Když se zeptáte, proč lidé sledují televizi, tak často odpovídají, že chtějí vypnout a zapomenout na všechno. Myslím si, že kdyby televize reflektovala skutečnost, tak by se na ni mnoho lidí přestalo dívat, protože by v tu chvíli neposkytoval již zmíněný útek z reality. Z marketingového hlediska je tedy správně, že televize nezobrazuje realitu</w:t>
      </w:r>
      <w:r w:rsidR="00932C79" w:rsidRPr="002A7B18">
        <w:rPr>
          <w:i/>
        </w:rPr>
        <w:t>.</w:t>
      </w:r>
      <w:r w:rsidRPr="002A7B18">
        <w:rPr>
          <w:i/>
        </w:rPr>
        <w:t>“</w:t>
      </w:r>
    </w:p>
    <w:p w:rsidR="00450554" w:rsidRPr="00932C79" w:rsidRDefault="002A7B18">
      <w:pPr>
        <w:rPr>
          <w:rFonts w:cs="Times New Roman"/>
        </w:rPr>
      </w:pPr>
      <w:r>
        <w:rPr>
          <w:rFonts w:cs="Times New Roman"/>
        </w:rPr>
        <w:t>A na závěr, místo pozdravu:</w:t>
      </w:r>
    </w:p>
    <w:p w:rsidR="00450554" w:rsidRPr="002A7B18" w:rsidRDefault="002A7B18">
      <w:pPr>
        <w:rPr>
          <w:i/>
        </w:rPr>
      </w:pPr>
      <w:r w:rsidRPr="002A7B18">
        <w:rPr>
          <w:i/>
        </w:rPr>
        <w:t>„</w:t>
      </w:r>
      <w:r w:rsidR="00450554" w:rsidRPr="002A7B18">
        <w:rPr>
          <w:i/>
        </w:rPr>
        <w:t>To, co vidíme v televizi nemůžeme brát jako realitu. Bylo by to stejné jako kdybychom žili pouze na základní škole a pokládali svět za svět trpaslíků a jen několika výjimečných obrů. Musíme zkrátka otevřít oči, jít ven a realitu zažít na vlastní kůži.</w:t>
      </w:r>
      <w:r w:rsidRPr="002A7B18">
        <w:rPr>
          <w:i/>
        </w:rPr>
        <w:t xml:space="preserve">“ </w:t>
      </w:r>
    </w:p>
    <w:p w:rsidR="002A7B18" w:rsidRDefault="002A7B18">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2A7B18" w:rsidRDefault="002A7B18">
      <w:r>
        <w:t>S</w:t>
      </w:r>
      <w:r w:rsidR="00840F4A">
        <w:t> přáním hodně nových pohledů na realitu v tomto týdnu</w:t>
      </w:r>
      <w:bookmarkStart w:id="0" w:name="_GoBack"/>
      <w:bookmarkEnd w:id="0"/>
      <w:r>
        <w:t xml:space="preserve">, </w:t>
      </w:r>
    </w:p>
    <w:p w:rsidR="002A7B18" w:rsidRPr="00932C79" w:rsidRDefault="002A7B18">
      <w:r>
        <w:t>dr. Lucie Vidovićová</w:t>
      </w:r>
    </w:p>
    <w:sectPr w:rsidR="002A7B18" w:rsidRPr="00932C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81F" w:rsidRDefault="0016181F" w:rsidP="00B85255">
      <w:pPr>
        <w:spacing w:after="0" w:line="240" w:lineRule="auto"/>
      </w:pPr>
      <w:r>
        <w:separator/>
      </w:r>
    </w:p>
  </w:endnote>
  <w:endnote w:type="continuationSeparator" w:id="0">
    <w:p w:rsidR="0016181F" w:rsidRDefault="0016181F" w:rsidP="00B8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81F" w:rsidRDefault="0016181F" w:rsidP="00B85255">
      <w:pPr>
        <w:spacing w:after="0" w:line="240" w:lineRule="auto"/>
      </w:pPr>
      <w:r>
        <w:separator/>
      </w:r>
    </w:p>
  </w:footnote>
  <w:footnote w:type="continuationSeparator" w:id="0">
    <w:p w:rsidR="0016181F" w:rsidRDefault="0016181F" w:rsidP="00B85255">
      <w:pPr>
        <w:spacing w:after="0" w:line="240" w:lineRule="auto"/>
      </w:pPr>
      <w:r>
        <w:continuationSeparator/>
      </w:r>
    </w:p>
  </w:footnote>
  <w:footnote w:id="1">
    <w:p w:rsidR="00B85255" w:rsidRDefault="00B85255" w:rsidP="00B85255">
      <w:pPr>
        <w:pStyle w:val="Textpoznpodarou"/>
      </w:pPr>
      <w:r>
        <w:rPr>
          <w:rStyle w:val="Znakapoznpodarou"/>
        </w:rPr>
        <w:footnoteRef/>
      </w:r>
      <w:r>
        <w:t xml:space="preserve"> Dostupné z: </w:t>
      </w:r>
      <w:proofErr w:type="gramStart"/>
      <w:r>
        <w:t>https://vdb.czso.cz/vdbvo2/faces/cs/index.jsf?page=vystup-objekt-vyhledavani&amp;vyhltext=v%C4%9Bk&amp;bkvt=dsSbaw..</w:t>
      </w:r>
      <w:proofErr w:type="gramEnd"/>
      <w:r>
        <w:t xml:space="preserve">&amp;katalog=30708&amp;pvo=OTCR112#w%5Bk%5D=showxlsexport&amp;w%5Bp%5D=&amp;w%5Bh%5D=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4636"/>
    <w:multiLevelType w:val="hybridMultilevel"/>
    <w:tmpl w:val="96C8E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84257D"/>
    <w:multiLevelType w:val="hybridMultilevel"/>
    <w:tmpl w:val="1C5EC6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24362D"/>
    <w:multiLevelType w:val="hybridMultilevel"/>
    <w:tmpl w:val="1C5EC6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A96442"/>
    <w:multiLevelType w:val="hybridMultilevel"/>
    <w:tmpl w:val="DCFE9C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C41180"/>
    <w:multiLevelType w:val="hybridMultilevel"/>
    <w:tmpl w:val="5B44BD50"/>
    <w:lvl w:ilvl="0" w:tplc="3B4AFE02">
      <w:start w:val="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55"/>
    <w:rsid w:val="00045230"/>
    <w:rsid w:val="000E5983"/>
    <w:rsid w:val="0016181F"/>
    <w:rsid w:val="001A7BC1"/>
    <w:rsid w:val="002A7B18"/>
    <w:rsid w:val="002D7E42"/>
    <w:rsid w:val="00305A11"/>
    <w:rsid w:val="003E62E1"/>
    <w:rsid w:val="00450554"/>
    <w:rsid w:val="004809EE"/>
    <w:rsid w:val="00487673"/>
    <w:rsid w:val="00713B2D"/>
    <w:rsid w:val="007A7949"/>
    <w:rsid w:val="00840F4A"/>
    <w:rsid w:val="008C5007"/>
    <w:rsid w:val="00900D42"/>
    <w:rsid w:val="0091505C"/>
    <w:rsid w:val="00932C79"/>
    <w:rsid w:val="009A3AF2"/>
    <w:rsid w:val="00A74B17"/>
    <w:rsid w:val="00B85255"/>
    <w:rsid w:val="00C50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6997"/>
  <w15:chartTrackingRefBased/>
  <w15:docId w15:val="{B1DF3EFE-2683-4631-9134-7DD76BF4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B8525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85255"/>
    <w:rPr>
      <w:sz w:val="20"/>
      <w:szCs w:val="20"/>
    </w:rPr>
  </w:style>
  <w:style w:type="character" w:styleId="Znakapoznpodarou">
    <w:name w:val="footnote reference"/>
    <w:basedOn w:val="Standardnpsmoodstavce"/>
    <w:uiPriority w:val="99"/>
    <w:semiHidden/>
    <w:unhideWhenUsed/>
    <w:rsid w:val="00B85255"/>
    <w:rPr>
      <w:vertAlign w:val="superscript"/>
    </w:rPr>
  </w:style>
  <w:style w:type="table" w:styleId="Tabulkasmkou2">
    <w:name w:val="Grid Table 2"/>
    <w:basedOn w:val="Normlntabulka"/>
    <w:uiPriority w:val="47"/>
    <w:rsid w:val="00487673"/>
    <w:pPr>
      <w:spacing w:after="0" w:line="240" w:lineRule="auto"/>
    </w:p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Odstavecseseznamem">
    <w:name w:val="List Paragraph"/>
    <w:basedOn w:val="Normln"/>
    <w:uiPriority w:val="34"/>
    <w:qFormat/>
    <w:rsid w:val="00915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003">
      <w:bodyDiv w:val="1"/>
      <w:marLeft w:val="0"/>
      <w:marRight w:val="0"/>
      <w:marTop w:val="0"/>
      <w:marBottom w:val="0"/>
      <w:divBdr>
        <w:top w:val="none" w:sz="0" w:space="0" w:color="auto"/>
        <w:left w:val="none" w:sz="0" w:space="0" w:color="auto"/>
        <w:bottom w:val="none" w:sz="0" w:space="0" w:color="auto"/>
        <w:right w:val="none" w:sz="0" w:space="0" w:color="auto"/>
      </w:divBdr>
    </w:div>
    <w:div w:id="808860635">
      <w:bodyDiv w:val="1"/>
      <w:marLeft w:val="0"/>
      <w:marRight w:val="0"/>
      <w:marTop w:val="0"/>
      <w:marBottom w:val="0"/>
      <w:divBdr>
        <w:top w:val="none" w:sz="0" w:space="0" w:color="auto"/>
        <w:left w:val="none" w:sz="0" w:space="0" w:color="auto"/>
        <w:bottom w:val="none" w:sz="0" w:space="0" w:color="auto"/>
        <w:right w:val="none" w:sz="0" w:space="0" w:color="auto"/>
      </w:divBdr>
    </w:div>
    <w:div w:id="990326887">
      <w:bodyDiv w:val="1"/>
      <w:marLeft w:val="0"/>
      <w:marRight w:val="0"/>
      <w:marTop w:val="0"/>
      <w:marBottom w:val="0"/>
      <w:divBdr>
        <w:top w:val="none" w:sz="0" w:space="0" w:color="auto"/>
        <w:left w:val="none" w:sz="0" w:space="0" w:color="auto"/>
        <w:bottom w:val="none" w:sz="0" w:space="0" w:color="auto"/>
        <w:right w:val="none" w:sz="0" w:space="0" w:color="auto"/>
      </w:divBdr>
    </w:div>
    <w:div w:id="17375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ownloads\1300641707.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List1!$B$1:$B$2</c:f>
              <c:strCache>
                <c:ptCount val="1"/>
                <c:pt idx="0">
                  <c:v>Pohlaví Muži</c:v>
                </c:pt>
              </c:strCache>
            </c:strRef>
          </c:tx>
          <c:invertIfNegative val="0"/>
          <c:cat>
            <c:strRef>
              <c:f>List1!$A$3:$A$9</c:f>
              <c:strCache>
                <c:ptCount val="7"/>
                <c:pt idx="0">
                  <c:v>Věková kategorie</c:v>
                </c:pt>
                <c:pt idx="2">
                  <c:v>0 - 14</c:v>
                </c:pt>
                <c:pt idx="3">
                  <c:v>15 – 29</c:v>
                </c:pt>
                <c:pt idx="4">
                  <c:v>30 - 44</c:v>
                </c:pt>
                <c:pt idx="5">
                  <c:v>45 - 59</c:v>
                </c:pt>
                <c:pt idx="6">
                  <c:v>60+</c:v>
                </c:pt>
              </c:strCache>
            </c:strRef>
          </c:cat>
          <c:val>
            <c:numRef>
              <c:f>List1!$B$3:$B$9</c:f>
              <c:numCache>
                <c:formatCode>General</c:formatCode>
                <c:ptCount val="7"/>
                <c:pt idx="0">
                  <c:v>0</c:v>
                </c:pt>
                <c:pt idx="2">
                  <c:v>5</c:v>
                </c:pt>
                <c:pt idx="3">
                  <c:v>16</c:v>
                </c:pt>
                <c:pt idx="4">
                  <c:v>9</c:v>
                </c:pt>
                <c:pt idx="5">
                  <c:v>7</c:v>
                </c:pt>
                <c:pt idx="6">
                  <c:v>11</c:v>
                </c:pt>
              </c:numCache>
            </c:numRef>
          </c:val>
          <c:extLst>
            <c:ext xmlns:c16="http://schemas.microsoft.com/office/drawing/2014/chart" uri="{C3380CC4-5D6E-409C-BE32-E72D297353CC}">
              <c16:uniqueId val="{00000000-CAC7-43E6-9392-5FB09C78EABD}"/>
            </c:ext>
          </c:extLst>
        </c:ser>
        <c:ser>
          <c:idx val="1"/>
          <c:order val="1"/>
          <c:tx>
            <c:strRef>
              <c:f>List1!$C$1:$C$2</c:f>
              <c:strCache>
                <c:ptCount val="1"/>
                <c:pt idx="0">
                  <c:v>Pohlaví Muži</c:v>
                </c:pt>
              </c:strCache>
            </c:strRef>
          </c:tx>
          <c:invertIfNegative val="0"/>
          <c:cat>
            <c:strRef>
              <c:f>List1!$A$3:$A$9</c:f>
              <c:strCache>
                <c:ptCount val="7"/>
                <c:pt idx="0">
                  <c:v>Věková kategorie</c:v>
                </c:pt>
                <c:pt idx="2">
                  <c:v>0 - 14</c:v>
                </c:pt>
                <c:pt idx="3">
                  <c:v>15 – 29</c:v>
                </c:pt>
                <c:pt idx="4">
                  <c:v>30 - 44</c:v>
                </c:pt>
                <c:pt idx="5">
                  <c:v>45 - 59</c:v>
                </c:pt>
                <c:pt idx="6">
                  <c:v>60+</c:v>
                </c:pt>
              </c:strCache>
            </c:strRef>
          </c:cat>
          <c:val>
            <c:numRef>
              <c:f>List1!$C$3:$C$9</c:f>
              <c:numCache>
                <c:formatCode>General</c:formatCode>
                <c:ptCount val="7"/>
                <c:pt idx="0">
                  <c:v>0</c:v>
                </c:pt>
                <c:pt idx="2">
                  <c:v>10.4</c:v>
                </c:pt>
                <c:pt idx="3">
                  <c:v>33.299999999999997</c:v>
                </c:pt>
                <c:pt idx="4">
                  <c:v>18.8</c:v>
                </c:pt>
                <c:pt idx="5">
                  <c:v>14.6</c:v>
                </c:pt>
                <c:pt idx="6">
                  <c:v>22.9</c:v>
                </c:pt>
              </c:numCache>
            </c:numRef>
          </c:val>
          <c:extLst>
            <c:ext xmlns:c16="http://schemas.microsoft.com/office/drawing/2014/chart" uri="{C3380CC4-5D6E-409C-BE32-E72D297353CC}">
              <c16:uniqueId val="{00000001-CAC7-43E6-9392-5FB09C78EABD}"/>
            </c:ext>
          </c:extLst>
        </c:ser>
        <c:ser>
          <c:idx val="2"/>
          <c:order val="2"/>
          <c:tx>
            <c:strRef>
              <c:f>List1!$D$1:$D$2</c:f>
              <c:strCache>
                <c:ptCount val="1"/>
                <c:pt idx="0">
                  <c:v>Pohlaví Muži</c:v>
                </c:pt>
              </c:strCache>
            </c:strRef>
          </c:tx>
          <c:invertIfNegative val="0"/>
          <c:cat>
            <c:strRef>
              <c:f>List1!$A$3:$A$9</c:f>
              <c:strCache>
                <c:ptCount val="7"/>
                <c:pt idx="0">
                  <c:v>Věková kategorie</c:v>
                </c:pt>
                <c:pt idx="2">
                  <c:v>0 - 14</c:v>
                </c:pt>
                <c:pt idx="3">
                  <c:v>15 – 29</c:v>
                </c:pt>
                <c:pt idx="4">
                  <c:v>30 - 44</c:v>
                </c:pt>
                <c:pt idx="5">
                  <c:v>45 - 59</c:v>
                </c:pt>
                <c:pt idx="6">
                  <c:v>60+</c:v>
                </c:pt>
              </c:strCache>
            </c:strRef>
          </c:cat>
          <c:val>
            <c:numRef>
              <c:f>List1!$D$3:$D$9</c:f>
              <c:numCache>
                <c:formatCode>General</c:formatCode>
                <c:ptCount val="7"/>
                <c:pt idx="0">
                  <c:v>0</c:v>
                </c:pt>
                <c:pt idx="2">
                  <c:v>15.2</c:v>
                </c:pt>
                <c:pt idx="3">
                  <c:v>19.8</c:v>
                </c:pt>
                <c:pt idx="4">
                  <c:v>24.8</c:v>
                </c:pt>
                <c:pt idx="5">
                  <c:v>20.399999999999999</c:v>
                </c:pt>
                <c:pt idx="6">
                  <c:v>19.8</c:v>
                </c:pt>
              </c:numCache>
            </c:numRef>
          </c:val>
          <c:extLst>
            <c:ext xmlns:c16="http://schemas.microsoft.com/office/drawing/2014/chart" uri="{C3380CC4-5D6E-409C-BE32-E72D297353CC}">
              <c16:uniqueId val="{00000002-CAC7-43E6-9392-5FB09C78EABD}"/>
            </c:ext>
          </c:extLst>
        </c:ser>
        <c:ser>
          <c:idx val="3"/>
          <c:order val="3"/>
          <c:tx>
            <c:strRef>
              <c:f>List1!$E$1:$E$2</c:f>
              <c:strCache>
                <c:ptCount val="1"/>
                <c:pt idx="0">
                  <c:v>Pohlaví Ženy</c:v>
                </c:pt>
              </c:strCache>
            </c:strRef>
          </c:tx>
          <c:invertIfNegative val="0"/>
          <c:cat>
            <c:strRef>
              <c:f>List1!$A$3:$A$9</c:f>
              <c:strCache>
                <c:ptCount val="7"/>
                <c:pt idx="0">
                  <c:v>Věková kategorie</c:v>
                </c:pt>
                <c:pt idx="2">
                  <c:v>0 - 14</c:v>
                </c:pt>
                <c:pt idx="3">
                  <c:v>15 – 29</c:v>
                </c:pt>
                <c:pt idx="4">
                  <c:v>30 - 44</c:v>
                </c:pt>
                <c:pt idx="5">
                  <c:v>45 - 59</c:v>
                </c:pt>
                <c:pt idx="6">
                  <c:v>60+</c:v>
                </c:pt>
              </c:strCache>
            </c:strRef>
          </c:cat>
          <c:val>
            <c:numRef>
              <c:f>List1!$E$3:$E$9</c:f>
              <c:numCache>
                <c:formatCode>General</c:formatCode>
                <c:ptCount val="7"/>
                <c:pt idx="0">
                  <c:v>0</c:v>
                </c:pt>
                <c:pt idx="2">
                  <c:v>2</c:v>
                </c:pt>
                <c:pt idx="3">
                  <c:v>18</c:v>
                </c:pt>
                <c:pt idx="4">
                  <c:v>12</c:v>
                </c:pt>
                <c:pt idx="5">
                  <c:v>4</c:v>
                </c:pt>
                <c:pt idx="6">
                  <c:v>1</c:v>
                </c:pt>
              </c:numCache>
            </c:numRef>
          </c:val>
          <c:extLst>
            <c:ext xmlns:c16="http://schemas.microsoft.com/office/drawing/2014/chart" uri="{C3380CC4-5D6E-409C-BE32-E72D297353CC}">
              <c16:uniqueId val="{00000003-CAC7-43E6-9392-5FB09C78EABD}"/>
            </c:ext>
          </c:extLst>
        </c:ser>
        <c:ser>
          <c:idx val="4"/>
          <c:order val="4"/>
          <c:tx>
            <c:strRef>
              <c:f>List1!$F$1:$F$2</c:f>
              <c:strCache>
                <c:ptCount val="1"/>
                <c:pt idx="0">
                  <c:v>Pohlaví Ženy</c:v>
                </c:pt>
              </c:strCache>
            </c:strRef>
          </c:tx>
          <c:invertIfNegative val="0"/>
          <c:cat>
            <c:strRef>
              <c:f>List1!$A$3:$A$9</c:f>
              <c:strCache>
                <c:ptCount val="7"/>
                <c:pt idx="0">
                  <c:v>Věková kategorie</c:v>
                </c:pt>
                <c:pt idx="2">
                  <c:v>0 - 14</c:v>
                </c:pt>
                <c:pt idx="3">
                  <c:v>15 – 29</c:v>
                </c:pt>
                <c:pt idx="4">
                  <c:v>30 - 44</c:v>
                </c:pt>
                <c:pt idx="5">
                  <c:v>45 - 59</c:v>
                </c:pt>
                <c:pt idx="6">
                  <c:v>60+</c:v>
                </c:pt>
              </c:strCache>
            </c:strRef>
          </c:cat>
          <c:val>
            <c:numRef>
              <c:f>List1!$F$3:$F$9</c:f>
              <c:numCache>
                <c:formatCode>General</c:formatCode>
                <c:ptCount val="7"/>
                <c:pt idx="0">
                  <c:v>0</c:v>
                </c:pt>
                <c:pt idx="2">
                  <c:v>5.4</c:v>
                </c:pt>
                <c:pt idx="3">
                  <c:v>48.6</c:v>
                </c:pt>
                <c:pt idx="4">
                  <c:v>32.5</c:v>
                </c:pt>
                <c:pt idx="5">
                  <c:v>10.8</c:v>
                </c:pt>
                <c:pt idx="6">
                  <c:v>2.7</c:v>
                </c:pt>
              </c:numCache>
            </c:numRef>
          </c:val>
          <c:extLst>
            <c:ext xmlns:c16="http://schemas.microsoft.com/office/drawing/2014/chart" uri="{C3380CC4-5D6E-409C-BE32-E72D297353CC}">
              <c16:uniqueId val="{00000004-CAC7-43E6-9392-5FB09C78EABD}"/>
            </c:ext>
          </c:extLst>
        </c:ser>
        <c:ser>
          <c:idx val="5"/>
          <c:order val="5"/>
          <c:tx>
            <c:strRef>
              <c:f>List1!$G$1:$G$2</c:f>
              <c:strCache>
                <c:ptCount val="1"/>
                <c:pt idx="0">
                  <c:v>Pohlaví Ženy</c:v>
                </c:pt>
              </c:strCache>
            </c:strRef>
          </c:tx>
          <c:invertIfNegative val="0"/>
          <c:cat>
            <c:strRef>
              <c:f>List1!$A$3:$A$9</c:f>
              <c:strCache>
                <c:ptCount val="7"/>
                <c:pt idx="0">
                  <c:v>Věková kategorie</c:v>
                </c:pt>
                <c:pt idx="2">
                  <c:v>0 - 14</c:v>
                </c:pt>
                <c:pt idx="3">
                  <c:v>15 – 29</c:v>
                </c:pt>
                <c:pt idx="4">
                  <c:v>30 - 44</c:v>
                </c:pt>
                <c:pt idx="5">
                  <c:v>45 - 59</c:v>
                </c:pt>
                <c:pt idx="6">
                  <c:v>60+</c:v>
                </c:pt>
              </c:strCache>
            </c:strRef>
          </c:cat>
          <c:val>
            <c:numRef>
              <c:f>List1!$G$3:$G$9</c:f>
              <c:numCache>
                <c:formatCode>General</c:formatCode>
                <c:ptCount val="7"/>
                <c:pt idx="0">
                  <c:v>0</c:v>
                </c:pt>
                <c:pt idx="2">
                  <c:v>13.9</c:v>
                </c:pt>
                <c:pt idx="3">
                  <c:v>18.2</c:v>
                </c:pt>
                <c:pt idx="4">
                  <c:v>22.6</c:v>
                </c:pt>
                <c:pt idx="5">
                  <c:v>19.600000000000001</c:v>
                </c:pt>
                <c:pt idx="6">
                  <c:v>25.7</c:v>
                </c:pt>
              </c:numCache>
            </c:numRef>
          </c:val>
          <c:extLst>
            <c:ext xmlns:c16="http://schemas.microsoft.com/office/drawing/2014/chart" uri="{C3380CC4-5D6E-409C-BE32-E72D297353CC}">
              <c16:uniqueId val="{00000005-CAC7-43E6-9392-5FB09C78EABD}"/>
            </c:ext>
          </c:extLst>
        </c:ser>
        <c:dLbls>
          <c:showLegendKey val="0"/>
          <c:showVal val="0"/>
          <c:showCatName val="0"/>
          <c:showSerName val="0"/>
          <c:showPercent val="0"/>
          <c:showBubbleSize val="0"/>
        </c:dLbls>
        <c:gapWidth val="150"/>
        <c:axId val="460909328"/>
        <c:axId val="461977640"/>
      </c:barChart>
      <c:catAx>
        <c:axId val="460909328"/>
        <c:scaling>
          <c:orientation val="minMax"/>
        </c:scaling>
        <c:delete val="0"/>
        <c:axPos val="b"/>
        <c:numFmt formatCode="General" sourceLinked="0"/>
        <c:majorTickMark val="out"/>
        <c:minorTickMark val="none"/>
        <c:tickLblPos val="nextTo"/>
        <c:crossAx val="461977640"/>
        <c:crosses val="autoZero"/>
        <c:auto val="1"/>
        <c:lblAlgn val="ctr"/>
        <c:lblOffset val="100"/>
        <c:noMultiLvlLbl val="0"/>
      </c:catAx>
      <c:valAx>
        <c:axId val="461977640"/>
        <c:scaling>
          <c:orientation val="minMax"/>
        </c:scaling>
        <c:delete val="0"/>
        <c:axPos val="l"/>
        <c:majorGridlines/>
        <c:numFmt formatCode="General" sourceLinked="1"/>
        <c:majorTickMark val="out"/>
        <c:minorTickMark val="none"/>
        <c:tickLblPos val="nextTo"/>
        <c:crossAx val="460909328"/>
        <c:crosses val="autoZero"/>
        <c:crossBetween val="between"/>
        <c:majorUnit val="5"/>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800" b="1" i="0" baseline="0"/>
              <a:t>Věk lidí podle sčítání obyvatel</a:t>
            </a:r>
            <a:endParaRPr lang="cs-CZ"/>
          </a:p>
          <a:p>
            <a:pPr>
              <a:defRPr/>
            </a:pPr>
            <a:r>
              <a:rPr lang="cs-CZ" sz="1800" b="1" i="0" baseline="0"/>
              <a:t>a v televizním vysílání</a:t>
            </a:r>
            <a:endParaRPr lang="cs-CZ"/>
          </a:p>
        </c:rich>
      </c:tx>
      <c:overlay val="0"/>
    </c:title>
    <c:autoTitleDeleted val="0"/>
    <c:plotArea>
      <c:layout/>
      <c:barChart>
        <c:barDir val="col"/>
        <c:grouping val="clustered"/>
        <c:varyColors val="0"/>
        <c:ser>
          <c:idx val="0"/>
          <c:order val="0"/>
          <c:tx>
            <c:strRef>
              <c:f>KS!$K$39</c:f>
              <c:strCache>
                <c:ptCount val="1"/>
                <c:pt idx="0">
                  <c:v>Sčítání obyvatel - muži</c:v>
                </c:pt>
              </c:strCache>
            </c:strRef>
          </c:tx>
          <c:spPr>
            <a:solidFill>
              <a:srgbClr val="FFC000"/>
            </a:solidFill>
          </c:spPr>
          <c:invertIfNegative val="0"/>
          <c:cat>
            <c:strRef>
              <c:f>KS!$J$40:$J$44</c:f>
              <c:strCache>
                <c:ptCount val="5"/>
                <c:pt idx="0">
                  <c:v>0 - 15 let</c:v>
                </c:pt>
                <c:pt idx="1">
                  <c:v>16 - 30 let</c:v>
                </c:pt>
                <c:pt idx="2">
                  <c:v>31 - 50 let</c:v>
                </c:pt>
                <c:pt idx="3">
                  <c:v>51 - 70 let</c:v>
                </c:pt>
                <c:pt idx="4">
                  <c:v>70+</c:v>
                </c:pt>
              </c:strCache>
            </c:strRef>
          </c:cat>
          <c:val>
            <c:numRef>
              <c:f>KS!$K$40:$K$44</c:f>
              <c:numCache>
                <c:formatCode>0%</c:formatCode>
                <c:ptCount val="5"/>
                <c:pt idx="0">
                  <c:v>0.17</c:v>
                </c:pt>
                <c:pt idx="1">
                  <c:v>0.17</c:v>
                </c:pt>
                <c:pt idx="2">
                  <c:v>0.32000000000000006</c:v>
                </c:pt>
                <c:pt idx="3">
                  <c:v>0.25</c:v>
                </c:pt>
                <c:pt idx="4">
                  <c:v>9.0000000000000011E-2</c:v>
                </c:pt>
              </c:numCache>
            </c:numRef>
          </c:val>
          <c:extLst>
            <c:ext xmlns:c16="http://schemas.microsoft.com/office/drawing/2014/chart" uri="{C3380CC4-5D6E-409C-BE32-E72D297353CC}">
              <c16:uniqueId val="{00000000-BE40-4709-94E8-5E23FC26BB7E}"/>
            </c:ext>
          </c:extLst>
        </c:ser>
        <c:ser>
          <c:idx val="1"/>
          <c:order val="1"/>
          <c:tx>
            <c:strRef>
              <c:f>KS!$L$39</c:f>
              <c:strCache>
                <c:ptCount val="1"/>
                <c:pt idx="0">
                  <c:v>Sčítání obyvatel - ženy</c:v>
                </c:pt>
              </c:strCache>
            </c:strRef>
          </c:tx>
          <c:spPr>
            <a:solidFill>
              <a:srgbClr val="F3900D"/>
            </a:solidFill>
          </c:spPr>
          <c:invertIfNegative val="0"/>
          <c:cat>
            <c:strRef>
              <c:f>KS!$J$40:$J$44</c:f>
              <c:strCache>
                <c:ptCount val="5"/>
                <c:pt idx="0">
                  <c:v>0 - 15 let</c:v>
                </c:pt>
                <c:pt idx="1">
                  <c:v>16 - 30 let</c:v>
                </c:pt>
                <c:pt idx="2">
                  <c:v>31 - 50 let</c:v>
                </c:pt>
                <c:pt idx="3">
                  <c:v>51 - 70 let</c:v>
                </c:pt>
                <c:pt idx="4">
                  <c:v>70+</c:v>
                </c:pt>
              </c:strCache>
            </c:strRef>
          </c:cat>
          <c:val>
            <c:numRef>
              <c:f>KS!$L$40:$L$44</c:f>
              <c:numCache>
                <c:formatCode>0%</c:formatCode>
                <c:ptCount val="5"/>
                <c:pt idx="0">
                  <c:v>0.16</c:v>
                </c:pt>
                <c:pt idx="1">
                  <c:v>0.16</c:v>
                </c:pt>
                <c:pt idx="2">
                  <c:v>0.29000000000000004</c:v>
                </c:pt>
                <c:pt idx="3">
                  <c:v>0.26</c:v>
                </c:pt>
                <c:pt idx="4">
                  <c:v>0.13</c:v>
                </c:pt>
              </c:numCache>
            </c:numRef>
          </c:val>
          <c:extLst>
            <c:ext xmlns:c16="http://schemas.microsoft.com/office/drawing/2014/chart" uri="{C3380CC4-5D6E-409C-BE32-E72D297353CC}">
              <c16:uniqueId val="{00000001-BE40-4709-94E8-5E23FC26BB7E}"/>
            </c:ext>
          </c:extLst>
        </c:ser>
        <c:ser>
          <c:idx val="2"/>
          <c:order val="2"/>
          <c:tx>
            <c:strRef>
              <c:f>KS!$M$39</c:f>
              <c:strCache>
                <c:ptCount val="1"/>
                <c:pt idx="0">
                  <c:v>Televizní vysílání - muži</c:v>
                </c:pt>
              </c:strCache>
            </c:strRef>
          </c:tx>
          <c:spPr>
            <a:solidFill>
              <a:srgbClr val="7030A0"/>
            </a:solidFill>
          </c:spPr>
          <c:invertIfNegative val="0"/>
          <c:cat>
            <c:strRef>
              <c:f>KS!$J$40:$J$44</c:f>
              <c:strCache>
                <c:ptCount val="5"/>
                <c:pt idx="0">
                  <c:v>0 - 15 let</c:v>
                </c:pt>
                <c:pt idx="1">
                  <c:v>16 - 30 let</c:v>
                </c:pt>
                <c:pt idx="2">
                  <c:v>31 - 50 let</c:v>
                </c:pt>
                <c:pt idx="3">
                  <c:v>51 - 70 let</c:v>
                </c:pt>
                <c:pt idx="4">
                  <c:v>70+</c:v>
                </c:pt>
              </c:strCache>
            </c:strRef>
          </c:cat>
          <c:val>
            <c:numRef>
              <c:f>KS!$M$40:$M$44</c:f>
              <c:numCache>
                <c:formatCode>0%</c:formatCode>
                <c:ptCount val="5"/>
                <c:pt idx="0">
                  <c:v>0.14000000000000001</c:v>
                </c:pt>
                <c:pt idx="1">
                  <c:v>0.15000000000000002</c:v>
                </c:pt>
                <c:pt idx="2">
                  <c:v>0.44</c:v>
                </c:pt>
                <c:pt idx="3">
                  <c:v>0.22</c:v>
                </c:pt>
                <c:pt idx="4">
                  <c:v>0.05</c:v>
                </c:pt>
              </c:numCache>
            </c:numRef>
          </c:val>
          <c:extLst>
            <c:ext xmlns:c16="http://schemas.microsoft.com/office/drawing/2014/chart" uri="{C3380CC4-5D6E-409C-BE32-E72D297353CC}">
              <c16:uniqueId val="{00000002-BE40-4709-94E8-5E23FC26BB7E}"/>
            </c:ext>
          </c:extLst>
        </c:ser>
        <c:ser>
          <c:idx val="3"/>
          <c:order val="3"/>
          <c:tx>
            <c:strRef>
              <c:f>KS!$N$39</c:f>
              <c:strCache>
                <c:ptCount val="1"/>
                <c:pt idx="0">
                  <c:v>Televizní vysílání - ženy</c:v>
                </c:pt>
              </c:strCache>
            </c:strRef>
          </c:tx>
          <c:invertIfNegative val="0"/>
          <c:cat>
            <c:strRef>
              <c:f>KS!$J$40:$J$44</c:f>
              <c:strCache>
                <c:ptCount val="5"/>
                <c:pt idx="0">
                  <c:v>0 - 15 let</c:v>
                </c:pt>
                <c:pt idx="1">
                  <c:v>16 - 30 let</c:v>
                </c:pt>
                <c:pt idx="2">
                  <c:v>31 - 50 let</c:v>
                </c:pt>
                <c:pt idx="3">
                  <c:v>51 - 70 let</c:v>
                </c:pt>
                <c:pt idx="4">
                  <c:v>70+</c:v>
                </c:pt>
              </c:strCache>
            </c:strRef>
          </c:cat>
          <c:val>
            <c:numRef>
              <c:f>KS!$N$40:$N$44</c:f>
              <c:numCache>
                <c:formatCode>0%</c:formatCode>
                <c:ptCount val="5"/>
                <c:pt idx="0">
                  <c:v>0.12000000000000001</c:v>
                </c:pt>
                <c:pt idx="1">
                  <c:v>0.26</c:v>
                </c:pt>
                <c:pt idx="2">
                  <c:v>0.44</c:v>
                </c:pt>
                <c:pt idx="3">
                  <c:v>0.14000000000000001</c:v>
                </c:pt>
                <c:pt idx="4">
                  <c:v>4.0000000000000008E-2</c:v>
                </c:pt>
              </c:numCache>
            </c:numRef>
          </c:val>
          <c:extLst>
            <c:ext xmlns:c16="http://schemas.microsoft.com/office/drawing/2014/chart" uri="{C3380CC4-5D6E-409C-BE32-E72D297353CC}">
              <c16:uniqueId val="{00000003-BE40-4709-94E8-5E23FC26BB7E}"/>
            </c:ext>
          </c:extLst>
        </c:ser>
        <c:dLbls>
          <c:showLegendKey val="0"/>
          <c:showVal val="0"/>
          <c:showCatName val="0"/>
          <c:showSerName val="0"/>
          <c:showPercent val="0"/>
          <c:showBubbleSize val="0"/>
        </c:dLbls>
        <c:gapWidth val="150"/>
        <c:axId val="143039104"/>
        <c:axId val="143040896"/>
      </c:barChart>
      <c:catAx>
        <c:axId val="143039104"/>
        <c:scaling>
          <c:orientation val="minMax"/>
        </c:scaling>
        <c:delete val="0"/>
        <c:axPos val="b"/>
        <c:numFmt formatCode="General" sourceLinked="0"/>
        <c:majorTickMark val="out"/>
        <c:minorTickMark val="none"/>
        <c:tickLblPos val="nextTo"/>
        <c:crossAx val="143040896"/>
        <c:crosses val="autoZero"/>
        <c:auto val="1"/>
        <c:lblAlgn val="ctr"/>
        <c:lblOffset val="100"/>
        <c:noMultiLvlLbl val="0"/>
      </c:catAx>
      <c:valAx>
        <c:axId val="143040896"/>
        <c:scaling>
          <c:orientation val="minMax"/>
        </c:scaling>
        <c:delete val="0"/>
        <c:axPos val="l"/>
        <c:majorGridlines/>
        <c:numFmt formatCode="0%" sourceLinked="1"/>
        <c:majorTickMark val="out"/>
        <c:minorTickMark val="none"/>
        <c:tickLblPos val="nextTo"/>
        <c:crossAx val="14303910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Porovnání</a:t>
            </a:r>
            <a:r>
              <a:rPr lang="cs-CZ" baseline="0"/>
              <a:t> věkových skupin</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1"/>
          <c:order val="0"/>
          <c:tx>
            <c:strRef>
              <c:f>List1!$B$1</c:f>
              <c:strCache>
                <c:ptCount val="1"/>
                <c:pt idx="0">
                  <c:v>TV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15-64</c:v>
                </c:pt>
                <c:pt idx="1">
                  <c:v>65-100</c:v>
                </c:pt>
              </c:strCache>
            </c:strRef>
          </c:cat>
          <c:val>
            <c:numRef>
              <c:f>List1!$B$2:$B$3</c:f>
              <c:numCache>
                <c:formatCode>General</c:formatCode>
                <c:ptCount val="2"/>
                <c:pt idx="0">
                  <c:v>79.2</c:v>
                </c:pt>
                <c:pt idx="1">
                  <c:v>20.8</c:v>
                </c:pt>
              </c:numCache>
            </c:numRef>
          </c:val>
          <c:extLst>
            <c:ext xmlns:c16="http://schemas.microsoft.com/office/drawing/2014/chart" uri="{C3380CC4-5D6E-409C-BE32-E72D297353CC}">
              <c16:uniqueId val="{00000000-2269-4047-A038-34856542EE68}"/>
            </c:ext>
          </c:extLst>
        </c:ser>
        <c:ser>
          <c:idx val="2"/>
          <c:order val="1"/>
          <c:tx>
            <c:strRef>
              <c:f>List1!$C$1</c:f>
              <c:strCache>
                <c:ptCount val="1"/>
                <c:pt idx="0">
                  <c:v>Populace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List1!$A$2:$A$3</c:f>
              <c:strCache>
                <c:ptCount val="2"/>
                <c:pt idx="0">
                  <c:v>15-64</c:v>
                </c:pt>
                <c:pt idx="1">
                  <c:v>65-100</c:v>
                </c:pt>
              </c:strCache>
            </c:strRef>
          </c:cat>
          <c:val>
            <c:numRef>
              <c:f>List1!$C$2:$C$3</c:f>
              <c:numCache>
                <c:formatCode>General</c:formatCode>
                <c:ptCount val="2"/>
                <c:pt idx="0">
                  <c:v>66.3</c:v>
                </c:pt>
                <c:pt idx="1">
                  <c:v>18.3</c:v>
                </c:pt>
              </c:numCache>
            </c:numRef>
          </c:val>
          <c:extLst>
            <c:ext xmlns:c16="http://schemas.microsoft.com/office/drawing/2014/chart" uri="{C3380CC4-5D6E-409C-BE32-E72D297353CC}">
              <c16:uniqueId val="{00000001-2269-4047-A038-34856542EE68}"/>
            </c:ext>
          </c:extLst>
        </c:ser>
        <c:dLbls>
          <c:dLblPos val="outEnd"/>
          <c:showLegendKey val="0"/>
          <c:showVal val="1"/>
          <c:showCatName val="0"/>
          <c:showSerName val="0"/>
          <c:showPercent val="0"/>
          <c:showBubbleSize val="0"/>
        </c:dLbls>
        <c:gapWidth val="219"/>
        <c:overlap val="-27"/>
        <c:axId val="356280384"/>
        <c:axId val="356283008"/>
      </c:barChart>
      <c:catAx>
        <c:axId val="35628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6283008"/>
        <c:crosses val="autoZero"/>
        <c:auto val="1"/>
        <c:lblAlgn val="ctr"/>
        <c:lblOffset val="100"/>
        <c:noMultiLvlLbl val="0"/>
      </c:catAx>
      <c:valAx>
        <c:axId val="35628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62803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1208</Words>
  <Characters>5726</Characters>
  <Application>Microsoft Office Word</Application>
  <DocSecurity>0</DocSecurity>
  <Lines>272</Lines>
  <Paragraphs>256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Vidovićová</dc:creator>
  <cp:keywords/>
  <dc:description/>
  <cp:lastModifiedBy>Vidovićová</cp:lastModifiedBy>
  <cp:revision>1</cp:revision>
  <dcterms:created xsi:type="dcterms:W3CDTF">2017-10-18T08:37:00Z</dcterms:created>
  <dcterms:modified xsi:type="dcterms:W3CDTF">2017-10-18T11:20:00Z</dcterms:modified>
</cp:coreProperties>
</file>