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90" w:rsidRPr="007C3D40" w:rsidRDefault="005960FD">
      <w:pPr>
        <w:spacing w:after="0" w:line="240" w:lineRule="auto"/>
        <w:rPr>
          <w:lang w:val="en-GB"/>
        </w:rPr>
      </w:pPr>
      <w:bookmarkStart w:id="0" w:name="_Toc318806196"/>
      <w:bookmarkStart w:id="1" w:name="_Toc506992385"/>
      <w:r w:rsidRPr="007C3D40">
        <w:rPr>
          <w:lang w:val="en-GB"/>
        </w:rPr>
        <w:drawing>
          <wp:anchor distT="0" distB="0" distL="114300" distR="114300" simplePos="0" relativeHeight="251654143" behindDoc="0" locked="0" layoutInCell="1" allowOverlap="1">
            <wp:simplePos x="0" y="0"/>
            <wp:positionH relativeFrom="column">
              <wp:posOffset>-900430</wp:posOffset>
            </wp:positionH>
            <wp:positionV relativeFrom="paragraph">
              <wp:posOffset>-900430</wp:posOffset>
            </wp:positionV>
            <wp:extent cx="7559572" cy="10685779"/>
            <wp:effectExtent l="0" t="0" r="381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59572" cy="10685779"/>
                    </a:xfrm>
                    <a:prstGeom prst="rect">
                      <a:avLst/>
                    </a:prstGeom>
                  </pic:spPr>
                </pic:pic>
              </a:graphicData>
            </a:graphic>
          </wp:anchor>
        </w:drawing>
      </w:r>
      <w:r w:rsidR="00836372" w:rsidRPr="007C3D40">
        <w:rPr>
          <w:lang w:val="en-GB"/>
        </w:rPr>
        <mc:AlternateContent>
          <mc:Choice Requires="wps">
            <w:drawing>
              <wp:anchor distT="0" distB="0" distL="114300" distR="114300" simplePos="0" relativeHeight="251655168" behindDoc="0" locked="0" layoutInCell="1" allowOverlap="0">
                <wp:simplePos x="0" y="0"/>
                <wp:positionH relativeFrom="page">
                  <wp:posOffset>1080135</wp:posOffset>
                </wp:positionH>
                <wp:positionV relativeFrom="page">
                  <wp:posOffset>2339340</wp:posOffset>
                </wp:positionV>
                <wp:extent cx="5399405" cy="3960000"/>
                <wp:effectExtent l="0" t="0" r="10795" b="254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9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372" w:rsidRPr="00836372" w:rsidRDefault="007C3D40" w:rsidP="00836372">
                            <w:pPr>
                              <w:pStyle w:val="PublicationTitle"/>
                            </w:pPr>
                            <w:r>
                              <w:t xml:space="preserve">Gender </w:t>
                            </w:r>
                            <w:proofErr w:type="spellStart"/>
                            <w:r>
                              <w:t>Equality</w:t>
                            </w:r>
                            <w:proofErr w:type="spellEnd"/>
                            <w:r>
                              <w:t xml:space="preserve"> </w:t>
                            </w:r>
                            <w:proofErr w:type="spellStart"/>
                            <w:r>
                              <w:t>Plan</w:t>
                            </w:r>
                            <w:proofErr w:type="spellEnd"/>
                            <w:r>
                              <w:t xml:space="preserve">: </w:t>
                            </w:r>
                            <w:proofErr w:type="spellStart"/>
                            <w:r>
                              <w:t>Sustainability</w:t>
                            </w:r>
                            <w:proofErr w:type="spellEnd"/>
                            <w:r>
                              <w:t xml:space="preserve"> </w:t>
                            </w:r>
                            <w:proofErr w:type="spellStart"/>
                            <w:r>
                              <w:t>Plan</w:t>
                            </w:r>
                            <w:proofErr w:type="spellEnd"/>
                          </w:p>
                          <w:p w:rsidR="008E7BE2" w:rsidRPr="00836372" w:rsidRDefault="007C3D40" w:rsidP="00836372">
                            <w:pPr>
                              <w:pStyle w:val="AuthorandDate"/>
                            </w:pPr>
                            <w:r>
                              <w:t>Eliška Handlířová</w:t>
                            </w:r>
                          </w:p>
                          <w:p w:rsidR="008E7BE2" w:rsidRPr="007C3D40" w:rsidRDefault="007C3D40" w:rsidP="00836372">
                            <w:pPr>
                              <w:pStyle w:val="AuthorandDate"/>
                              <w:rPr>
                                <w:i/>
                              </w:rPr>
                            </w:pPr>
                            <w:proofErr w:type="spellStart"/>
                            <w:r w:rsidRPr="007C3D40">
                              <w:rPr>
                                <w:i/>
                              </w:rPr>
                              <w:t>March</w:t>
                            </w:r>
                            <w:proofErr w:type="spellEnd"/>
                            <w:r w:rsidRPr="007C3D40">
                              <w:rPr>
                                <w:i/>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margin-left:85.05pt;margin-top:184.2pt;width:425.15pt;height:31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" o:allowoverlap="f" filled="f" stroked="f">
                <v:textbox inset="0,0,0,0">
                  <w:txbxContent>
                    <w:p w:rsidR="00836372" w:rsidRPr="00836372" w:rsidRDefault="007C3D40" w:rsidP="00836372">
                      <w:pPr>
                        <w:pStyle w:val="PublicationTitle"/>
                      </w:pPr>
                      <w:r>
                        <w:t xml:space="preserve">Gender </w:t>
                      </w:r>
                      <w:proofErr w:type="spellStart"/>
                      <w:r>
                        <w:t>Equality</w:t>
                      </w:r>
                      <w:proofErr w:type="spellEnd"/>
                      <w:r>
                        <w:t xml:space="preserve"> </w:t>
                      </w:r>
                      <w:proofErr w:type="spellStart"/>
                      <w:r>
                        <w:t>Plan</w:t>
                      </w:r>
                      <w:proofErr w:type="spellEnd"/>
                      <w:r>
                        <w:t xml:space="preserve">: </w:t>
                      </w:r>
                      <w:proofErr w:type="spellStart"/>
                      <w:r>
                        <w:t>Sustainability</w:t>
                      </w:r>
                      <w:proofErr w:type="spellEnd"/>
                      <w:r>
                        <w:t xml:space="preserve"> </w:t>
                      </w:r>
                      <w:proofErr w:type="spellStart"/>
                      <w:r>
                        <w:t>Plan</w:t>
                      </w:r>
                      <w:proofErr w:type="spellEnd"/>
                    </w:p>
                    <w:p w:rsidR="008E7BE2" w:rsidRPr="00836372" w:rsidRDefault="007C3D40" w:rsidP="00836372">
                      <w:pPr>
                        <w:pStyle w:val="AuthorandDate"/>
                      </w:pPr>
                      <w:r>
                        <w:t>Eliška Handlířová</w:t>
                      </w:r>
                    </w:p>
                    <w:p w:rsidR="008E7BE2" w:rsidRPr="007C3D40" w:rsidRDefault="007C3D40" w:rsidP="00836372">
                      <w:pPr>
                        <w:pStyle w:val="AuthorandDate"/>
                        <w:rPr>
                          <w:i/>
                        </w:rPr>
                      </w:pPr>
                      <w:proofErr w:type="spellStart"/>
                      <w:r w:rsidRPr="007C3D40">
                        <w:rPr>
                          <w:i/>
                        </w:rPr>
                        <w:t>March</w:t>
                      </w:r>
                      <w:proofErr w:type="spellEnd"/>
                      <w:r w:rsidRPr="007C3D40">
                        <w:rPr>
                          <w:i/>
                        </w:rPr>
                        <w:t xml:space="preserve"> 2019</w:t>
                      </w:r>
                    </w:p>
                  </w:txbxContent>
                </v:textbox>
                <w10:wrap anchorx="page" anchory="page"/>
              </v:shape>
            </w:pict>
          </mc:Fallback>
        </mc:AlternateContent>
      </w:r>
      <w:r w:rsidR="003F47A4" w:rsidRPr="007C3D40">
        <w:rPr>
          <w:lang w:val="en-GB"/>
        </w:rPr>
        <w:br w:type="page"/>
      </w:r>
      <w:bookmarkEnd w:id="0"/>
    </w:p>
    <w:tbl>
      <w:tblPr>
        <w:tblStyle w:val="Mkatabulky"/>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095"/>
        <w:gridCol w:w="6389"/>
      </w:tblGrid>
      <w:tr w:rsidR="00DB2890" w:rsidRPr="007C3D40" w:rsidTr="00BD073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hideMark/>
          </w:tcPr>
          <w:p w:rsidR="00DB2890" w:rsidRPr="007C3D40" w:rsidRDefault="00DB2890" w:rsidP="00BD0735">
            <w:pPr>
              <w:spacing w:before="40" w:after="40" w:line="240" w:lineRule="auto"/>
              <w:rPr>
                <w:rFonts w:ascii="Arial" w:hAnsi="Arial" w:cs="Arial"/>
                <w:iCs/>
                <w:color w:val="FFFFFF" w:themeColor="background1"/>
                <w:sz w:val="18"/>
                <w:lang w:val="en-GB"/>
              </w:rPr>
            </w:pPr>
            <w:r w:rsidRPr="007C3D40">
              <w:rPr>
                <w:rFonts w:ascii="Arial" w:hAnsi="Arial" w:cs="Arial"/>
                <w:iCs/>
                <w:color w:val="FFFFFF" w:themeColor="background1"/>
                <w:sz w:val="18"/>
                <w:lang w:val="en-GB"/>
              </w:rPr>
              <w:lastRenderedPageBreak/>
              <w:t>Version</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rsidR="00DB2890" w:rsidRPr="007C3D40" w:rsidRDefault="00DB2890" w:rsidP="007C3D40">
            <w:pPr>
              <w:spacing w:before="40" w:after="40" w:line="240" w:lineRule="auto"/>
              <w:rPr>
                <w:rFonts w:ascii="Arial" w:hAnsi="Arial" w:cs="Arial"/>
                <w:iCs/>
                <w:sz w:val="18"/>
                <w:lang w:val="en-GB"/>
              </w:rPr>
            </w:pPr>
            <w:r w:rsidRPr="007C3D40">
              <w:rPr>
                <w:rFonts w:ascii="Arial" w:hAnsi="Arial" w:cs="Arial"/>
                <w:iCs/>
                <w:sz w:val="18"/>
                <w:lang w:val="en-GB"/>
              </w:rPr>
              <w:t>2019-</w:t>
            </w:r>
            <w:r w:rsidR="007C3D40" w:rsidRPr="007C3D40">
              <w:rPr>
                <w:rFonts w:ascii="Arial" w:hAnsi="Arial" w:cs="Arial"/>
                <w:iCs/>
                <w:sz w:val="18"/>
                <w:lang w:val="en-GB"/>
              </w:rPr>
              <w:t>03-28</w:t>
            </w:r>
          </w:p>
        </w:tc>
      </w:tr>
      <w:tr w:rsidR="00DB2890" w:rsidRPr="007C3D40" w:rsidTr="00BD073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rsidR="00DB2890" w:rsidRPr="007C3D40" w:rsidRDefault="00DB2890" w:rsidP="00BD0735">
            <w:pPr>
              <w:spacing w:before="40" w:after="40" w:line="240" w:lineRule="auto"/>
              <w:rPr>
                <w:rFonts w:ascii="Arial" w:hAnsi="Arial" w:cs="Arial"/>
                <w:iCs/>
                <w:color w:val="FFFFFF" w:themeColor="background1"/>
                <w:sz w:val="18"/>
                <w:lang w:val="en-GB"/>
              </w:rPr>
            </w:pPr>
            <w:r w:rsidRPr="007C3D40">
              <w:rPr>
                <w:rFonts w:ascii="Arial" w:hAnsi="Arial" w:cs="Arial"/>
                <w:iCs/>
                <w:color w:val="FFFFFF" w:themeColor="background1"/>
                <w:sz w:val="18"/>
                <w:lang w:val="en-GB"/>
              </w:rPr>
              <w:t>Authors</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rsidR="00DB2890" w:rsidRPr="007C3D40" w:rsidRDefault="00DB2890" w:rsidP="00BD0735">
            <w:pPr>
              <w:spacing w:before="40" w:after="40" w:line="240" w:lineRule="auto"/>
              <w:rPr>
                <w:rFonts w:ascii="Arial" w:hAnsi="Arial" w:cs="Arial"/>
                <w:iCs/>
                <w:sz w:val="18"/>
                <w:lang w:val="en-GB"/>
              </w:rPr>
            </w:pPr>
            <w:r w:rsidRPr="007C3D40">
              <w:rPr>
                <w:rFonts w:ascii="Arial" w:hAnsi="Arial" w:cs="Arial"/>
                <w:iCs/>
                <w:sz w:val="18"/>
                <w:lang w:val="en-GB"/>
              </w:rPr>
              <w:t>E. Handlířová, Director’s Office</w:t>
            </w:r>
          </w:p>
        </w:tc>
      </w:tr>
      <w:tr w:rsidR="00DB2890" w:rsidRPr="007C3D40" w:rsidTr="00BD073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rsidR="00DB2890" w:rsidRPr="007C3D40" w:rsidRDefault="00DB2890" w:rsidP="00BD0735">
            <w:pPr>
              <w:spacing w:before="40" w:after="40" w:line="240" w:lineRule="auto"/>
              <w:rPr>
                <w:rFonts w:ascii="Arial" w:hAnsi="Arial" w:cs="Arial"/>
                <w:iCs/>
                <w:color w:val="FFFFFF" w:themeColor="background1"/>
                <w:sz w:val="18"/>
                <w:lang w:val="en-GB"/>
              </w:rPr>
            </w:pPr>
            <w:r w:rsidRPr="007C3D40">
              <w:rPr>
                <w:rFonts w:ascii="Arial" w:hAnsi="Arial" w:cs="Arial"/>
                <w:iCs/>
                <w:color w:val="FFFFFF" w:themeColor="background1"/>
                <w:sz w:val="18"/>
                <w:lang w:val="en-GB"/>
              </w:rPr>
              <w:t>Consulted with</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rsidR="00DB2890" w:rsidRPr="007C3D40" w:rsidRDefault="007C3D40" w:rsidP="00BD0735">
            <w:pPr>
              <w:spacing w:before="40" w:after="40" w:line="240" w:lineRule="auto"/>
              <w:rPr>
                <w:rFonts w:ascii="Arial" w:hAnsi="Arial" w:cs="Arial"/>
                <w:iCs/>
                <w:sz w:val="18"/>
                <w:lang w:val="en-GB"/>
              </w:rPr>
            </w:pPr>
            <w:r w:rsidRPr="007C3D40">
              <w:rPr>
                <w:rFonts w:ascii="Arial" w:hAnsi="Arial" w:cs="Arial"/>
                <w:iCs/>
                <w:sz w:val="18"/>
                <w:lang w:val="en-GB"/>
              </w:rPr>
              <w:t>-</w:t>
            </w:r>
          </w:p>
        </w:tc>
      </w:tr>
      <w:tr w:rsidR="00DB2890" w:rsidRPr="007C3D40" w:rsidTr="00BD073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rsidR="00DB2890" w:rsidRPr="007C3D40" w:rsidRDefault="00DB2890" w:rsidP="00BD0735">
            <w:pPr>
              <w:spacing w:before="40" w:after="40" w:line="240" w:lineRule="auto"/>
              <w:rPr>
                <w:rFonts w:ascii="Arial" w:hAnsi="Arial" w:cs="Arial"/>
                <w:iCs/>
                <w:color w:val="FFFFFF" w:themeColor="background1"/>
                <w:sz w:val="18"/>
                <w:lang w:val="en-GB"/>
              </w:rPr>
            </w:pPr>
            <w:r w:rsidRPr="007C3D40">
              <w:rPr>
                <w:rFonts w:ascii="Arial" w:hAnsi="Arial" w:cs="Arial"/>
                <w:iCs/>
                <w:color w:val="FFFFFF" w:themeColor="background1"/>
                <w:sz w:val="18"/>
                <w:lang w:val="en-GB"/>
              </w:rPr>
              <w:t>Admin Meeting</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rsidR="00DB2890" w:rsidRPr="007C3D40" w:rsidRDefault="007C3D40" w:rsidP="00BD0735">
            <w:pPr>
              <w:spacing w:before="40" w:after="40" w:line="240" w:lineRule="auto"/>
              <w:rPr>
                <w:rFonts w:ascii="Arial" w:hAnsi="Arial" w:cs="Arial"/>
                <w:i/>
                <w:iCs/>
                <w:sz w:val="18"/>
                <w:lang w:val="en-GB"/>
              </w:rPr>
            </w:pPr>
            <w:r w:rsidRPr="007C3D40">
              <w:rPr>
                <w:rFonts w:ascii="Arial" w:hAnsi="Arial" w:cs="Arial"/>
                <w:i/>
                <w:iCs/>
                <w:sz w:val="18"/>
                <w:lang w:val="en-GB"/>
              </w:rPr>
              <w:t>To be presented in March/April</w:t>
            </w:r>
            <w:r w:rsidRPr="007C3D40">
              <w:rPr>
                <w:rFonts w:ascii="Arial" w:hAnsi="Arial" w:cs="Arial"/>
                <w:i/>
                <w:iCs/>
                <w:sz w:val="18"/>
                <w:lang w:val="en-GB"/>
              </w:rPr>
              <w:t xml:space="preserve"> 2019</w:t>
            </w:r>
          </w:p>
        </w:tc>
      </w:tr>
      <w:tr w:rsidR="00DB2890" w:rsidRPr="007C3D40" w:rsidTr="00BD073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rsidR="00DB2890" w:rsidRPr="007C3D40" w:rsidRDefault="00DB2890" w:rsidP="00BD0735">
            <w:pPr>
              <w:spacing w:before="40" w:after="40" w:line="240" w:lineRule="auto"/>
              <w:rPr>
                <w:rFonts w:ascii="Arial" w:hAnsi="Arial" w:cs="Arial"/>
                <w:iCs/>
                <w:color w:val="FFFFFF" w:themeColor="background1"/>
                <w:sz w:val="18"/>
                <w:lang w:val="en-GB"/>
              </w:rPr>
            </w:pPr>
            <w:r w:rsidRPr="007C3D40">
              <w:rPr>
                <w:rFonts w:ascii="Arial" w:hAnsi="Arial" w:cs="Arial"/>
                <w:iCs/>
                <w:color w:val="FFFFFF" w:themeColor="background1"/>
                <w:sz w:val="18"/>
                <w:lang w:val="en-GB"/>
              </w:rPr>
              <w:t>Management</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rsidR="00DB2890" w:rsidRPr="007C3D40" w:rsidRDefault="007C3D40" w:rsidP="00BD0735">
            <w:pPr>
              <w:spacing w:before="40" w:after="40" w:line="240" w:lineRule="auto"/>
              <w:rPr>
                <w:rFonts w:ascii="Arial" w:hAnsi="Arial" w:cs="Arial"/>
                <w:i/>
                <w:iCs/>
                <w:sz w:val="18"/>
                <w:lang w:val="en-GB"/>
              </w:rPr>
            </w:pPr>
            <w:r w:rsidRPr="007C3D40">
              <w:rPr>
                <w:rFonts w:ascii="Arial" w:hAnsi="Arial" w:cs="Arial"/>
                <w:i/>
                <w:iCs/>
                <w:sz w:val="18"/>
                <w:lang w:val="en-GB"/>
              </w:rPr>
              <w:t>To be presented in March/April 2019</w:t>
            </w:r>
          </w:p>
        </w:tc>
      </w:tr>
      <w:tr w:rsidR="00DB2890" w:rsidRPr="007C3D40" w:rsidTr="00BD073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rsidR="00DB2890" w:rsidRPr="007C3D40" w:rsidRDefault="00DB2890" w:rsidP="00BD0735">
            <w:pPr>
              <w:spacing w:before="40" w:after="40" w:line="240" w:lineRule="auto"/>
              <w:rPr>
                <w:rFonts w:ascii="Arial" w:hAnsi="Arial" w:cs="Arial"/>
                <w:iCs/>
                <w:color w:val="FFFFFF" w:themeColor="background1"/>
                <w:sz w:val="18"/>
                <w:lang w:val="en-GB"/>
              </w:rPr>
            </w:pPr>
            <w:r w:rsidRPr="007C3D40">
              <w:rPr>
                <w:rFonts w:ascii="Arial" w:hAnsi="Arial" w:cs="Arial"/>
                <w:iCs/>
                <w:color w:val="FFFFFF" w:themeColor="background1"/>
                <w:sz w:val="18"/>
                <w:lang w:val="en-GB"/>
              </w:rPr>
              <w:t>Director’s Board</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rsidR="00DB2890" w:rsidRPr="007C3D40" w:rsidRDefault="007C3D40" w:rsidP="00BD0735">
            <w:pPr>
              <w:spacing w:before="40" w:after="40" w:line="240" w:lineRule="auto"/>
              <w:rPr>
                <w:rFonts w:ascii="Arial" w:hAnsi="Arial" w:cs="Arial"/>
                <w:i/>
                <w:iCs/>
                <w:sz w:val="18"/>
                <w:lang w:val="en-GB"/>
              </w:rPr>
            </w:pPr>
            <w:r w:rsidRPr="007C3D40">
              <w:rPr>
                <w:rFonts w:ascii="Arial" w:hAnsi="Arial" w:cs="Arial"/>
                <w:i/>
                <w:iCs/>
                <w:sz w:val="18"/>
                <w:lang w:val="en-GB"/>
              </w:rPr>
              <w:t>To be presented in May 2019</w:t>
            </w:r>
          </w:p>
        </w:tc>
      </w:tr>
      <w:tr w:rsidR="00DB2890" w:rsidRPr="007C3D40" w:rsidTr="00BD073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rsidR="00DB2890" w:rsidRPr="007C3D40" w:rsidRDefault="00DB2890" w:rsidP="00BD0735">
            <w:pPr>
              <w:spacing w:before="40" w:after="40" w:line="240" w:lineRule="auto"/>
              <w:rPr>
                <w:rFonts w:ascii="Arial" w:hAnsi="Arial" w:cs="Arial"/>
                <w:iCs/>
                <w:color w:val="FFFFFF" w:themeColor="background1"/>
                <w:sz w:val="18"/>
                <w:lang w:val="en-GB"/>
              </w:rPr>
            </w:pPr>
            <w:r w:rsidRPr="007C3D40">
              <w:rPr>
                <w:rFonts w:ascii="Arial" w:hAnsi="Arial" w:cs="Arial"/>
                <w:iCs/>
                <w:color w:val="FFFFFF" w:themeColor="background1"/>
                <w:sz w:val="18"/>
                <w:lang w:val="en-GB"/>
              </w:rPr>
              <w:t>Type of Document</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rsidR="00DB2890" w:rsidRPr="007C3D40" w:rsidRDefault="007C3D40" w:rsidP="00BD0735">
            <w:pPr>
              <w:spacing w:before="40" w:after="40" w:line="240" w:lineRule="auto"/>
              <w:rPr>
                <w:rFonts w:ascii="Arial" w:hAnsi="Arial" w:cs="Arial"/>
                <w:sz w:val="18"/>
                <w:lang w:val="en-GB"/>
              </w:rPr>
            </w:pPr>
            <w:r w:rsidRPr="007C3D40">
              <w:rPr>
                <w:rFonts w:ascii="Arial" w:hAnsi="Arial" w:cs="Arial"/>
                <w:sz w:val="18"/>
                <w:lang w:val="en-GB"/>
              </w:rPr>
              <w:t>Activity Plan</w:t>
            </w:r>
          </w:p>
        </w:tc>
      </w:tr>
      <w:tr w:rsidR="00DB2890" w:rsidRPr="007C3D40" w:rsidTr="00BD073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rsidR="00DB2890" w:rsidRPr="007C3D40" w:rsidRDefault="00DB2890" w:rsidP="00BD0735">
            <w:pPr>
              <w:spacing w:before="40" w:after="40" w:line="240" w:lineRule="auto"/>
              <w:rPr>
                <w:rFonts w:ascii="Arial" w:hAnsi="Arial" w:cs="Arial"/>
                <w:iCs/>
                <w:color w:val="FFFFFF" w:themeColor="background1"/>
                <w:sz w:val="18"/>
                <w:lang w:val="en-GB"/>
              </w:rPr>
            </w:pPr>
            <w:r w:rsidRPr="007C3D40">
              <w:rPr>
                <w:rFonts w:ascii="Arial" w:hAnsi="Arial" w:cs="Arial"/>
                <w:iCs/>
                <w:color w:val="FFFFFF" w:themeColor="background1"/>
                <w:sz w:val="18"/>
                <w:lang w:val="en-GB"/>
              </w:rPr>
              <w:t>Key Words</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rsidR="00DB2890" w:rsidRPr="007C3D40" w:rsidRDefault="007C3D40" w:rsidP="00BD0735">
            <w:pPr>
              <w:spacing w:before="40" w:after="40" w:line="240" w:lineRule="auto"/>
              <w:rPr>
                <w:rFonts w:ascii="Arial" w:hAnsi="Arial" w:cs="Arial"/>
                <w:sz w:val="18"/>
                <w:lang w:val="en-GB"/>
              </w:rPr>
            </w:pPr>
            <w:r w:rsidRPr="007C3D40">
              <w:rPr>
                <w:rFonts w:ascii="Arial" w:hAnsi="Arial" w:cs="Arial"/>
                <w:sz w:val="18"/>
                <w:lang w:val="en-GB"/>
              </w:rPr>
              <w:t>Gender Equality, LIBRA, HR Award</w:t>
            </w:r>
          </w:p>
        </w:tc>
      </w:tr>
      <w:tr w:rsidR="00DB2890" w:rsidRPr="007C3D40" w:rsidTr="00BD073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rsidR="00DB2890" w:rsidRPr="007C3D40" w:rsidRDefault="00DB2890" w:rsidP="00BD0735">
            <w:pPr>
              <w:spacing w:before="40" w:after="40" w:line="240" w:lineRule="auto"/>
              <w:rPr>
                <w:rFonts w:ascii="Arial" w:hAnsi="Arial" w:cs="Arial"/>
                <w:iCs/>
                <w:color w:val="FFFFFF" w:themeColor="background1"/>
                <w:sz w:val="18"/>
                <w:lang w:val="en-GB"/>
              </w:rPr>
            </w:pPr>
            <w:r w:rsidRPr="007C3D40">
              <w:rPr>
                <w:rFonts w:ascii="Arial" w:hAnsi="Arial" w:cs="Arial"/>
                <w:iCs/>
                <w:color w:val="FFFFFF" w:themeColor="background1"/>
                <w:sz w:val="18"/>
                <w:lang w:val="en-GB"/>
              </w:rPr>
              <w:t>Reported Period</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rsidR="00DB2890" w:rsidRPr="007C3D40" w:rsidRDefault="007C3D40" w:rsidP="00BD0735">
            <w:pPr>
              <w:spacing w:before="40" w:after="40" w:line="240" w:lineRule="auto"/>
              <w:rPr>
                <w:rFonts w:ascii="Arial" w:hAnsi="Arial" w:cs="Arial"/>
                <w:sz w:val="18"/>
                <w:lang w:val="en-GB"/>
              </w:rPr>
            </w:pPr>
            <w:r w:rsidRPr="007C3D40">
              <w:rPr>
                <w:rFonts w:ascii="Arial" w:hAnsi="Arial" w:cs="Arial"/>
                <w:sz w:val="18"/>
                <w:lang w:val="en-GB"/>
              </w:rPr>
              <w:t>-</w:t>
            </w:r>
          </w:p>
        </w:tc>
      </w:tr>
      <w:tr w:rsidR="00DB2890" w:rsidRPr="007C3D40" w:rsidTr="00BD073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rsidR="00DB2890" w:rsidRPr="007C3D40" w:rsidRDefault="00DB2890" w:rsidP="00BD0735">
            <w:pPr>
              <w:spacing w:before="40" w:after="40" w:line="240" w:lineRule="auto"/>
              <w:rPr>
                <w:rFonts w:ascii="Arial" w:hAnsi="Arial" w:cs="Arial"/>
                <w:iCs/>
                <w:color w:val="FFFFFF" w:themeColor="background1"/>
                <w:sz w:val="18"/>
                <w:lang w:val="en-GB"/>
              </w:rPr>
            </w:pPr>
            <w:r w:rsidRPr="007C3D40">
              <w:rPr>
                <w:rFonts w:ascii="Arial" w:hAnsi="Arial" w:cs="Arial"/>
                <w:iCs/>
                <w:color w:val="FFFFFF" w:themeColor="background1"/>
                <w:sz w:val="18"/>
                <w:lang w:val="en-GB"/>
              </w:rPr>
              <w:t>Sensitive Document</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rsidR="00DB2890" w:rsidRPr="007C3D40" w:rsidRDefault="007C3D40" w:rsidP="00BD0735">
            <w:pPr>
              <w:spacing w:before="40" w:after="40" w:line="240" w:lineRule="auto"/>
              <w:rPr>
                <w:rFonts w:ascii="Arial" w:hAnsi="Arial" w:cs="Arial"/>
                <w:sz w:val="18"/>
                <w:lang w:val="en-GB"/>
              </w:rPr>
            </w:pPr>
            <w:r w:rsidRPr="007C3D40">
              <w:rPr>
                <w:rFonts w:ascii="Arial" w:hAnsi="Arial" w:cs="Arial"/>
                <w:sz w:val="18"/>
                <w:lang w:val="en-GB"/>
              </w:rPr>
              <w:t>NO</w:t>
            </w:r>
          </w:p>
        </w:tc>
      </w:tr>
    </w:tbl>
    <w:p w:rsidR="00DB2890" w:rsidRPr="007C3D40" w:rsidRDefault="00DB2890">
      <w:pPr>
        <w:spacing w:after="0" w:line="240" w:lineRule="auto"/>
        <w:rPr>
          <w:rFonts w:cs="Arial"/>
          <w:b/>
          <w:bCs/>
          <w:caps/>
          <w:color w:val="21A9C0"/>
          <w:kern w:val="32"/>
          <w:sz w:val="44"/>
          <w:szCs w:val="64"/>
          <w:lang w:val="en-GB"/>
        </w:rPr>
      </w:pPr>
      <w:r w:rsidRPr="007C3D40">
        <w:rPr>
          <w:lang w:val="en-GB"/>
        </w:rPr>
        <w:br w:type="page"/>
      </w:r>
      <w:bookmarkStart w:id="2" w:name="_GoBack"/>
      <w:bookmarkEnd w:id="2"/>
    </w:p>
    <w:bookmarkEnd w:id="1"/>
    <w:p w:rsidR="007C3D40" w:rsidRPr="007C3D40" w:rsidRDefault="007C3D40" w:rsidP="007C3D40">
      <w:pPr>
        <w:spacing w:after="120" w:line="240" w:lineRule="auto"/>
        <w:jc w:val="both"/>
        <w:rPr>
          <w:rFonts w:ascii="Times New Roman" w:hAnsi="Times New Roman"/>
          <w:sz w:val="24"/>
          <w:szCs w:val="24"/>
          <w:lang w:val="en-GB" w:eastAsia="en-GB"/>
        </w:rPr>
      </w:pPr>
      <w:r w:rsidRPr="007C3D40">
        <w:rPr>
          <w:rFonts w:ascii="Arial" w:hAnsi="Arial" w:cs="Arial"/>
          <w:i/>
          <w:iCs/>
          <w:color w:val="000000"/>
          <w:lang w:val="en-GB" w:eastAsia="en-GB"/>
        </w:rPr>
        <w:lastRenderedPageBreak/>
        <w:t xml:space="preserve">LIBRA is ending by the end of March 2019. The consortium will have implemented all tasks and fulfilled all deliverables of the project. However, impact of the activities still need to be evaluated in a mid- and long-term perspective. Some of the LIBRA activities have been just kicked-off and need further implementations or corrections, and other issues have not been tackled yet. This document provides </w:t>
      </w:r>
      <w:r>
        <w:rPr>
          <w:rFonts w:ascii="Arial" w:hAnsi="Arial" w:cs="Arial"/>
          <w:i/>
          <w:iCs/>
          <w:color w:val="000000"/>
          <w:lang w:val="en-GB" w:eastAsia="en-GB"/>
        </w:rPr>
        <w:t>information on future steps in order to sustain and further develop (extend)</w:t>
      </w:r>
      <w:r w:rsidRPr="007C3D40">
        <w:rPr>
          <w:rFonts w:ascii="Arial" w:hAnsi="Arial" w:cs="Arial"/>
          <w:i/>
          <w:iCs/>
          <w:color w:val="000000"/>
          <w:lang w:val="en-GB" w:eastAsia="en-GB"/>
        </w:rPr>
        <w:t xml:space="preserve"> the LIBRA achievements </w:t>
      </w:r>
      <w:r>
        <w:rPr>
          <w:rFonts w:ascii="Arial" w:hAnsi="Arial" w:cs="Arial"/>
          <w:i/>
          <w:iCs/>
          <w:color w:val="000000"/>
          <w:lang w:val="en-GB" w:eastAsia="en-GB"/>
        </w:rPr>
        <w:t>at</w:t>
      </w:r>
      <w:r w:rsidRPr="007C3D40">
        <w:rPr>
          <w:rFonts w:ascii="Arial" w:hAnsi="Arial" w:cs="Arial"/>
          <w:i/>
          <w:iCs/>
          <w:color w:val="000000"/>
          <w:lang w:val="en-GB" w:eastAsia="en-GB"/>
        </w:rPr>
        <w:t xml:space="preserve"> </w:t>
      </w:r>
      <w:r>
        <w:rPr>
          <w:rFonts w:ascii="Arial" w:hAnsi="Arial" w:cs="Arial"/>
          <w:i/>
          <w:iCs/>
          <w:color w:val="000000"/>
          <w:lang w:val="en-GB" w:eastAsia="en-GB"/>
        </w:rPr>
        <w:t>CEITEC MU</w:t>
      </w:r>
      <w:r w:rsidRPr="007C3D40">
        <w:rPr>
          <w:rFonts w:ascii="Arial" w:hAnsi="Arial" w:cs="Arial"/>
          <w:i/>
          <w:iCs/>
          <w:color w:val="000000"/>
          <w:lang w:val="en-GB" w:eastAsia="en-GB"/>
        </w:rPr>
        <w:t>.</w:t>
      </w:r>
    </w:p>
    <w:p w:rsidR="007C3D40" w:rsidRDefault="007C3D40" w:rsidP="007C3D40">
      <w:pPr>
        <w:rPr>
          <w:lang w:val="en-GB"/>
        </w:rPr>
      </w:pPr>
    </w:p>
    <w:tbl>
      <w:tblPr>
        <w:tblStyle w:val="Mkatabulky"/>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114"/>
        <w:gridCol w:w="5946"/>
      </w:tblGrid>
      <w:tr w:rsidR="007C3D40" w:rsidRPr="00627CD7" w:rsidTr="00923A5C">
        <w:tc>
          <w:tcPr>
            <w:tcW w:w="3114" w:type="dxa"/>
          </w:tcPr>
          <w:p w:rsidR="007C3D40" w:rsidRPr="00923A5C" w:rsidRDefault="007C3D40" w:rsidP="00627CD7">
            <w:pPr>
              <w:spacing w:before="120" w:after="120" w:line="240" w:lineRule="auto"/>
              <w:rPr>
                <w:rFonts w:ascii="Arial" w:hAnsi="Arial" w:cs="Arial"/>
                <w:b/>
                <w:sz w:val="20"/>
                <w:lang w:val="en-GB"/>
              </w:rPr>
            </w:pPr>
            <w:r w:rsidRPr="00923A5C">
              <w:rPr>
                <w:rFonts w:ascii="Arial" w:hAnsi="Arial" w:cs="Arial"/>
                <w:b/>
                <w:sz w:val="20"/>
                <w:lang w:val="en-GB"/>
              </w:rPr>
              <w:t>Coordination of GE Activities</w:t>
            </w:r>
          </w:p>
        </w:tc>
        <w:tc>
          <w:tcPr>
            <w:tcW w:w="5946" w:type="dxa"/>
          </w:tcPr>
          <w:p w:rsidR="007C3D40" w:rsidRPr="00F752DF" w:rsidRDefault="007C3D40" w:rsidP="00627CD7">
            <w:pPr>
              <w:spacing w:before="120" w:after="120" w:line="240" w:lineRule="auto"/>
              <w:rPr>
                <w:rFonts w:ascii="Arial" w:hAnsi="Arial" w:cs="Arial"/>
                <w:sz w:val="20"/>
                <w:lang w:val="en-GB"/>
              </w:rPr>
            </w:pPr>
            <w:r w:rsidRPr="00F752DF">
              <w:rPr>
                <w:rFonts w:ascii="Arial" w:eastAsia="Times New Roman" w:hAnsi="Arial" w:cs="Arial"/>
                <w:iCs/>
                <w:color w:val="000000"/>
                <w:sz w:val="20"/>
                <w:lang w:val="en-GB" w:eastAsia="en-GB"/>
              </w:rPr>
              <w:t>Eliška Handlířová, Head of Director’s Office (LIBRA coordinator at CEITEC MU</w:t>
            </w:r>
            <w:r w:rsidRPr="00F752DF">
              <w:rPr>
                <w:rFonts w:ascii="Arial" w:eastAsia="Times New Roman" w:hAnsi="Arial" w:cs="Arial"/>
                <w:iCs/>
                <w:color w:val="000000"/>
                <w:sz w:val="20"/>
                <w:lang w:val="en-GB" w:eastAsia="en-GB"/>
              </w:rPr>
              <w:t>, HR Award coordinator at CEITEC MU</w:t>
            </w:r>
            <w:r w:rsidRPr="00F752DF">
              <w:rPr>
                <w:rFonts w:ascii="Arial" w:eastAsia="Times New Roman" w:hAnsi="Arial" w:cs="Arial"/>
                <w:iCs/>
                <w:color w:val="000000"/>
                <w:sz w:val="20"/>
                <w:lang w:val="en-GB" w:eastAsia="en-GB"/>
              </w:rPr>
              <w:t>)</w:t>
            </w:r>
          </w:p>
        </w:tc>
      </w:tr>
      <w:tr w:rsidR="007C3D40" w:rsidRPr="00627CD7" w:rsidTr="00923A5C">
        <w:tc>
          <w:tcPr>
            <w:tcW w:w="3114" w:type="dxa"/>
          </w:tcPr>
          <w:p w:rsidR="007C3D40" w:rsidRPr="00923A5C" w:rsidRDefault="007C3D40" w:rsidP="00F752DF">
            <w:pPr>
              <w:spacing w:before="120" w:after="120" w:line="240" w:lineRule="auto"/>
              <w:rPr>
                <w:rFonts w:ascii="Arial" w:hAnsi="Arial" w:cs="Arial"/>
                <w:b/>
                <w:sz w:val="20"/>
                <w:lang w:val="en-GB"/>
              </w:rPr>
            </w:pPr>
            <w:r w:rsidRPr="00923A5C">
              <w:rPr>
                <w:rFonts w:ascii="Arial" w:hAnsi="Arial" w:cs="Arial"/>
                <w:b/>
                <w:sz w:val="20"/>
                <w:lang w:val="en-GB"/>
              </w:rPr>
              <w:t xml:space="preserve">Dedication of </w:t>
            </w:r>
            <w:r w:rsidR="00F752DF" w:rsidRPr="00923A5C">
              <w:rPr>
                <w:rFonts w:ascii="Arial" w:hAnsi="Arial" w:cs="Arial"/>
                <w:b/>
                <w:sz w:val="20"/>
                <w:lang w:val="en-GB"/>
              </w:rPr>
              <w:t>H</w:t>
            </w:r>
            <w:r w:rsidRPr="00923A5C">
              <w:rPr>
                <w:rFonts w:ascii="Arial" w:hAnsi="Arial" w:cs="Arial"/>
                <w:b/>
                <w:sz w:val="20"/>
                <w:lang w:val="en-GB"/>
              </w:rPr>
              <w:t xml:space="preserve">uman </w:t>
            </w:r>
            <w:r w:rsidR="00F752DF" w:rsidRPr="00923A5C">
              <w:rPr>
                <w:rFonts w:ascii="Arial" w:hAnsi="Arial" w:cs="Arial"/>
                <w:b/>
                <w:sz w:val="20"/>
                <w:lang w:val="en-GB"/>
              </w:rPr>
              <w:t>R</w:t>
            </w:r>
            <w:r w:rsidRPr="00923A5C">
              <w:rPr>
                <w:rFonts w:ascii="Arial" w:hAnsi="Arial" w:cs="Arial"/>
                <w:b/>
                <w:sz w:val="20"/>
                <w:lang w:val="en-GB"/>
              </w:rPr>
              <w:t>esources</w:t>
            </w:r>
          </w:p>
        </w:tc>
        <w:tc>
          <w:tcPr>
            <w:tcW w:w="5946" w:type="dxa"/>
          </w:tcPr>
          <w:p w:rsidR="007C3D40" w:rsidRPr="00F752DF" w:rsidRDefault="007C3D40" w:rsidP="00627CD7">
            <w:pPr>
              <w:spacing w:before="120" w:after="120" w:line="240" w:lineRule="auto"/>
              <w:rPr>
                <w:rFonts w:ascii="Arial" w:hAnsi="Arial" w:cs="Arial"/>
                <w:sz w:val="20"/>
                <w:lang w:val="en-GB"/>
              </w:rPr>
            </w:pPr>
            <w:r w:rsidRPr="00F752DF">
              <w:rPr>
                <w:rFonts w:ascii="Arial" w:eastAsia="Times New Roman" w:hAnsi="Arial" w:cs="Arial"/>
                <w:iCs/>
                <w:color w:val="000000"/>
                <w:sz w:val="20"/>
                <w:lang w:val="en-GB" w:eastAsia="en-GB"/>
              </w:rPr>
              <w:t>The LIBRA GEP team will continue even in extended way. CEITEC MU starts implementation of the HR Excellence in Research Award – Action Plan (2018-2023). The GEP for 2019+ will be prepared and implemented by the HR Award Working Group.</w:t>
            </w:r>
          </w:p>
        </w:tc>
      </w:tr>
      <w:tr w:rsidR="007C3D40" w:rsidRPr="00627CD7" w:rsidTr="00923A5C">
        <w:tc>
          <w:tcPr>
            <w:tcW w:w="3114" w:type="dxa"/>
          </w:tcPr>
          <w:p w:rsidR="007C3D40" w:rsidRPr="00923A5C" w:rsidRDefault="007C3D40" w:rsidP="00627CD7">
            <w:pPr>
              <w:spacing w:before="120" w:after="120" w:line="240" w:lineRule="auto"/>
              <w:rPr>
                <w:rFonts w:ascii="Arial" w:hAnsi="Arial" w:cs="Arial"/>
                <w:b/>
                <w:sz w:val="20"/>
                <w:lang w:val="en-GB"/>
              </w:rPr>
            </w:pPr>
            <w:r w:rsidRPr="00923A5C">
              <w:rPr>
                <w:rFonts w:ascii="Arial" w:hAnsi="Arial" w:cs="Arial"/>
                <w:b/>
                <w:sz w:val="20"/>
                <w:lang w:val="en-GB"/>
              </w:rPr>
              <w:t>Members of the HR Working Group</w:t>
            </w:r>
          </w:p>
        </w:tc>
        <w:tc>
          <w:tcPr>
            <w:tcW w:w="5946" w:type="dxa"/>
          </w:tcPr>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Eliška Handlířová (Head of Director’s Office, GEP team member)</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Nikola Kostlánová (Scientific Secretary, GEP team member)</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Andrea Dvořáková (Head of HR Department, GEP team member)</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Kateřina Ornerová (Head of Strategy and Science Dept., GEP team member)</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 xml:space="preserve">Martina Pokorná (Deputy Director for Administrative Matters, </w:t>
            </w:r>
            <w:r w:rsidRPr="00F752DF">
              <w:rPr>
                <w:rFonts w:ascii="Arial" w:eastAsia="Times New Roman" w:hAnsi="Arial" w:cs="Arial"/>
                <w:b/>
                <w:iCs/>
                <w:color w:val="000000"/>
                <w:sz w:val="20"/>
                <w:lang w:val="en-GB" w:eastAsia="en-GB"/>
              </w:rPr>
              <w:t>new member</w:t>
            </w:r>
            <w:r w:rsidRPr="00F752DF">
              <w:rPr>
                <w:rFonts w:ascii="Arial" w:eastAsia="Times New Roman" w:hAnsi="Arial" w:cs="Arial"/>
                <w:iCs/>
                <w:color w:val="000000"/>
                <w:sz w:val="20"/>
                <w:lang w:val="en-GB" w:eastAsia="en-GB"/>
              </w:rPr>
              <w:t>)</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 xml:space="preserve">Ester Jarour (PhD School Manager, Strategy and Science Dept., </w:t>
            </w:r>
            <w:r w:rsidRPr="00F752DF">
              <w:rPr>
                <w:rFonts w:ascii="Arial" w:eastAsia="Times New Roman" w:hAnsi="Arial" w:cs="Arial"/>
                <w:b/>
                <w:iCs/>
                <w:color w:val="000000"/>
                <w:sz w:val="20"/>
                <w:lang w:val="en-GB" w:eastAsia="en-GB"/>
              </w:rPr>
              <w:t>new member</w:t>
            </w:r>
            <w:r w:rsidR="00F752DF">
              <w:rPr>
                <w:rFonts w:ascii="Arial" w:eastAsia="Times New Roman" w:hAnsi="Arial" w:cs="Arial"/>
                <w:iCs/>
                <w:color w:val="000000"/>
                <w:sz w:val="20"/>
                <w:lang w:val="en-GB" w:eastAsia="en-GB"/>
              </w:rPr>
              <w:t>, upon invitation</w:t>
            </w:r>
            <w:r w:rsidRPr="00F752DF">
              <w:rPr>
                <w:rFonts w:ascii="Arial" w:eastAsia="Times New Roman" w:hAnsi="Arial" w:cs="Arial"/>
                <w:iCs/>
                <w:color w:val="000000"/>
                <w:sz w:val="20"/>
                <w:lang w:val="en-GB" w:eastAsia="en-GB"/>
              </w:rPr>
              <w:t>)</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 xml:space="preserve">Olga Křížová (PhD School Manager, Strategy and Science Dept., </w:t>
            </w:r>
            <w:r w:rsidRPr="00F752DF">
              <w:rPr>
                <w:rFonts w:ascii="Arial" w:eastAsia="Times New Roman" w:hAnsi="Arial" w:cs="Arial"/>
                <w:b/>
                <w:iCs/>
                <w:color w:val="000000"/>
                <w:sz w:val="20"/>
                <w:lang w:val="en-GB" w:eastAsia="en-GB"/>
              </w:rPr>
              <w:t>new member</w:t>
            </w:r>
            <w:r w:rsidR="00F752DF">
              <w:rPr>
                <w:rFonts w:ascii="Arial" w:eastAsia="Times New Roman" w:hAnsi="Arial" w:cs="Arial"/>
                <w:iCs/>
                <w:color w:val="000000"/>
                <w:sz w:val="20"/>
                <w:lang w:val="en-GB" w:eastAsia="en-GB"/>
              </w:rPr>
              <w:t>, upon invitation</w:t>
            </w:r>
            <w:r w:rsidRPr="00F752DF">
              <w:rPr>
                <w:rFonts w:ascii="Arial" w:eastAsia="Times New Roman" w:hAnsi="Arial" w:cs="Arial"/>
                <w:iCs/>
                <w:color w:val="000000"/>
                <w:sz w:val="20"/>
                <w:lang w:val="en-GB" w:eastAsia="en-GB"/>
              </w:rPr>
              <w:t>)</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 xml:space="preserve">Miroslav Haman (Head of Operations Dept., </w:t>
            </w:r>
            <w:r w:rsidRPr="00F752DF">
              <w:rPr>
                <w:rFonts w:ascii="Arial" w:eastAsia="Times New Roman" w:hAnsi="Arial" w:cs="Arial"/>
                <w:b/>
                <w:iCs/>
                <w:color w:val="000000"/>
                <w:sz w:val="20"/>
                <w:lang w:val="en-GB" w:eastAsia="en-GB"/>
              </w:rPr>
              <w:t>new member</w:t>
            </w:r>
            <w:r w:rsidR="00F752DF">
              <w:rPr>
                <w:rFonts w:ascii="Arial" w:eastAsia="Times New Roman" w:hAnsi="Arial" w:cs="Arial"/>
                <w:iCs/>
                <w:color w:val="000000"/>
                <w:sz w:val="20"/>
                <w:lang w:val="en-GB" w:eastAsia="en-GB"/>
              </w:rPr>
              <w:t>, upon invitation</w:t>
            </w:r>
            <w:r w:rsidRPr="00F752DF">
              <w:rPr>
                <w:rFonts w:ascii="Arial" w:eastAsia="Times New Roman" w:hAnsi="Arial" w:cs="Arial"/>
                <w:iCs/>
                <w:color w:val="000000"/>
                <w:sz w:val="20"/>
                <w:lang w:val="en-GB" w:eastAsia="en-GB"/>
              </w:rPr>
              <w:t>)</w:t>
            </w:r>
          </w:p>
        </w:tc>
      </w:tr>
      <w:tr w:rsidR="007C3D40" w:rsidRPr="00627CD7" w:rsidTr="00923A5C">
        <w:tc>
          <w:tcPr>
            <w:tcW w:w="3114" w:type="dxa"/>
          </w:tcPr>
          <w:p w:rsidR="007C3D40" w:rsidRPr="00923A5C" w:rsidRDefault="00F752DF" w:rsidP="00F752DF">
            <w:pPr>
              <w:spacing w:before="120" w:after="120" w:line="240" w:lineRule="auto"/>
              <w:rPr>
                <w:rFonts w:ascii="Arial" w:hAnsi="Arial" w:cs="Arial"/>
                <w:b/>
                <w:sz w:val="20"/>
                <w:lang w:val="en-GB"/>
              </w:rPr>
            </w:pPr>
            <w:r w:rsidRPr="00923A5C">
              <w:rPr>
                <w:rFonts w:ascii="Arial" w:eastAsia="Times New Roman" w:hAnsi="Arial" w:cs="Arial"/>
                <w:b/>
                <w:iCs/>
                <w:color w:val="000000"/>
                <w:sz w:val="20"/>
                <w:lang w:val="en-GB" w:eastAsia="en-GB"/>
              </w:rPr>
              <w:t>H</w:t>
            </w:r>
            <w:r w:rsidR="007C3D40" w:rsidRPr="00923A5C">
              <w:rPr>
                <w:rFonts w:ascii="Arial" w:eastAsia="Times New Roman" w:hAnsi="Arial" w:cs="Arial"/>
                <w:b/>
                <w:iCs/>
                <w:color w:val="000000"/>
                <w:sz w:val="20"/>
                <w:lang w:val="en-GB" w:eastAsia="en-GB"/>
              </w:rPr>
              <w:t xml:space="preserve">ighest </w:t>
            </w:r>
            <w:r w:rsidRPr="00923A5C">
              <w:rPr>
                <w:rFonts w:ascii="Arial" w:eastAsia="Times New Roman" w:hAnsi="Arial" w:cs="Arial"/>
                <w:b/>
                <w:iCs/>
                <w:color w:val="000000"/>
                <w:sz w:val="20"/>
                <w:lang w:val="en-GB" w:eastAsia="en-GB"/>
              </w:rPr>
              <w:t>O</w:t>
            </w:r>
            <w:r w:rsidR="007C3D40" w:rsidRPr="00923A5C">
              <w:rPr>
                <w:rFonts w:ascii="Arial" w:eastAsia="Times New Roman" w:hAnsi="Arial" w:cs="Arial"/>
                <w:b/>
                <w:iCs/>
                <w:color w:val="000000"/>
                <w:sz w:val="20"/>
                <w:lang w:val="en-GB" w:eastAsia="en-GB"/>
              </w:rPr>
              <w:t xml:space="preserve">fficial </w:t>
            </w:r>
            <w:r w:rsidRPr="00923A5C">
              <w:rPr>
                <w:rFonts w:ascii="Arial" w:eastAsia="Times New Roman" w:hAnsi="Arial" w:cs="Arial"/>
                <w:b/>
                <w:iCs/>
                <w:color w:val="000000"/>
                <w:sz w:val="20"/>
                <w:lang w:val="en-GB" w:eastAsia="en-GB"/>
              </w:rPr>
              <w:t>R</w:t>
            </w:r>
            <w:r w:rsidR="007C3D40" w:rsidRPr="00923A5C">
              <w:rPr>
                <w:rFonts w:ascii="Arial" w:eastAsia="Times New Roman" w:hAnsi="Arial" w:cs="Arial"/>
                <w:b/>
                <w:iCs/>
                <w:color w:val="000000"/>
                <w:sz w:val="20"/>
                <w:lang w:val="en-GB" w:eastAsia="en-GB"/>
              </w:rPr>
              <w:t xml:space="preserve">esponsible </w:t>
            </w:r>
            <w:r w:rsidRPr="00923A5C">
              <w:rPr>
                <w:rFonts w:ascii="Arial" w:eastAsia="Times New Roman" w:hAnsi="Arial" w:cs="Arial"/>
                <w:b/>
                <w:iCs/>
                <w:color w:val="000000"/>
                <w:sz w:val="20"/>
                <w:lang w:val="en-GB" w:eastAsia="en-GB"/>
              </w:rPr>
              <w:t>P</w:t>
            </w:r>
            <w:r w:rsidR="007C3D40" w:rsidRPr="00923A5C">
              <w:rPr>
                <w:rFonts w:ascii="Arial" w:eastAsia="Times New Roman" w:hAnsi="Arial" w:cs="Arial"/>
                <w:b/>
                <w:iCs/>
                <w:color w:val="000000"/>
                <w:sz w:val="20"/>
                <w:lang w:val="en-GB" w:eastAsia="en-GB"/>
              </w:rPr>
              <w:t>erson</w:t>
            </w:r>
            <w:r w:rsidRPr="00923A5C">
              <w:rPr>
                <w:rFonts w:ascii="Arial" w:eastAsia="Times New Roman" w:hAnsi="Arial" w:cs="Arial"/>
                <w:b/>
                <w:iCs/>
                <w:color w:val="000000"/>
                <w:sz w:val="20"/>
                <w:lang w:val="en-GB" w:eastAsia="en-GB"/>
              </w:rPr>
              <w:t>(s)</w:t>
            </w:r>
          </w:p>
        </w:tc>
        <w:tc>
          <w:tcPr>
            <w:tcW w:w="5946" w:type="dxa"/>
          </w:tcPr>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Eliška Handlířová (Head of Director’s Office, member of the management of the Institute)</w:t>
            </w:r>
          </w:p>
          <w:p w:rsidR="007C3D40" w:rsidRPr="00F752DF" w:rsidRDefault="007C3D40" w:rsidP="00627CD7">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Martina Pokorná (Deputy Director for Administrative Matters, member of the management of the Institute)</w:t>
            </w:r>
          </w:p>
        </w:tc>
      </w:tr>
      <w:tr w:rsidR="007C3D40" w:rsidRPr="00627CD7" w:rsidTr="00923A5C">
        <w:tc>
          <w:tcPr>
            <w:tcW w:w="3114" w:type="dxa"/>
          </w:tcPr>
          <w:p w:rsidR="007C3D40" w:rsidRPr="00923A5C" w:rsidRDefault="007C3D40" w:rsidP="00F752DF">
            <w:pPr>
              <w:spacing w:before="120" w:after="120" w:line="240" w:lineRule="auto"/>
              <w:rPr>
                <w:rFonts w:ascii="Arial" w:hAnsi="Arial" w:cs="Arial"/>
                <w:b/>
                <w:sz w:val="20"/>
                <w:lang w:val="en-GB"/>
              </w:rPr>
            </w:pPr>
            <w:r w:rsidRPr="00923A5C">
              <w:rPr>
                <w:rFonts w:ascii="Arial" w:hAnsi="Arial" w:cs="Arial"/>
                <w:b/>
                <w:sz w:val="20"/>
                <w:lang w:val="en-GB"/>
              </w:rPr>
              <w:t xml:space="preserve">Actions of LIBRA GEP </w:t>
            </w:r>
            <w:r w:rsidR="00F752DF" w:rsidRPr="00923A5C">
              <w:rPr>
                <w:rFonts w:ascii="Arial" w:hAnsi="Arial" w:cs="Arial"/>
                <w:b/>
                <w:sz w:val="20"/>
                <w:lang w:val="en-GB"/>
              </w:rPr>
              <w:t>T</w:t>
            </w:r>
            <w:r w:rsidRPr="00923A5C">
              <w:rPr>
                <w:rFonts w:ascii="Arial" w:hAnsi="Arial" w:cs="Arial"/>
                <w:b/>
                <w:sz w:val="20"/>
                <w:lang w:val="en-GB"/>
              </w:rPr>
              <w:t xml:space="preserve">o </w:t>
            </w:r>
            <w:r w:rsidR="00F752DF" w:rsidRPr="00923A5C">
              <w:rPr>
                <w:rFonts w:ascii="Arial" w:hAnsi="Arial" w:cs="Arial"/>
                <w:b/>
                <w:sz w:val="20"/>
                <w:lang w:val="en-GB"/>
              </w:rPr>
              <w:t>B</w:t>
            </w:r>
            <w:r w:rsidRPr="00923A5C">
              <w:rPr>
                <w:rFonts w:ascii="Arial" w:hAnsi="Arial" w:cs="Arial"/>
                <w:b/>
                <w:sz w:val="20"/>
                <w:lang w:val="en-GB"/>
              </w:rPr>
              <w:t xml:space="preserve">e </w:t>
            </w:r>
            <w:r w:rsidR="00F752DF" w:rsidRPr="00923A5C">
              <w:rPr>
                <w:rFonts w:ascii="Arial" w:hAnsi="Arial" w:cs="Arial"/>
                <w:b/>
                <w:sz w:val="20"/>
                <w:lang w:val="en-GB"/>
              </w:rPr>
              <w:t>C</w:t>
            </w:r>
            <w:r w:rsidRPr="00923A5C">
              <w:rPr>
                <w:rFonts w:ascii="Arial" w:hAnsi="Arial" w:cs="Arial"/>
                <w:b/>
                <w:sz w:val="20"/>
                <w:lang w:val="en-GB"/>
              </w:rPr>
              <w:t>ontinued</w:t>
            </w:r>
          </w:p>
        </w:tc>
        <w:tc>
          <w:tcPr>
            <w:tcW w:w="5946" w:type="dxa"/>
          </w:tcPr>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1.1.4 Applying job announcement guidelines – more templates will be changed to be more inclusive (using gender language decoder, etc.)</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1.2.1 Institutional website revision – ongoing revision of using gender-sensitive language, proper images, etc.</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1.2.3 Presentation of “family cases” – we will continue with interviews with our employees</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1.2.4 Gender-inclusive PR material – all PR materials are now reviewed also in respect to be gender-inclusive</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1.2.5 Proactively identify and contact potential female candidates for leading positions</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1.2.7 Promote transparency of recruitment practices – website on Work at CEITEC MU will be available, including information on our recruitment procedure and rules</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lastRenderedPageBreak/>
              <w:t>1.3.2 Recruitment policy/guidelines – will be implemented</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1.3.4 List of interview questions, 1.3.5 Interview report forms, 1.3.6 Communication policy for communication with candidates and committee members – will be used also in the future</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1.3.7 WLB brochure – will be offered to employees and updated if needed</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1.4.1 Monitoring gender balance at each stage of recruitment process – will be implemented also in the future</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2.1.2 Gender bias workshop – we aim to organize trainings for researchers with similar topics (if we have grants for that)</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2.2.2 Pilot career development program for postdocs – format to be specified</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2.3.2 Mentoring program – format to be specified</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2.4.3 Seminars for PhD students and postdocs about available opportunities in non-academic sectors and 3.2.3 WLB lectures for researchers – to be continued</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2.5.2 LIBRA Gender Handbook – still waiting for that...</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3.1.3 WLB Module and 3.2.4 WLB Policy – to be available to employees and updated regularly</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3.3.4 Sick days, 3.3.6 Nappy changing, breastfeeding, milk pumping, 3.3.12 Emergency leaves, 3.3.13 Personal return plans, 5.2.1 Exit interviews – will continue</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Sex/Gender Dimension in Research – we want to be informed about current developments and raise awareness among our researchers (format to be decided)</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5.1.1 Data analysis tools – to be further developed</w:t>
            </w:r>
          </w:p>
          <w:p w:rsidR="007C3D40" w:rsidRP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5.3.1 Screening internal documents and communication for gender-sensitive language use – to be implemented also in the future</w:t>
            </w:r>
          </w:p>
        </w:tc>
      </w:tr>
      <w:tr w:rsidR="007C3D40" w:rsidRPr="00627CD7" w:rsidTr="00923A5C">
        <w:tc>
          <w:tcPr>
            <w:tcW w:w="3114" w:type="dxa"/>
          </w:tcPr>
          <w:p w:rsidR="007C3D40" w:rsidRPr="00923A5C" w:rsidRDefault="007C3D40" w:rsidP="00F752DF">
            <w:pPr>
              <w:spacing w:before="120" w:after="120" w:line="240" w:lineRule="auto"/>
              <w:rPr>
                <w:rFonts w:ascii="Arial" w:hAnsi="Arial" w:cs="Arial"/>
                <w:b/>
                <w:sz w:val="20"/>
                <w:lang w:val="en-GB"/>
              </w:rPr>
            </w:pPr>
            <w:r w:rsidRPr="00923A5C">
              <w:rPr>
                <w:rFonts w:ascii="Arial" w:hAnsi="Arial" w:cs="Arial"/>
                <w:b/>
                <w:sz w:val="20"/>
                <w:lang w:val="en-GB"/>
              </w:rPr>
              <w:lastRenderedPageBreak/>
              <w:t xml:space="preserve">New </w:t>
            </w:r>
            <w:r w:rsidR="00F752DF" w:rsidRPr="00923A5C">
              <w:rPr>
                <w:rFonts w:ascii="Arial" w:hAnsi="Arial" w:cs="Arial"/>
                <w:b/>
                <w:sz w:val="20"/>
                <w:lang w:val="en-GB"/>
              </w:rPr>
              <w:t>A</w:t>
            </w:r>
            <w:r w:rsidRPr="00923A5C">
              <w:rPr>
                <w:rFonts w:ascii="Arial" w:hAnsi="Arial" w:cs="Arial"/>
                <w:b/>
                <w:sz w:val="20"/>
                <w:lang w:val="en-GB"/>
              </w:rPr>
              <w:t>ctions</w:t>
            </w:r>
          </w:p>
        </w:tc>
        <w:tc>
          <w:tcPr>
            <w:tcW w:w="5946" w:type="dxa"/>
          </w:tcPr>
          <w:p w:rsidR="007C3D40"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 xml:space="preserve">We aim to continue in actions started as a part of LIBRA/GEP. That will be the core. </w:t>
            </w:r>
          </w:p>
          <w:p w:rsidR="00923A5C" w:rsidRDefault="00923A5C"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Pr>
                <w:rFonts w:ascii="Arial" w:eastAsia="Times New Roman" w:hAnsi="Arial" w:cs="Arial"/>
                <w:iCs/>
                <w:color w:val="000000"/>
                <w:sz w:val="20"/>
                <w:lang w:val="en-GB" w:eastAsia="en-GB"/>
              </w:rPr>
              <w:t>Formalisation of the Recruitment Policy in a form of Director’s Measure and accompanying Guidelines.</w:t>
            </w:r>
          </w:p>
          <w:p w:rsidR="00923A5C" w:rsidRPr="00F752DF" w:rsidRDefault="00923A5C"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Pr>
                <w:rFonts w:ascii="Arial" w:eastAsia="Times New Roman" w:hAnsi="Arial" w:cs="Arial"/>
                <w:iCs/>
                <w:color w:val="000000"/>
                <w:sz w:val="20"/>
                <w:lang w:val="en-GB" w:eastAsia="en-GB"/>
              </w:rPr>
              <w:t>Review and implementation of Gender Guidelines on Evaluation.</w:t>
            </w:r>
          </w:p>
          <w:p w:rsidR="00F752DF"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iCs/>
                <w:color w:val="000000"/>
                <w:sz w:val="20"/>
                <w:lang w:val="en-GB" w:eastAsia="en-GB"/>
              </w:rPr>
              <w:t>Reports from HR agenda to the management will be defined and prepared (currently, there is no regular monitoring established). Thanks to LIBRA, we started e.g. collection of data from the recruitment procedures. Next step is to start analysing those data on regular basis (e.g. annually).</w:t>
            </w:r>
          </w:p>
          <w:p w:rsidR="00F752DF" w:rsidRPr="00F752DF" w:rsidRDefault="00F752DF" w:rsidP="00F752DF">
            <w:pPr>
              <w:pStyle w:val="Odstavecseseznamem"/>
              <w:numPr>
                <w:ilvl w:val="0"/>
                <w:numId w:val="29"/>
              </w:numPr>
              <w:spacing w:before="120" w:after="120" w:line="240" w:lineRule="auto"/>
              <w:ind w:left="178" w:hanging="178"/>
              <w:contextualSpacing w:val="0"/>
              <w:rPr>
                <w:rFonts w:ascii="Arial" w:eastAsia="Times New Roman" w:hAnsi="Arial" w:cs="Arial"/>
                <w:iCs/>
                <w:color w:val="000000"/>
                <w:sz w:val="20"/>
                <w:lang w:val="en-GB" w:eastAsia="en-GB"/>
              </w:rPr>
            </w:pPr>
            <w:r w:rsidRPr="00F752DF">
              <w:rPr>
                <w:rFonts w:ascii="Arial" w:eastAsia="Times New Roman" w:hAnsi="Arial" w:cs="Arial"/>
                <w:color w:val="000000"/>
                <w:sz w:val="20"/>
                <w:lang w:val="en-GB" w:eastAsia="en-GB"/>
              </w:rPr>
              <w:t>When preparing grant applications (esp. projects such as Teaming, Twinning, ERA Chair and some national schemes), we plan to include budget for HR/GE related activities.</w:t>
            </w:r>
          </w:p>
        </w:tc>
      </w:tr>
      <w:tr w:rsidR="007C3D40" w:rsidRPr="00627CD7" w:rsidTr="00923A5C">
        <w:tc>
          <w:tcPr>
            <w:tcW w:w="3114" w:type="dxa"/>
          </w:tcPr>
          <w:p w:rsidR="007C3D40" w:rsidRPr="00923A5C" w:rsidRDefault="00F752DF" w:rsidP="00F752DF">
            <w:pPr>
              <w:spacing w:before="120" w:after="120" w:line="240" w:lineRule="auto"/>
              <w:textAlignment w:val="baseline"/>
              <w:rPr>
                <w:rFonts w:ascii="Arial" w:hAnsi="Arial" w:cs="Arial"/>
                <w:b/>
                <w:lang w:val="en-GB"/>
              </w:rPr>
            </w:pPr>
            <w:r w:rsidRPr="00923A5C">
              <w:rPr>
                <w:rFonts w:ascii="Arial" w:hAnsi="Arial" w:cs="Arial"/>
                <w:b/>
                <w:sz w:val="20"/>
                <w:lang w:val="en-GB"/>
              </w:rPr>
              <w:t>Formal Documents</w:t>
            </w:r>
            <w:r w:rsidR="00923A5C" w:rsidRPr="00923A5C">
              <w:rPr>
                <w:rFonts w:ascii="Arial" w:hAnsi="Arial" w:cs="Arial"/>
                <w:b/>
                <w:sz w:val="20"/>
                <w:lang w:val="en-GB"/>
              </w:rPr>
              <w:t>, Institutionalisation</w:t>
            </w:r>
            <w:r w:rsidRPr="00923A5C">
              <w:rPr>
                <w:rFonts w:ascii="Arial" w:hAnsi="Arial" w:cs="Arial"/>
                <w:b/>
                <w:sz w:val="20"/>
                <w:lang w:val="en-GB"/>
              </w:rPr>
              <w:t xml:space="preserve"> and Monitoring</w:t>
            </w:r>
          </w:p>
        </w:tc>
        <w:tc>
          <w:tcPr>
            <w:tcW w:w="5946" w:type="dxa"/>
          </w:tcPr>
          <w:p w:rsidR="007C3D40" w:rsidRPr="00F752DF" w:rsidRDefault="00F752DF" w:rsidP="00F752DF">
            <w:pPr>
              <w:pStyle w:val="Odstavecseseznamem"/>
              <w:numPr>
                <w:ilvl w:val="0"/>
                <w:numId w:val="29"/>
              </w:numPr>
              <w:spacing w:before="120" w:after="120" w:line="240" w:lineRule="auto"/>
              <w:ind w:left="178" w:hanging="178"/>
              <w:contextualSpacing w:val="0"/>
              <w:rPr>
                <w:rFonts w:ascii="Arial" w:eastAsia="Times New Roman" w:hAnsi="Arial" w:cs="Arial"/>
                <w:color w:val="000000"/>
                <w:sz w:val="20"/>
                <w:lang w:val="en-GB" w:eastAsia="en-GB"/>
              </w:rPr>
            </w:pPr>
            <w:r>
              <w:rPr>
                <w:rFonts w:ascii="Arial" w:eastAsia="Times New Roman" w:hAnsi="Arial" w:cs="Arial"/>
                <w:color w:val="000000"/>
                <w:sz w:val="20"/>
                <w:lang w:val="en-GB" w:eastAsia="en-GB"/>
              </w:rPr>
              <w:t xml:space="preserve">New GEP for 2019-2020 / </w:t>
            </w:r>
            <w:r w:rsidRPr="00F752DF">
              <w:rPr>
                <w:rFonts w:ascii="Arial" w:eastAsia="Times New Roman" w:hAnsi="Arial" w:cs="Arial"/>
                <w:color w:val="000000"/>
                <w:sz w:val="20"/>
                <w:lang w:val="en-GB" w:eastAsia="en-GB"/>
              </w:rPr>
              <w:t xml:space="preserve">HR Action Plan for 2018-2022 (GEP is an internal part of </w:t>
            </w:r>
            <w:r>
              <w:rPr>
                <w:rFonts w:ascii="Arial" w:eastAsia="Times New Roman" w:hAnsi="Arial" w:cs="Arial"/>
                <w:color w:val="000000"/>
                <w:sz w:val="20"/>
                <w:lang w:val="en-GB" w:eastAsia="en-GB"/>
              </w:rPr>
              <w:t>it</w:t>
            </w:r>
            <w:r w:rsidRPr="00F752DF">
              <w:rPr>
                <w:rFonts w:ascii="Arial" w:eastAsia="Times New Roman" w:hAnsi="Arial" w:cs="Arial"/>
                <w:color w:val="000000"/>
                <w:sz w:val="20"/>
                <w:lang w:val="en-GB" w:eastAsia="en-GB"/>
              </w:rPr>
              <w:t>)</w:t>
            </w:r>
            <w:r>
              <w:rPr>
                <w:rFonts w:ascii="Arial" w:eastAsia="Times New Roman" w:hAnsi="Arial" w:cs="Arial"/>
                <w:color w:val="000000"/>
                <w:sz w:val="20"/>
                <w:lang w:val="en-GB" w:eastAsia="en-GB"/>
              </w:rPr>
              <w:t>.</w:t>
            </w:r>
          </w:p>
          <w:p w:rsidR="007C3D40" w:rsidRDefault="007C3D40" w:rsidP="00F752DF">
            <w:pPr>
              <w:pStyle w:val="Odstavecseseznamem"/>
              <w:numPr>
                <w:ilvl w:val="0"/>
                <w:numId w:val="29"/>
              </w:numPr>
              <w:spacing w:before="120" w:after="120" w:line="240" w:lineRule="auto"/>
              <w:ind w:left="178" w:hanging="178"/>
              <w:contextualSpacing w:val="0"/>
              <w:rPr>
                <w:rFonts w:ascii="Arial" w:eastAsia="Times New Roman" w:hAnsi="Arial" w:cs="Arial"/>
                <w:color w:val="000000"/>
                <w:sz w:val="20"/>
                <w:lang w:val="en-GB" w:eastAsia="en-GB"/>
              </w:rPr>
            </w:pPr>
            <w:r w:rsidRPr="00F752DF">
              <w:rPr>
                <w:rFonts w:ascii="Arial" w:eastAsia="Times New Roman" w:hAnsi="Arial" w:cs="Arial"/>
                <w:color w:val="000000"/>
                <w:sz w:val="20"/>
                <w:lang w:val="en-GB" w:eastAsia="en-GB"/>
              </w:rPr>
              <w:t>HR Working Group (reg</w:t>
            </w:r>
            <w:r w:rsidR="00F752DF">
              <w:rPr>
                <w:rFonts w:ascii="Arial" w:eastAsia="Times New Roman" w:hAnsi="Arial" w:cs="Arial"/>
                <w:color w:val="000000"/>
                <w:sz w:val="20"/>
                <w:lang w:val="en-GB" w:eastAsia="en-GB"/>
              </w:rPr>
              <w:t>ular meetings/minutes, status reports three times per year presented to the Management, annually to the Director’s Board).</w:t>
            </w:r>
          </w:p>
          <w:p w:rsidR="00F752DF" w:rsidRDefault="00F752DF" w:rsidP="00F752DF">
            <w:pPr>
              <w:pStyle w:val="Odstavecseseznamem"/>
              <w:numPr>
                <w:ilvl w:val="0"/>
                <w:numId w:val="29"/>
              </w:numPr>
              <w:spacing w:before="120" w:after="120" w:line="240" w:lineRule="auto"/>
              <w:ind w:left="178" w:hanging="178"/>
              <w:contextualSpacing w:val="0"/>
              <w:rPr>
                <w:rFonts w:ascii="Arial" w:eastAsia="Times New Roman" w:hAnsi="Arial" w:cs="Arial"/>
                <w:color w:val="000000"/>
                <w:sz w:val="20"/>
                <w:lang w:val="en-GB" w:eastAsia="en-GB"/>
              </w:rPr>
            </w:pPr>
            <w:r>
              <w:rPr>
                <w:rFonts w:ascii="Arial" w:eastAsia="Times New Roman" w:hAnsi="Arial" w:cs="Arial"/>
                <w:color w:val="000000"/>
                <w:sz w:val="20"/>
                <w:lang w:val="en-GB" w:eastAsia="en-GB"/>
              </w:rPr>
              <w:lastRenderedPageBreak/>
              <w:t>Standardized Reports to the Management containing gender disaggregated data (on staff, recruitment procedure, PhD School, representation of women, etc.).</w:t>
            </w:r>
          </w:p>
          <w:p w:rsidR="00923A5C" w:rsidRPr="00F752DF" w:rsidRDefault="00923A5C" w:rsidP="00F752DF">
            <w:pPr>
              <w:pStyle w:val="Odstavecseseznamem"/>
              <w:numPr>
                <w:ilvl w:val="0"/>
                <w:numId w:val="29"/>
              </w:numPr>
              <w:spacing w:before="120" w:after="120" w:line="240" w:lineRule="auto"/>
              <w:ind w:left="178" w:hanging="178"/>
              <w:contextualSpacing w:val="0"/>
              <w:rPr>
                <w:rFonts w:ascii="Arial" w:eastAsia="Times New Roman" w:hAnsi="Arial" w:cs="Arial"/>
                <w:color w:val="000000"/>
                <w:sz w:val="20"/>
                <w:lang w:val="en-GB" w:eastAsia="en-GB"/>
              </w:rPr>
            </w:pPr>
            <w:r>
              <w:rPr>
                <w:rFonts w:ascii="Arial" w:eastAsia="Times New Roman" w:hAnsi="Arial" w:cs="Arial"/>
                <w:color w:val="000000"/>
                <w:sz w:val="20"/>
                <w:lang w:val="en-GB" w:eastAsia="en-GB"/>
              </w:rPr>
              <w:t>Internal Guidelines and Norms to be prepared and approved.</w:t>
            </w:r>
          </w:p>
        </w:tc>
      </w:tr>
      <w:tr w:rsidR="00923A5C" w:rsidRPr="00627CD7" w:rsidTr="00923A5C">
        <w:tc>
          <w:tcPr>
            <w:tcW w:w="3114" w:type="dxa"/>
          </w:tcPr>
          <w:p w:rsidR="00923A5C" w:rsidRPr="00923A5C" w:rsidRDefault="00923A5C" w:rsidP="00F752DF">
            <w:pPr>
              <w:spacing w:before="120" w:after="120" w:line="240" w:lineRule="auto"/>
              <w:textAlignment w:val="baseline"/>
              <w:rPr>
                <w:rFonts w:ascii="Arial" w:hAnsi="Arial" w:cs="Arial"/>
                <w:b/>
                <w:sz w:val="20"/>
                <w:lang w:val="en-GB"/>
              </w:rPr>
            </w:pPr>
            <w:r w:rsidRPr="00923A5C">
              <w:rPr>
                <w:rFonts w:ascii="Arial" w:hAnsi="Arial" w:cs="Arial"/>
                <w:b/>
                <w:sz w:val="20"/>
                <w:lang w:val="en-GB"/>
              </w:rPr>
              <w:lastRenderedPageBreak/>
              <w:t>Internal Communication</w:t>
            </w:r>
          </w:p>
        </w:tc>
        <w:tc>
          <w:tcPr>
            <w:tcW w:w="5946" w:type="dxa"/>
          </w:tcPr>
          <w:p w:rsidR="00923A5C" w:rsidRPr="00923A5C" w:rsidRDefault="00923A5C" w:rsidP="00F752DF">
            <w:pPr>
              <w:pStyle w:val="Odstavecseseznamem"/>
              <w:numPr>
                <w:ilvl w:val="0"/>
                <w:numId w:val="29"/>
              </w:numPr>
              <w:spacing w:before="120" w:after="120" w:line="240" w:lineRule="auto"/>
              <w:ind w:left="178" w:hanging="178"/>
              <w:contextualSpacing w:val="0"/>
              <w:rPr>
                <w:rFonts w:ascii="Arial" w:hAnsi="Arial" w:cs="Arial"/>
                <w:color w:val="000000"/>
                <w:sz w:val="20"/>
                <w:lang w:val="en-GB" w:eastAsia="en-GB"/>
              </w:rPr>
            </w:pPr>
            <w:r w:rsidRPr="00923A5C">
              <w:rPr>
                <w:rFonts w:ascii="Arial" w:hAnsi="Arial" w:cs="Arial"/>
                <w:color w:val="000000"/>
                <w:sz w:val="20"/>
                <w:lang w:val="en-GB" w:eastAsia="en-GB"/>
              </w:rPr>
              <w:t>Internal Newsletter</w:t>
            </w:r>
          </w:p>
          <w:p w:rsidR="00923A5C" w:rsidRPr="00923A5C" w:rsidRDefault="00923A5C" w:rsidP="00F752DF">
            <w:pPr>
              <w:pStyle w:val="Odstavecseseznamem"/>
              <w:numPr>
                <w:ilvl w:val="0"/>
                <w:numId w:val="29"/>
              </w:numPr>
              <w:spacing w:before="120" w:after="120" w:line="240" w:lineRule="auto"/>
              <w:ind w:left="178" w:hanging="178"/>
              <w:contextualSpacing w:val="0"/>
              <w:rPr>
                <w:rFonts w:ascii="Arial" w:hAnsi="Arial" w:cs="Arial"/>
                <w:color w:val="000000"/>
                <w:sz w:val="20"/>
                <w:lang w:val="en-GB" w:eastAsia="en-GB"/>
              </w:rPr>
            </w:pPr>
            <w:r w:rsidRPr="00923A5C">
              <w:rPr>
                <w:rFonts w:ascii="Arial" w:hAnsi="Arial" w:cs="Arial"/>
                <w:color w:val="000000"/>
                <w:sz w:val="20"/>
                <w:lang w:val="en-GB" w:eastAsia="en-GB"/>
              </w:rPr>
              <w:t>Website “Work at CEITEC MU”</w:t>
            </w:r>
          </w:p>
        </w:tc>
      </w:tr>
      <w:tr w:rsidR="00923A5C" w:rsidRPr="00627CD7" w:rsidTr="00923A5C">
        <w:tc>
          <w:tcPr>
            <w:tcW w:w="3114" w:type="dxa"/>
          </w:tcPr>
          <w:p w:rsidR="00923A5C" w:rsidRPr="00923A5C" w:rsidRDefault="00923A5C" w:rsidP="00F752DF">
            <w:pPr>
              <w:spacing w:before="120" w:after="120" w:line="240" w:lineRule="auto"/>
              <w:textAlignment w:val="baseline"/>
              <w:rPr>
                <w:rFonts w:ascii="Arial" w:hAnsi="Arial" w:cs="Arial"/>
                <w:b/>
                <w:lang w:val="en-GB"/>
              </w:rPr>
            </w:pPr>
            <w:r w:rsidRPr="00923A5C">
              <w:rPr>
                <w:rFonts w:ascii="Arial" w:hAnsi="Arial" w:cs="Arial"/>
                <w:b/>
                <w:sz w:val="20"/>
                <w:lang w:val="en-GB"/>
              </w:rPr>
              <w:t>Link to CEITEC MU Strategy and Policies</w:t>
            </w:r>
          </w:p>
        </w:tc>
        <w:tc>
          <w:tcPr>
            <w:tcW w:w="5946" w:type="dxa"/>
          </w:tcPr>
          <w:p w:rsidR="00923A5C" w:rsidRPr="00923A5C" w:rsidRDefault="00923A5C" w:rsidP="00F752DF">
            <w:pPr>
              <w:pStyle w:val="Odstavecseseznamem"/>
              <w:numPr>
                <w:ilvl w:val="0"/>
                <w:numId w:val="29"/>
              </w:numPr>
              <w:spacing w:before="120" w:after="120" w:line="240" w:lineRule="auto"/>
              <w:ind w:left="178" w:hanging="178"/>
              <w:contextualSpacing w:val="0"/>
              <w:rPr>
                <w:rFonts w:ascii="Arial" w:hAnsi="Arial" w:cs="Arial"/>
                <w:color w:val="000000"/>
                <w:lang w:val="en-GB" w:eastAsia="en-GB"/>
              </w:rPr>
            </w:pPr>
            <w:r w:rsidRPr="00F752DF">
              <w:rPr>
                <w:rFonts w:ascii="Arial" w:eastAsia="Times New Roman" w:hAnsi="Arial" w:cs="Arial"/>
                <w:bCs/>
                <w:color w:val="000000"/>
                <w:sz w:val="20"/>
                <w:lang w:val="en-GB" w:eastAsia="en-GB"/>
              </w:rPr>
              <w:t>There is a strong link with the Strategic Plan of CEITEC MU up to 2020 (LIBRA is directly mentioned).</w:t>
            </w:r>
          </w:p>
          <w:p w:rsidR="00923A5C" w:rsidRDefault="00923A5C" w:rsidP="00F752DF">
            <w:pPr>
              <w:pStyle w:val="Odstavecseseznamem"/>
              <w:numPr>
                <w:ilvl w:val="0"/>
                <w:numId w:val="29"/>
              </w:numPr>
              <w:spacing w:before="120" w:after="120" w:line="240" w:lineRule="auto"/>
              <w:ind w:left="178" w:hanging="178"/>
              <w:contextualSpacing w:val="0"/>
              <w:rPr>
                <w:rFonts w:ascii="Arial" w:hAnsi="Arial" w:cs="Arial"/>
                <w:color w:val="000000"/>
                <w:lang w:val="en-GB" w:eastAsia="en-GB"/>
              </w:rPr>
            </w:pPr>
            <w:r w:rsidRPr="00F752DF">
              <w:rPr>
                <w:rFonts w:ascii="Arial" w:eastAsia="Times New Roman" w:hAnsi="Arial" w:cs="Arial"/>
                <w:bCs/>
                <w:color w:val="000000"/>
                <w:sz w:val="20"/>
                <w:lang w:val="en-GB" w:eastAsia="en-GB"/>
              </w:rPr>
              <w:t>In the HR Strategy (formulated in 2018), the gender equality is included, including formulation of new GEP for 2019-2020.</w:t>
            </w:r>
          </w:p>
        </w:tc>
      </w:tr>
      <w:tr w:rsidR="00923A5C" w:rsidRPr="00627CD7" w:rsidTr="00923A5C">
        <w:tc>
          <w:tcPr>
            <w:tcW w:w="3114" w:type="dxa"/>
          </w:tcPr>
          <w:p w:rsidR="00923A5C" w:rsidRPr="00923A5C" w:rsidRDefault="00923A5C" w:rsidP="00F752DF">
            <w:pPr>
              <w:spacing w:before="120" w:after="120" w:line="240" w:lineRule="auto"/>
              <w:textAlignment w:val="baseline"/>
              <w:rPr>
                <w:rFonts w:ascii="Arial" w:hAnsi="Arial" w:cs="Arial"/>
                <w:b/>
                <w:lang w:val="en-GB"/>
              </w:rPr>
            </w:pPr>
            <w:r w:rsidRPr="00923A5C">
              <w:rPr>
                <w:rFonts w:ascii="Arial" w:hAnsi="Arial" w:cs="Arial"/>
                <w:b/>
                <w:sz w:val="20"/>
                <w:lang w:val="en-GB"/>
              </w:rPr>
              <w:t>Dissemination</w:t>
            </w:r>
          </w:p>
        </w:tc>
        <w:tc>
          <w:tcPr>
            <w:tcW w:w="5946" w:type="dxa"/>
          </w:tcPr>
          <w:p w:rsidR="00923A5C" w:rsidRPr="00923A5C" w:rsidRDefault="00923A5C" w:rsidP="00F752DF">
            <w:pPr>
              <w:pStyle w:val="Odstavecseseznamem"/>
              <w:numPr>
                <w:ilvl w:val="0"/>
                <w:numId w:val="29"/>
              </w:numPr>
              <w:spacing w:before="120" w:after="120" w:line="240" w:lineRule="auto"/>
              <w:ind w:left="178" w:hanging="178"/>
              <w:contextualSpacing w:val="0"/>
              <w:rPr>
                <w:rFonts w:ascii="Arial" w:hAnsi="Arial" w:cs="Arial"/>
                <w:bCs/>
                <w:color w:val="000000"/>
                <w:lang w:val="en-GB" w:eastAsia="en-GB"/>
              </w:rPr>
            </w:pPr>
            <w:r w:rsidRPr="00F752DF">
              <w:rPr>
                <w:rFonts w:ascii="Arial" w:eastAsia="Times New Roman" w:hAnsi="Arial" w:cs="Arial"/>
                <w:sz w:val="20"/>
                <w:lang w:val="en-GB" w:eastAsia="en-GB"/>
              </w:rPr>
              <w:t>In case we are approached by a research institute or university, we share our experience. Typically, it is in a form of few hours of personal meeting (consultation) and sharing selected documents and information.</w:t>
            </w:r>
          </w:p>
          <w:p w:rsidR="00923A5C" w:rsidRPr="00923A5C" w:rsidRDefault="00923A5C" w:rsidP="00F752DF">
            <w:pPr>
              <w:pStyle w:val="Odstavecseseznamem"/>
              <w:numPr>
                <w:ilvl w:val="0"/>
                <w:numId w:val="29"/>
              </w:numPr>
              <w:spacing w:before="120" w:after="120" w:line="240" w:lineRule="auto"/>
              <w:ind w:left="178" w:hanging="178"/>
              <w:contextualSpacing w:val="0"/>
              <w:rPr>
                <w:rFonts w:ascii="Arial" w:hAnsi="Arial" w:cs="Arial"/>
                <w:bCs/>
                <w:color w:val="000000"/>
                <w:lang w:val="en-GB" w:eastAsia="en-GB"/>
              </w:rPr>
            </w:pPr>
            <w:r>
              <w:rPr>
                <w:rFonts w:ascii="Arial" w:eastAsia="Times New Roman" w:hAnsi="Arial" w:cs="Arial"/>
                <w:sz w:val="20"/>
                <w:lang w:val="en-GB" w:eastAsia="en-GB"/>
              </w:rPr>
              <w:t>CEITEC MU is willing to share gained knowledge giving public lectures.</w:t>
            </w:r>
          </w:p>
          <w:p w:rsidR="00923A5C" w:rsidRPr="00F752DF" w:rsidRDefault="00923A5C" w:rsidP="00923A5C">
            <w:pPr>
              <w:pStyle w:val="Odstavecseseznamem"/>
              <w:numPr>
                <w:ilvl w:val="0"/>
                <w:numId w:val="29"/>
              </w:numPr>
              <w:spacing w:before="120" w:after="120" w:line="240" w:lineRule="auto"/>
              <w:ind w:left="178" w:hanging="178"/>
              <w:contextualSpacing w:val="0"/>
              <w:rPr>
                <w:rFonts w:ascii="Arial" w:hAnsi="Arial" w:cs="Arial"/>
                <w:bCs/>
                <w:color w:val="000000"/>
                <w:lang w:val="en-GB" w:eastAsia="en-GB"/>
              </w:rPr>
            </w:pPr>
            <w:r w:rsidRPr="00F752DF">
              <w:rPr>
                <w:rFonts w:ascii="Arial" w:eastAsia="Times New Roman" w:hAnsi="Arial" w:cs="Arial"/>
                <w:sz w:val="20"/>
                <w:lang w:val="en-GB" w:eastAsia="en-GB"/>
              </w:rPr>
              <w:t>In past years, we were approached e.g. by</w:t>
            </w:r>
            <w:r>
              <w:rPr>
                <w:rFonts w:ascii="Arial" w:eastAsia="Times New Roman" w:hAnsi="Arial" w:cs="Arial"/>
                <w:sz w:val="20"/>
                <w:lang w:val="en-GB" w:eastAsia="en-GB"/>
              </w:rPr>
              <w:t xml:space="preserve"> Ministry of Education, Youth and Sports of Czech Republic,</w:t>
            </w:r>
            <w:r w:rsidRPr="00F752DF">
              <w:rPr>
                <w:rFonts w:ascii="Arial" w:eastAsia="Times New Roman" w:hAnsi="Arial" w:cs="Arial"/>
                <w:sz w:val="20"/>
                <w:lang w:val="en-GB" w:eastAsia="en-GB"/>
              </w:rPr>
              <w:t xml:space="preserve"> Brno University of Technology</w:t>
            </w:r>
            <w:r>
              <w:rPr>
                <w:rFonts w:ascii="Arial" w:eastAsia="Times New Roman" w:hAnsi="Arial" w:cs="Arial"/>
                <w:sz w:val="20"/>
                <w:lang w:val="en-GB" w:eastAsia="en-GB"/>
              </w:rPr>
              <w:t>, Institute of Biophysics of the Academy of Sciences of Czech Republic, and others.</w:t>
            </w:r>
          </w:p>
        </w:tc>
      </w:tr>
    </w:tbl>
    <w:p w:rsidR="007C3D40" w:rsidRPr="007C3D40" w:rsidRDefault="007C3D40" w:rsidP="007C3D40">
      <w:pPr>
        <w:spacing w:after="120" w:line="240" w:lineRule="auto"/>
        <w:rPr>
          <w:rFonts w:ascii="Times New Roman" w:hAnsi="Times New Roman"/>
          <w:sz w:val="24"/>
          <w:szCs w:val="24"/>
          <w:lang w:val="en-GB" w:eastAsia="en-GB"/>
        </w:rPr>
      </w:pPr>
    </w:p>
    <w:sectPr w:rsidR="007C3D40" w:rsidRPr="007C3D40" w:rsidSect="00765B8F">
      <w:headerReference w:type="even" r:id="rId9"/>
      <w:headerReference w:type="default" r:id="rId10"/>
      <w:footerReference w:type="even" r:id="rId11"/>
      <w:footerReference w:type="default" r:id="rId12"/>
      <w:pgSz w:w="11906" w:h="16838" w:code="9"/>
      <w:pgMar w:top="1418" w:right="1418" w:bottom="1276" w:left="1418"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02F" w:rsidRDefault="0059202F">
      <w:r>
        <w:separator/>
      </w:r>
    </w:p>
  </w:endnote>
  <w:endnote w:type="continuationSeparator" w:id="0">
    <w:p w:rsidR="0059202F" w:rsidRDefault="0059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E2" w:rsidRPr="004279DB" w:rsidRDefault="008E7BE2" w:rsidP="003563DE">
    <w:pPr>
      <w:pStyle w:val="Zpat"/>
      <w:tabs>
        <w:tab w:val="clear" w:pos="4536"/>
        <w:tab w:val="clear" w:pos="9072"/>
        <w:tab w:val="left" w:pos="1935"/>
      </w:tabs>
      <w:spacing w:before="60" w:after="0" w:line="240" w:lineRule="auto"/>
      <w:ind w:right="-851"/>
      <w:jc w:val="right"/>
    </w:pPr>
    <w:r>
      <w:fldChar w:fldCharType="begin"/>
    </w:r>
    <w:r>
      <w:instrText xml:space="preserve"> PAGE </w:instrText>
    </w:r>
    <w:r>
      <w:fldChar w:fldCharType="separate"/>
    </w:r>
    <w:r>
      <w:rPr>
        <w:noProof/>
      </w:rPr>
      <w:t>18</w:t>
    </w:r>
    <w:r>
      <w:fldChar w:fldCharType="end"/>
    </w:r>
    <w:r w:rsidR="00281235">
      <w:rPr>
        <w:noProof/>
      </w:rPr>
      <w:drawing>
        <wp:anchor distT="0" distB="0" distL="114300" distR="114300" simplePos="0" relativeHeight="251656704" behindDoc="1" locked="1" layoutInCell="1" allowOverlap="1">
          <wp:simplePos x="0" y="0"/>
          <wp:positionH relativeFrom="page">
            <wp:align>left</wp:align>
          </wp:positionH>
          <wp:positionV relativeFrom="page">
            <wp:align>bottom</wp:align>
          </wp:positionV>
          <wp:extent cx="7553325" cy="1085850"/>
          <wp:effectExtent l="0" t="0" r="0" b="0"/>
          <wp:wrapNone/>
          <wp:docPr id="3" name="obrázek 17" descr="CEITEC_F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ITEC_F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7AC143"/>
      </w:rPr>
      <w:id w:val="936410930"/>
      <w:docPartObj>
        <w:docPartGallery w:val="Page Numbers (Bottom of Page)"/>
        <w:docPartUnique/>
      </w:docPartObj>
    </w:sdtPr>
    <w:sdtEndPr>
      <w:rPr>
        <w:sz w:val="16"/>
        <w:szCs w:val="16"/>
      </w:rPr>
    </w:sdtEndPr>
    <w:sdtContent>
      <w:p w:rsidR="00BC299A" w:rsidRPr="006347C5" w:rsidRDefault="00BC299A">
        <w:pPr>
          <w:pStyle w:val="Zpat"/>
          <w:jc w:val="right"/>
          <w:rPr>
            <w:b/>
            <w:color w:val="7AC143"/>
            <w:sz w:val="16"/>
            <w:szCs w:val="16"/>
          </w:rPr>
        </w:pPr>
        <w:r w:rsidRPr="006347C5">
          <w:rPr>
            <w:b/>
            <w:noProof/>
            <w:color w:val="7AC143"/>
            <w:sz w:val="16"/>
            <w:szCs w:val="16"/>
          </w:rPr>
          <w:drawing>
            <wp:anchor distT="0" distB="0" distL="114300" distR="114300" simplePos="0" relativeHeight="251658240" behindDoc="1" locked="1" layoutInCell="1" allowOverlap="1">
              <wp:simplePos x="0" y="0"/>
              <wp:positionH relativeFrom="page">
                <wp:posOffset>725170</wp:posOffset>
              </wp:positionH>
              <wp:positionV relativeFrom="page">
                <wp:posOffset>10077450</wp:posOffset>
              </wp:positionV>
              <wp:extent cx="1634490" cy="208280"/>
              <wp:effectExtent l="0" t="0" r="3810"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CEITEC_Logo_Color.emf"/>
                      <pic:cNvPicPr/>
                    </pic:nvPicPr>
                    <pic:blipFill>
                      <a:blip r:embed="rId1">
                        <a:extLst>
                          <a:ext uri="{28A0092B-C50C-407E-A947-70E740481C1C}">
                            <a14:useLocalDpi xmlns:a14="http://schemas.microsoft.com/office/drawing/2010/main" val="0"/>
                          </a:ext>
                        </a:extLst>
                      </a:blip>
                      <a:stretch>
                        <a:fillRect/>
                      </a:stretch>
                    </pic:blipFill>
                    <pic:spPr>
                      <a:xfrm>
                        <a:off x="0" y="0"/>
                        <a:ext cx="1634490" cy="208280"/>
                      </a:xfrm>
                      <a:prstGeom prst="rect">
                        <a:avLst/>
                      </a:prstGeom>
                    </pic:spPr>
                  </pic:pic>
                </a:graphicData>
              </a:graphic>
              <wp14:sizeRelH relativeFrom="page">
                <wp14:pctWidth>0</wp14:pctWidth>
              </wp14:sizeRelH>
              <wp14:sizeRelV relativeFrom="page">
                <wp14:pctHeight>0</wp14:pctHeight>
              </wp14:sizeRelV>
            </wp:anchor>
          </w:drawing>
        </w:r>
        <w:r w:rsidRPr="006347C5">
          <w:rPr>
            <w:b/>
            <w:color w:val="7AC143"/>
            <w:sz w:val="16"/>
            <w:szCs w:val="16"/>
          </w:rPr>
          <w:fldChar w:fldCharType="begin"/>
        </w:r>
        <w:r w:rsidRPr="006347C5">
          <w:rPr>
            <w:b/>
            <w:color w:val="7AC143"/>
            <w:sz w:val="16"/>
            <w:szCs w:val="16"/>
          </w:rPr>
          <w:instrText>PAGE   \* MERGEFORMAT</w:instrText>
        </w:r>
        <w:r w:rsidRPr="006347C5">
          <w:rPr>
            <w:b/>
            <w:color w:val="7AC143"/>
            <w:sz w:val="16"/>
            <w:szCs w:val="16"/>
          </w:rPr>
          <w:fldChar w:fldCharType="separate"/>
        </w:r>
        <w:r w:rsidR="00923A5C">
          <w:rPr>
            <w:b/>
            <w:noProof/>
            <w:color w:val="7AC143"/>
            <w:sz w:val="16"/>
            <w:szCs w:val="16"/>
          </w:rPr>
          <w:t>5</w:t>
        </w:r>
        <w:r w:rsidRPr="006347C5">
          <w:rPr>
            <w:b/>
            <w:color w:val="7AC143"/>
            <w:sz w:val="16"/>
            <w:szCs w:val="16"/>
          </w:rPr>
          <w:fldChar w:fldCharType="end"/>
        </w:r>
      </w:p>
    </w:sdtContent>
  </w:sdt>
  <w:p w:rsidR="008E7BE2" w:rsidRPr="00F92F92" w:rsidRDefault="008E7BE2" w:rsidP="00F92F92">
    <w:pPr>
      <w:pStyle w:val="Zpat"/>
      <w:tabs>
        <w:tab w:val="clear" w:pos="4536"/>
        <w:tab w:val="clear" w:pos="9072"/>
        <w:tab w:val="left" w:pos="1127"/>
      </w:tabs>
      <w:spacing w:before="60" w:after="0" w:line="240" w:lineRule="auto"/>
      <w:ind w:left="-851"/>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02F" w:rsidRDefault="0059202F">
      <w:r>
        <w:separator/>
      </w:r>
    </w:p>
  </w:footnote>
  <w:footnote w:type="continuationSeparator" w:id="0">
    <w:p w:rsidR="0059202F" w:rsidRDefault="0059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E2" w:rsidRDefault="00281235" w:rsidP="00BE3BFC">
    <w:pPr>
      <w:pStyle w:val="Zhlav"/>
    </w:pPr>
    <w:r>
      <w:rPr>
        <w:noProof/>
      </w:rPr>
      <w:drawing>
        <wp:anchor distT="0" distB="0" distL="114300" distR="114300" simplePos="0" relativeHeight="251655680" behindDoc="1" locked="1" layoutInCell="1" allowOverlap="1">
          <wp:simplePos x="0" y="0"/>
          <wp:positionH relativeFrom="page">
            <wp:align>left</wp:align>
          </wp:positionH>
          <wp:positionV relativeFrom="page">
            <wp:align>top</wp:align>
          </wp:positionV>
          <wp:extent cx="7553325" cy="1085850"/>
          <wp:effectExtent l="0" t="0" r="0" b="0"/>
          <wp:wrapNone/>
          <wp:docPr id="2" name="obrázek 16" descr="CEITEC_H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EITEC_H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E2" w:rsidRDefault="008E7BE2" w:rsidP="00BE3BFC">
    <w:pPr>
      <w:pStyle w:val="Zhlav"/>
      <w:tabs>
        <w:tab w:val="clear" w:pos="4536"/>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8025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E6F9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C2E4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45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6E7F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225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CA10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DEDA30"/>
    <w:lvl w:ilvl="0">
      <w:start w:val="1"/>
      <w:numFmt w:val="bullet"/>
      <w:pStyle w:val="Seznamsodrkami2"/>
      <w:lvlText w:val=""/>
      <w:lvlJc w:val="left"/>
      <w:pPr>
        <w:tabs>
          <w:tab w:val="num" w:pos="567"/>
        </w:tabs>
        <w:ind w:left="567" w:hanging="227"/>
      </w:pPr>
      <w:rPr>
        <w:rFonts w:ascii="Wingdings 3" w:hAnsi="Wingdings 3" w:hint="default"/>
        <w:color w:val="69BE28"/>
        <w:sz w:val="20"/>
        <w:szCs w:val="20"/>
      </w:rPr>
    </w:lvl>
  </w:abstractNum>
  <w:abstractNum w:abstractNumId="8" w15:restartNumberingAfterBreak="0">
    <w:nsid w:val="FFFFFF88"/>
    <w:multiLevelType w:val="singleLevel"/>
    <w:tmpl w:val="67546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EBE34"/>
    <w:lvl w:ilvl="0">
      <w:start w:val="1"/>
      <w:numFmt w:val="bullet"/>
      <w:pStyle w:val="Seznamsodrkami"/>
      <w:lvlText w:val=""/>
      <w:lvlJc w:val="left"/>
      <w:pPr>
        <w:tabs>
          <w:tab w:val="num" w:pos="227"/>
        </w:tabs>
        <w:ind w:left="227" w:hanging="227"/>
      </w:pPr>
      <w:rPr>
        <w:rFonts w:ascii="Wingdings 3" w:hAnsi="Wingdings 3" w:hint="default"/>
        <w:color w:val="69BE28"/>
        <w:sz w:val="20"/>
        <w:szCs w:val="20"/>
      </w:rPr>
    </w:lvl>
  </w:abstractNum>
  <w:abstractNum w:abstractNumId="10" w15:restartNumberingAfterBreak="0">
    <w:nsid w:val="0722622D"/>
    <w:multiLevelType w:val="hybridMultilevel"/>
    <w:tmpl w:val="20E0A5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7F33BB"/>
    <w:multiLevelType w:val="hybridMultilevel"/>
    <w:tmpl w:val="69DA6C58"/>
    <w:lvl w:ilvl="0" w:tplc="274280D8">
      <w:start w:val="1"/>
      <w:numFmt w:val="bullet"/>
      <w:lvlText w:val="»"/>
      <w:lvlJc w:val="left"/>
      <w:pPr>
        <w:tabs>
          <w:tab w:val="num" w:pos="680"/>
        </w:tabs>
        <w:ind w:left="680" w:hanging="226"/>
      </w:pPr>
      <w:rPr>
        <w:rFonts w:ascii="Arial Unicode MS" w:eastAsia="Arial Unicode MS" w:hAnsi="Arial Unicode MS" w:hint="eastAsia"/>
        <w:color w:val="69BE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C3E27"/>
    <w:multiLevelType w:val="multilevel"/>
    <w:tmpl w:val="4164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434DA"/>
    <w:multiLevelType w:val="multilevel"/>
    <w:tmpl w:val="1DD85712"/>
    <w:styleLink w:val="slovnnadpis"/>
    <w:lvl w:ilvl="0">
      <w:start w:val="1"/>
      <w:numFmt w:val="decimal"/>
      <w:pStyle w:val="Nadpis1"/>
      <w:lvlText w:val="%1."/>
      <w:lvlJc w:val="left"/>
      <w:pPr>
        <w:ind w:left="360" w:hanging="360"/>
      </w:pPr>
      <w:rPr>
        <w:rFonts w:hint="default"/>
        <w:color w:val="21A9C0"/>
      </w:rPr>
    </w:lvl>
    <w:lvl w:ilvl="1">
      <w:start w:val="1"/>
      <w:numFmt w:val="decimal"/>
      <w:pStyle w:val="Nadpis2"/>
      <w:lvlText w:val="%1.%2."/>
      <w:lvlJc w:val="left"/>
      <w:pPr>
        <w:tabs>
          <w:tab w:val="num" w:pos="851"/>
        </w:tabs>
        <w:ind w:left="851" w:hanging="851"/>
      </w:pPr>
      <w:rPr>
        <w:rFonts w:hint="default"/>
        <w:color w:val="999999"/>
      </w:rPr>
    </w:lvl>
    <w:lvl w:ilvl="2">
      <w:start w:val="1"/>
      <w:numFmt w:val="decimal"/>
      <w:pStyle w:val="Nadpis3"/>
      <w:lvlText w:val="%1.%2.%3."/>
      <w:lvlJc w:val="left"/>
      <w:pPr>
        <w:tabs>
          <w:tab w:val="num" w:pos="1418"/>
        </w:tabs>
        <w:ind w:left="1418" w:hanging="1418"/>
      </w:pPr>
      <w:rPr>
        <w:rFonts w:hint="default"/>
        <w:color w:val="999999"/>
      </w:rPr>
    </w:lvl>
    <w:lvl w:ilvl="3">
      <w:start w:val="1"/>
      <w:numFmt w:val="decimal"/>
      <w:lvlText w:val="%1.%2.%3.%4."/>
      <w:lvlJc w:val="left"/>
      <w:pPr>
        <w:tabs>
          <w:tab w:val="num" w:pos="1701"/>
        </w:tabs>
        <w:ind w:left="1701" w:hanging="1701"/>
      </w:pPr>
      <w:rPr>
        <w:rFonts w:hint="default"/>
        <w:color w:val="999999"/>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343A4EBE"/>
    <w:multiLevelType w:val="multilevel"/>
    <w:tmpl w:val="2A266D24"/>
    <w:styleLink w:val="StylSodrkamiCourierNewVlevo317cmPedsazen063"/>
    <w:lvl w:ilvl="0">
      <w:start w:val="1"/>
      <w:numFmt w:val="bullet"/>
      <w:lvlText w:val=""/>
      <w:lvlJc w:val="left"/>
      <w:pPr>
        <w:ind w:left="360" w:hanging="360"/>
      </w:pPr>
      <w:rPr>
        <w:rFonts w:ascii="Symbol" w:hAnsi="Symbol"/>
        <w:color w:val="21A9C0"/>
      </w:rPr>
    </w:lvl>
    <w:lvl w:ilvl="1">
      <w:start w:val="1"/>
      <w:numFmt w:val="bullet"/>
      <w:lvlText w:val="­"/>
      <w:lvlJc w:val="left"/>
      <w:pPr>
        <w:ind w:left="1069" w:hanging="360"/>
      </w:pPr>
      <w:rPr>
        <w:rFonts w:ascii="Courier New" w:hAnsi="Courier New" w:hint="default"/>
        <w:color w:val="21A9C0"/>
      </w:rPr>
    </w:lvl>
    <w:lvl w:ilvl="2">
      <w:start w:val="1"/>
      <w:numFmt w:val="bullet"/>
      <w:lvlText w:val=""/>
      <w:lvlJc w:val="left"/>
      <w:pPr>
        <w:ind w:left="1778" w:hanging="360"/>
      </w:pPr>
      <w:rPr>
        <w:rFonts w:ascii="Wingdings" w:hAnsi="Wingdings" w:hint="default"/>
        <w:color w:val="21A9C0"/>
      </w:rPr>
    </w:lvl>
    <w:lvl w:ilvl="3">
      <w:start w:val="1"/>
      <w:numFmt w:val="bullet"/>
      <w:lvlText w:val="­"/>
      <w:lvlJc w:val="left"/>
      <w:pPr>
        <w:ind w:left="2487" w:hanging="360"/>
      </w:pPr>
      <w:rPr>
        <w:rFonts w:ascii="Courier New" w:hAnsi="Courier New" w:hint="default"/>
        <w:color w:val="21A9C0"/>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72D6F27"/>
    <w:multiLevelType w:val="hybridMultilevel"/>
    <w:tmpl w:val="D06694CC"/>
    <w:lvl w:ilvl="0" w:tplc="8A4AD0A8">
      <w:start w:val="1"/>
      <w:numFmt w:val="bullet"/>
      <w:lvlText w:val="»"/>
      <w:lvlJc w:val="left"/>
      <w:pPr>
        <w:tabs>
          <w:tab w:val="num" w:pos="454"/>
        </w:tabs>
        <w:ind w:left="454" w:hanging="227"/>
      </w:pPr>
      <w:rPr>
        <w:rFonts w:ascii="Arial Unicode MS" w:eastAsia="Arial Unicode MS" w:hAnsi="Arial Unicode MS" w:hint="eastAsia"/>
        <w:color w:val="69BE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429F9"/>
    <w:multiLevelType w:val="multilevel"/>
    <w:tmpl w:val="2A266D24"/>
    <w:numStyleLink w:val="StylSodrkamiCourierNewVlevo317cmPedsazen063"/>
  </w:abstractNum>
  <w:abstractNum w:abstractNumId="17" w15:restartNumberingAfterBreak="0">
    <w:nsid w:val="3B4D35AE"/>
    <w:multiLevelType w:val="hybridMultilevel"/>
    <w:tmpl w:val="4A16B90A"/>
    <w:lvl w:ilvl="0" w:tplc="BCB86F12">
      <w:start w:val="1"/>
      <w:numFmt w:val="bullet"/>
      <w:lvlText w:val=""/>
      <w:lvlJc w:val="left"/>
      <w:pPr>
        <w:ind w:left="717" w:hanging="360"/>
      </w:pPr>
      <w:rPr>
        <w:rFonts w:ascii="Symbol" w:hAnsi="Symbol" w:hint="default"/>
        <w:color w:val="21A9C0"/>
      </w:rPr>
    </w:lvl>
    <w:lvl w:ilvl="1" w:tplc="EB06FA52">
      <w:start w:val="1"/>
      <w:numFmt w:val="bullet"/>
      <w:lvlText w:val=""/>
      <w:lvlJc w:val="left"/>
      <w:pPr>
        <w:ind w:left="1437" w:hanging="360"/>
      </w:pPr>
      <w:rPr>
        <w:rFonts w:ascii="Symbol" w:hAnsi="Symbol" w:hint="default"/>
        <w:color w:val="21A9C0"/>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3D7E503E"/>
    <w:multiLevelType w:val="hybridMultilevel"/>
    <w:tmpl w:val="2A266D24"/>
    <w:lvl w:ilvl="0" w:tplc="BCB86F12">
      <w:start w:val="1"/>
      <w:numFmt w:val="bullet"/>
      <w:pStyle w:val="Odstavecseseznamem"/>
      <w:lvlText w:val=""/>
      <w:lvlJc w:val="left"/>
      <w:pPr>
        <w:ind w:left="1440" w:hanging="360"/>
      </w:pPr>
      <w:rPr>
        <w:rFonts w:ascii="Symbol" w:hAnsi="Symbol" w:hint="default"/>
        <w:color w:val="21A9C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2F31753"/>
    <w:multiLevelType w:val="hybridMultilevel"/>
    <w:tmpl w:val="F40883E2"/>
    <w:lvl w:ilvl="0" w:tplc="1F6CD8F0">
      <w:numFmt w:val="bullet"/>
      <w:lvlText w:val=""/>
      <w:lvlJc w:val="left"/>
      <w:pPr>
        <w:ind w:left="360" w:hanging="360"/>
      </w:pPr>
      <w:rPr>
        <w:rFonts w:ascii="Wingdings" w:eastAsia="Times New Roman" w:hAnsi="Wingding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57935"/>
    <w:multiLevelType w:val="multilevel"/>
    <w:tmpl w:val="2A266D24"/>
    <w:numStyleLink w:val="StylSodrkamiCourierNewVlevo317cmPedsazen063"/>
  </w:abstractNum>
  <w:abstractNum w:abstractNumId="21" w15:restartNumberingAfterBreak="0">
    <w:nsid w:val="4AB67EB1"/>
    <w:multiLevelType w:val="multilevel"/>
    <w:tmpl w:val="B4361D86"/>
    <w:lvl w:ilvl="0">
      <w:start w:val="1"/>
      <w:numFmt w:val="bullet"/>
      <w:lvlText w:val="»"/>
      <w:lvlJc w:val="left"/>
      <w:pPr>
        <w:tabs>
          <w:tab w:val="num" w:pos="454"/>
        </w:tabs>
        <w:ind w:left="454" w:hanging="227"/>
      </w:pPr>
      <w:rPr>
        <w:rFonts w:ascii="Arial Unicode MS" w:eastAsia="Arial Unicode MS" w:hAnsi="Arial Unicode MS" w:hint="eastAsia"/>
        <w:color w:val="69BE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5C5BBA"/>
    <w:multiLevelType w:val="multilevel"/>
    <w:tmpl w:val="2A266D24"/>
    <w:numStyleLink w:val="StylSodrkamiCourierNewVlevo317cmPedsazen063"/>
  </w:abstractNum>
  <w:abstractNum w:abstractNumId="23" w15:restartNumberingAfterBreak="0">
    <w:nsid w:val="72D6594E"/>
    <w:multiLevelType w:val="multilevel"/>
    <w:tmpl w:val="2A266D24"/>
    <w:numStyleLink w:val="StylSodrkamiCourierNewVlevo317cmPedsazen063"/>
  </w:abstractNum>
  <w:abstractNum w:abstractNumId="24" w15:restartNumberingAfterBreak="0">
    <w:nsid w:val="743437F3"/>
    <w:multiLevelType w:val="multilevel"/>
    <w:tmpl w:val="4164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0866EB"/>
    <w:multiLevelType w:val="hybridMultilevel"/>
    <w:tmpl w:val="1D0489F2"/>
    <w:lvl w:ilvl="0" w:tplc="8A4AD0A8">
      <w:start w:val="1"/>
      <w:numFmt w:val="bullet"/>
      <w:lvlText w:val="»"/>
      <w:lvlJc w:val="left"/>
      <w:pPr>
        <w:ind w:left="360" w:hanging="360"/>
      </w:pPr>
      <w:rPr>
        <w:rFonts w:ascii="Arial Unicode MS" w:eastAsia="Arial Unicode MS" w:hAnsi="Arial Unicode MS" w:hint="eastAsia"/>
        <w:color w:val="69BE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1"/>
  </w:num>
  <w:num w:numId="13">
    <w:abstractNumId w:val="15"/>
  </w:num>
  <w:num w:numId="14">
    <w:abstractNumId w:val="13"/>
    <w:lvlOverride w:ilvl="1">
      <w:lvl w:ilvl="1">
        <w:start w:val="1"/>
        <w:numFmt w:val="decimal"/>
        <w:pStyle w:val="Nadpis2"/>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tabs>
            <w:tab w:val="num" w:pos="1418"/>
          </w:tabs>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num>
  <w:num w:numId="19">
    <w:abstractNumId w:val="14"/>
  </w:num>
  <w:num w:numId="20">
    <w:abstractNumId w:val="22"/>
  </w:num>
  <w:num w:numId="21">
    <w:abstractNumId w:val="16"/>
  </w:num>
  <w:num w:numId="22">
    <w:abstractNumId w:val="23"/>
  </w:num>
  <w:num w:numId="23">
    <w:abstractNumId w:val="20"/>
  </w:num>
  <w:num w:numId="24">
    <w:abstractNumId w:val="13"/>
  </w:num>
  <w:num w:numId="25">
    <w:abstractNumId w:val="12"/>
  </w:num>
  <w:num w:numId="26">
    <w:abstractNumId w:val="19"/>
  </w:num>
  <w:num w:numId="27">
    <w:abstractNumId w:val="10"/>
  </w:num>
  <w:num w:numId="28">
    <w:abstractNumId w:val="24"/>
  </w:num>
  <w:num w:numId="29">
    <w:abstractNumId w:val="25"/>
  </w:num>
  <w:num w:numId="30">
    <w:abstractNumId w:val="18"/>
  </w:num>
  <w:num w:numId="31">
    <w:abstractNumId w:val="18"/>
  </w:num>
  <w:num w:numId="32">
    <w:abstractNumId w:val="1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64b923,#69be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yNDA3tjQ0NbQ0szBR0lEKTi0uzszPAykwqgUAZInvqiwAAAA="/>
  </w:docVars>
  <w:rsids>
    <w:rsidRoot w:val="007C3D40"/>
    <w:rsid w:val="00012B93"/>
    <w:rsid w:val="00027819"/>
    <w:rsid w:val="00031CA9"/>
    <w:rsid w:val="00036507"/>
    <w:rsid w:val="00067428"/>
    <w:rsid w:val="00071E08"/>
    <w:rsid w:val="00075C7D"/>
    <w:rsid w:val="000840A1"/>
    <w:rsid w:val="000A6F9A"/>
    <w:rsid w:val="000B0E47"/>
    <w:rsid w:val="000C3DF1"/>
    <w:rsid w:val="000C3E1A"/>
    <w:rsid w:val="000C55C7"/>
    <w:rsid w:val="000D4AD6"/>
    <w:rsid w:val="000E2D83"/>
    <w:rsid w:val="000E3B77"/>
    <w:rsid w:val="000F10DF"/>
    <w:rsid w:val="000F2B19"/>
    <w:rsid w:val="00104458"/>
    <w:rsid w:val="0010662A"/>
    <w:rsid w:val="00111790"/>
    <w:rsid w:val="00112F9A"/>
    <w:rsid w:val="0012415C"/>
    <w:rsid w:val="00132815"/>
    <w:rsid w:val="00147BC7"/>
    <w:rsid w:val="001506A6"/>
    <w:rsid w:val="00152D66"/>
    <w:rsid w:val="00157758"/>
    <w:rsid w:val="00157D12"/>
    <w:rsid w:val="001671C1"/>
    <w:rsid w:val="00170B48"/>
    <w:rsid w:val="00172365"/>
    <w:rsid w:val="00180ECD"/>
    <w:rsid w:val="001842CE"/>
    <w:rsid w:val="0019344C"/>
    <w:rsid w:val="001949A9"/>
    <w:rsid w:val="001A4892"/>
    <w:rsid w:val="001A7556"/>
    <w:rsid w:val="001B38BF"/>
    <w:rsid w:val="001C3BC1"/>
    <w:rsid w:val="001C3EFF"/>
    <w:rsid w:val="001D38CE"/>
    <w:rsid w:val="001D3A7E"/>
    <w:rsid w:val="001E332C"/>
    <w:rsid w:val="001E3BF8"/>
    <w:rsid w:val="001E7E9A"/>
    <w:rsid w:val="001F23F9"/>
    <w:rsid w:val="001F7889"/>
    <w:rsid w:val="00200225"/>
    <w:rsid w:val="002018DC"/>
    <w:rsid w:val="00205120"/>
    <w:rsid w:val="002067E9"/>
    <w:rsid w:val="00225024"/>
    <w:rsid w:val="00236CA9"/>
    <w:rsid w:val="00237308"/>
    <w:rsid w:val="00251AA4"/>
    <w:rsid w:val="00256431"/>
    <w:rsid w:val="002570F4"/>
    <w:rsid w:val="00261263"/>
    <w:rsid w:val="002612CB"/>
    <w:rsid w:val="002620EF"/>
    <w:rsid w:val="0026720C"/>
    <w:rsid w:val="00275E29"/>
    <w:rsid w:val="002768FB"/>
    <w:rsid w:val="00281235"/>
    <w:rsid w:val="00294A2C"/>
    <w:rsid w:val="002A43CE"/>
    <w:rsid w:val="002A51E3"/>
    <w:rsid w:val="002B7A9D"/>
    <w:rsid w:val="002C389A"/>
    <w:rsid w:val="002D1DAB"/>
    <w:rsid w:val="002F1BA3"/>
    <w:rsid w:val="002F2E29"/>
    <w:rsid w:val="002F7622"/>
    <w:rsid w:val="00306920"/>
    <w:rsid w:val="0032049E"/>
    <w:rsid w:val="00340F37"/>
    <w:rsid w:val="003464EB"/>
    <w:rsid w:val="003563DE"/>
    <w:rsid w:val="00364D4F"/>
    <w:rsid w:val="00364F8E"/>
    <w:rsid w:val="0036514B"/>
    <w:rsid w:val="003752F2"/>
    <w:rsid w:val="003A3FEC"/>
    <w:rsid w:val="003A604C"/>
    <w:rsid w:val="003B03FC"/>
    <w:rsid w:val="003B6DF6"/>
    <w:rsid w:val="003D62C1"/>
    <w:rsid w:val="003D7D13"/>
    <w:rsid w:val="003F47A4"/>
    <w:rsid w:val="003F4E12"/>
    <w:rsid w:val="003F53C9"/>
    <w:rsid w:val="00403B14"/>
    <w:rsid w:val="00403CE3"/>
    <w:rsid w:val="004270A9"/>
    <w:rsid w:val="004279DB"/>
    <w:rsid w:val="00433650"/>
    <w:rsid w:val="0043793A"/>
    <w:rsid w:val="00453303"/>
    <w:rsid w:val="0046098E"/>
    <w:rsid w:val="004623C2"/>
    <w:rsid w:val="00476D28"/>
    <w:rsid w:val="0049460D"/>
    <w:rsid w:val="00497307"/>
    <w:rsid w:val="004A6DFD"/>
    <w:rsid w:val="004B19A5"/>
    <w:rsid w:val="004C1E63"/>
    <w:rsid w:val="004C2D1C"/>
    <w:rsid w:val="004D2A0A"/>
    <w:rsid w:val="004E53C0"/>
    <w:rsid w:val="004F423A"/>
    <w:rsid w:val="00500556"/>
    <w:rsid w:val="00501744"/>
    <w:rsid w:val="00502DC6"/>
    <w:rsid w:val="0052187D"/>
    <w:rsid w:val="00521C80"/>
    <w:rsid w:val="00530B09"/>
    <w:rsid w:val="0053400D"/>
    <w:rsid w:val="0053519E"/>
    <w:rsid w:val="005513BC"/>
    <w:rsid w:val="00552B21"/>
    <w:rsid w:val="0056473D"/>
    <w:rsid w:val="00566F81"/>
    <w:rsid w:val="00582417"/>
    <w:rsid w:val="00587CE8"/>
    <w:rsid w:val="0059202F"/>
    <w:rsid w:val="005960FD"/>
    <w:rsid w:val="005A3A1E"/>
    <w:rsid w:val="005A7AAF"/>
    <w:rsid w:val="005B0A58"/>
    <w:rsid w:val="005B2B7B"/>
    <w:rsid w:val="005C3977"/>
    <w:rsid w:val="005D234F"/>
    <w:rsid w:val="005E22ED"/>
    <w:rsid w:val="005E3965"/>
    <w:rsid w:val="005E4057"/>
    <w:rsid w:val="005F0F5D"/>
    <w:rsid w:val="005F75EE"/>
    <w:rsid w:val="0060118D"/>
    <w:rsid w:val="00601AFE"/>
    <w:rsid w:val="00614207"/>
    <w:rsid w:val="00627CD7"/>
    <w:rsid w:val="0063215D"/>
    <w:rsid w:val="006347C5"/>
    <w:rsid w:val="006415ED"/>
    <w:rsid w:val="0064520C"/>
    <w:rsid w:val="00651164"/>
    <w:rsid w:val="00652CC6"/>
    <w:rsid w:val="00681AF6"/>
    <w:rsid w:val="00683EB4"/>
    <w:rsid w:val="00687609"/>
    <w:rsid w:val="00692E90"/>
    <w:rsid w:val="006A021F"/>
    <w:rsid w:val="006E7ABD"/>
    <w:rsid w:val="006F779B"/>
    <w:rsid w:val="007020F1"/>
    <w:rsid w:val="007201B0"/>
    <w:rsid w:val="0072066F"/>
    <w:rsid w:val="00726B30"/>
    <w:rsid w:val="00731458"/>
    <w:rsid w:val="0074488E"/>
    <w:rsid w:val="00751479"/>
    <w:rsid w:val="00752031"/>
    <w:rsid w:val="00753C1B"/>
    <w:rsid w:val="00756096"/>
    <w:rsid w:val="00765B8F"/>
    <w:rsid w:val="0076658D"/>
    <w:rsid w:val="00792754"/>
    <w:rsid w:val="007A7D53"/>
    <w:rsid w:val="007B1C93"/>
    <w:rsid w:val="007B4491"/>
    <w:rsid w:val="007B4A3B"/>
    <w:rsid w:val="007C1706"/>
    <w:rsid w:val="007C3D40"/>
    <w:rsid w:val="007E476D"/>
    <w:rsid w:val="007E5F9F"/>
    <w:rsid w:val="00802325"/>
    <w:rsid w:val="00817909"/>
    <w:rsid w:val="00830722"/>
    <w:rsid w:val="00831B2E"/>
    <w:rsid w:val="00834F9D"/>
    <w:rsid w:val="00835055"/>
    <w:rsid w:val="00836372"/>
    <w:rsid w:val="00836EA6"/>
    <w:rsid w:val="00841685"/>
    <w:rsid w:val="008560DB"/>
    <w:rsid w:val="00860E5D"/>
    <w:rsid w:val="008770D4"/>
    <w:rsid w:val="00884C61"/>
    <w:rsid w:val="008A2B3F"/>
    <w:rsid w:val="008B5725"/>
    <w:rsid w:val="008C391F"/>
    <w:rsid w:val="008D031D"/>
    <w:rsid w:val="008D3DF7"/>
    <w:rsid w:val="008D4804"/>
    <w:rsid w:val="008E1035"/>
    <w:rsid w:val="008E4D7D"/>
    <w:rsid w:val="008E5CF6"/>
    <w:rsid w:val="008E7BE2"/>
    <w:rsid w:val="00901424"/>
    <w:rsid w:val="00904CD5"/>
    <w:rsid w:val="0091394C"/>
    <w:rsid w:val="00914E37"/>
    <w:rsid w:val="00920BBE"/>
    <w:rsid w:val="00923A5C"/>
    <w:rsid w:val="0092600A"/>
    <w:rsid w:val="00934AC2"/>
    <w:rsid w:val="00935564"/>
    <w:rsid w:val="00936E34"/>
    <w:rsid w:val="00944C20"/>
    <w:rsid w:val="009509FF"/>
    <w:rsid w:val="00957678"/>
    <w:rsid w:val="00957F4A"/>
    <w:rsid w:val="009628EF"/>
    <w:rsid w:val="009657D2"/>
    <w:rsid w:val="009676D5"/>
    <w:rsid w:val="009871C5"/>
    <w:rsid w:val="009B10BB"/>
    <w:rsid w:val="009B178F"/>
    <w:rsid w:val="009C2A8A"/>
    <w:rsid w:val="009C5AAE"/>
    <w:rsid w:val="009F4685"/>
    <w:rsid w:val="009F764B"/>
    <w:rsid w:val="00A12F0F"/>
    <w:rsid w:val="00A16074"/>
    <w:rsid w:val="00A36DA7"/>
    <w:rsid w:val="00A379B8"/>
    <w:rsid w:val="00A51001"/>
    <w:rsid w:val="00A54321"/>
    <w:rsid w:val="00A56A9F"/>
    <w:rsid w:val="00A64046"/>
    <w:rsid w:val="00A76DF8"/>
    <w:rsid w:val="00A8397B"/>
    <w:rsid w:val="00A87461"/>
    <w:rsid w:val="00A92D60"/>
    <w:rsid w:val="00A94DE0"/>
    <w:rsid w:val="00A97A99"/>
    <w:rsid w:val="00AA4F4E"/>
    <w:rsid w:val="00AA72D9"/>
    <w:rsid w:val="00AB1448"/>
    <w:rsid w:val="00AB7D36"/>
    <w:rsid w:val="00AC7007"/>
    <w:rsid w:val="00AD02B6"/>
    <w:rsid w:val="00AD688F"/>
    <w:rsid w:val="00AF715F"/>
    <w:rsid w:val="00B05E03"/>
    <w:rsid w:val="00B06BA9"/>
    <w:rsid w:val="00B13763"/>
    <w:rsid w:val="00B26285"/>
    <w:rsid w:val="00B57C57"/>
    <w:rsid w:val="00B64F5F"/>
    <w:rsid w:val="00B71C9B"/>
    <w:rsid w:val="00B7632C"/>
    <w:rsid w:val="00B765E1"/>
    <w:rsid w:val="00B86485"/>
    <w:rsid w:val="00B901F7"/>
    <w:rsid w:val="00BA3DF1"/>
    <w:rsid w:val="00BB0633"/>
    <w:rsid w:val="00BB4DA6"/>
    <w:rsid w:val="00BC176B"/>
    <w:rsid w:val="00BC299A"/>
    <w:rsid w:val="00BD6017"/>
    <w:rsid w:val="00BE3BFC"/>
    <w:rsid w:val="00BE43A5"/>
    <w:rsid w:val="00BE4C87"/>
    <w:rsid w:val="00BF1A5E"/>
    <w:rsid w:val="00BF2E12"/>
    <w:rsid w:val="00BF3F27"/>
    <w:rsid w:val="00C015DC"/>
    <w:rsid w:val="00C15947"/>
    <w:rsid w:val="00C31CB5"/>
    <w:rsid w:val="00C359C3"/>
    <w:rsid w:val="00C46079"/>
    <w:rsid w:val="00C462B9"/>
    <w:rsid w:val="00C57823"/>
    <w:rsid w:val="00C57C4F"/>
    <w:rsid w:val="00C83E0C"/>
    <w:rsid w:val="00C84AB5"/>
    <w:rsid w:val="00C84E8D"/>
    <w:rsid w:val="00C87651"/>
    <w:rsid w:val="00C929AA"/>
    <w:rsid w:val="00CA1B54"/>
    <w:rsid w:val="00CA2C08"/>
    <w:rsid w:val="00CA3D5B"/>
    <w:rsid w:val="00CB0536"/>
    <w:rsid w:val="00CB165B"/>
    <w:rsid w:val="00CB2715"/>
    <w:rsid w:val="00CB2DF8"/>
    <w:rsid w:val="00CB4E1C"/>
    <w:rsid w:val="00CD1B12"/>
    <w:rsid w:val="00CD5FCA"/>
    <w:rsid w:val="00CD7490"/>
    <w:rsid w:val="00CE0115"/>
    <w:rsid w:val="00CE25F0"/>
    <w:rsid w:val="00CF19F8"/>
    <w:rsid w:val="00CF3325"/>
    <w:rsid w:val="00D00189"/>
    <w:rsid w:val="00D06BB7"/>
    <w:rsid w:val="00D11C57"/>
    <w:rsid w:val="00D20317"/>
    <w:rsid w:val="00D22C7E"/>
    <w:rsid w:val="00D33D7A"/>
    <w:rsid w:val="00D61C56"/>
    <w:rsid w:val="00D755E5"/>
    <w:rsid w:val="00D777B3"/>
    <w:rsid w:val="00D8779B"/>
    <w:rsid w:val="00DA1284"/>
    <w:rsid w:val="00DB00CD"/>
    <w:rsid w:val="00DB020A"/>
    <w:rsid w:val="00DB0DB7"/>
    <w:rsid w:val="00DB2890"/>
    <w:rsid w:val="00DB7299"/>
    <w:rsid w:val="00DB7A14"/>
    <w:rsid w:val="00DC1D3C"/>
    <w:rsid w:val="00DC5F0B"/>
    <w:rsid w:val="00DD5E9C"/>
    <w:rsid w:val="00DE0ACF"/>
    <w:rsid w:val="00DF1973"/>
    <w:rsid w:val="00DF30E5"/>
    <w:rsid w:val="00E0108A"/>
    <w:rsid w:val="00E06D35"/>
    <w:rsid w:val="00E2479A"/>
    <w:rsid w:val="00E30E7F"/>
    <w:rsid w:val="00E42DF1"/>
    <w:rsid w:val="00E439D1"/>
    <w:rsid w:val="00E45F09"/>
    <w:rsid w:val="00E516A9"/>
    <w:rsid w:val="00E534D1"/>
    <w:rsid w:val="00E56FEC"/>
    <w:rsid w:val="00E62688"/>
    <w:rsid w:val="00E64CC5"/>
    <w:rsid w:val="00E668CC"/>
    <w:rsid w:val="00E6779D"/>
    <w:rsid w:val="00E77546"/>
    <w:rsid w:val="00E957D2"/>
    <w:rsid w:val="00EB6281"/>
    <w:rsid w:val="00EB669E"/>
    <w:rsid w:val="00EC21D0"/>
    <w:rsid w:val="00EC56E2"/>
    <w:rsid w:val="00EC6ECA"/>
    <w:rsid w:val="00EE17D7"/>
    <w:rsid w:val="00EE25EA"/>
    <w:rsid w:val="00EE4972"/>
    <w:rsid w:val="00EF1B40"/>
    <w:rsid w:val="00EF78FE"/>
    <w:rsid w:val="00F056DA"/>
    <w:rsid w:val="00F13933"/>
    <w:rsid w:val="00F13BB9"/>
    <w:rsid w:val="00F21272"/>
    <w:rsid w:val="00F213C3"/>
    <w:rsid w:val="00F24F17"/>
    <w:rsid w:val="00F300A1"/>
    <w:rsid w:val="00F32017"/>
    <w:rsid w:val="00F40227"/>
    <w:rsid w:val="00F41F6C"/>
    <w:rsid w:val="00F45008"/>
    <w:rsid w:val="00F524DB"/>
    <w:rsid w:val="00F64F1A"/>
    <w:rsid w:val="00F67A40"/>
    <w:rsid w:val="00F752DF"/>
    <w:rsid w:val="00F92F92"/>
    <w:rsid w:val="00F96C05"/>
    <w:rsid w:val="00FC319C"/>
    <w:rsid w:val="00FC4114"/>
    <w:rsid w:val="00FC56AF"/>
    <w:rsid w:val="00FD1018"/>
    <w:rsid w:val="00FE3E12"/>
    <w:rsid w:val="00FE459F"/>
    <w:rsid w:val="00FF0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4b923,#69be28"/>
    </o:shapedefaults>
    <o:shapelayout v:ext="edit">
      <o:idmap v:ext="edit" data="1"/>
    </o:shapelayout>
  </w:shapeDefaults>
  <w:decimalSymbol w:val=","/>
  <w:listSeparator w:val=";"/>
  <w14:docId w14:val="0B524510"/>
  <w15:chartTrackingRefBased/>
  <w15:docId w15:val="{FC587A08-F5CA-4BDB-9B62-1AF7E0F0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7308"/>
    <w:pPr>
      <w:spacing w:after="240" w:line="336" w:lineRule="auto"/>
    </w:pPr>
  </w:style>
  <w:style w:type="paragraph" w:styleId="Nadpis1">
    <w:name w:val="heading 1"/>
    <w:basedOn w:val="Normln"/>
    <w:next w:val="Normln"/>
    <w:link w:val="Nadpis1Char"/>
    <w:qFormat/>
    <w:rsid w:val="00D22C7E"/>
    <w:pPr>
      <w:keepNext/>
      <w:keepLines/>
      <w:pageBreakBefore/>
      <w:numPr>
        <w:numId w:val="14"/>
      </w:numPr>
      <w:tabs>
        <w:tab w:val="left" w:pos="567"/>
      </w:tabs>
      <w:spacing w:after="720" w:line="240" w:lineRule="auto"/>
      <w:ind w:left="567" w:hanging="567"/>
      <w:outlineLvl w:val="0"/>
    </w:pPr>
    <w:rPr>
      <w:rFonts w:cs="Arial"/>
      <w:b/>
      <w:bCs/>
      <w:caps/>
      <w:color w:val="21A9C0"/>
      <w:kern w:val="32"/>
      <w:sz w:val="44"/>
      <w:szCs w:val="64"/>
    </w:rPr>
  </w:style>
  <w:style w:type="paragraph" w:styleId="Nadpis2">
    <w:name w:val="heading 2"/>
    <w:basedOn w:val="Nadpis1"/>
    <w:next w:val="Normln"/>
    <w:link w:val="Nadpis2Char"/>
    <w:qFormat/>
    <w:rsid w:val="00726B30"/>
    <w:pPr>
      <w:pageBreakBefore w:val="0"/>
      <w:numPr>
        <w:ilvl w:val="1"/>
      </w:numPr>
      <w:tabs>
        <w:tab w:val="clear" w:pos="851"/>
      </w:tabs>
      <w:spacing w:before="440" w:after="280"/>
      <w:ind w:left="737" w:hanging="737"/>
      <w:outlineLvl w:val="1"/>
    </w:pPr>
    <w:rPr>
      <w:bCs w:val="0"/>
      <w:iCs/>
      <w:caps w:val="0"/>
      <w:color w:val="7AC143"/>
      <w:sz w:val="32"/>
      <w:szCs w:val="32"/>
      <w:lang w:val="en-GB"/>
    </w:rPr>
  </w:style>
  <w:style w:type="paragraph" w:styleId="Nadpis3">
    <w:name w:val="heading 3"/>
    <w:basedOn w:val="Nadpis2"/>
    <w:next w:val="Normln"/>
    <w:qFormat/>
    <w:rsid w:val="00726B30"/>
    <w:pPr>
      <w:numPr>
        <w:ilvl w:val="2"/>
      </w:numPr>
      <w:spacing w:before="360" w:after="120"/>
      <w:ind w:left="737" w:hanging="737"/>
      <w:outlineLvl w:val="2"/>
    </w:pPr>
    <w:rPr>
      <w:b w:val="0"/>
      <w:bCs/>
      <w:sz w:val="24"/>
      <w:szCs w:val="26"/>
    </w:rPr>
  </w:style>
  <w:style w:type="paragraph" w:styleId="Nadpis4">
    <w:name w:val="heading 4"/>
    <w:basedOn w:val="Nadpis3"/>
    <w:next w:val="Normln"/>
    <w:link w:val="Nadpis4Char"/>
    <w:qFormat/>
    <w:rsid w:val="00726B30"/>
    <w:pPr>
      <w:numPr>
        <w:ilvl w:val="0"/>
        <w:numId w:val="0"/>
      </w:numPr>
      <w:outlineLvl w:val="3"/>
    </w:pPr>
    <w:rPr>
      <w:bCs w:val="0"/>
      <w:sz w:val="20"/>
      <w:szCs w:val="20"/>
    </w:rPr>
  </w:style>
  <w:style w:type="paragraph" w:styleId="Nadpis5">
    <w:name w:val="heading 5"/>
    <w:basedOn w:val="Normln"/>
    <w:next w:val="Normln"/>
    <w:rsid w:val="00DB7A14"/>
    <w:pPr>
      <w:numPr>
        <w:ilvl w:val="4"/>
        <w:numId w:val="14"/>
      </w:numPr>
      <w:spacing w:before="240" w:after="60"/>
      <w:outlineLvl w:val="4"/>
    </w:pPr>
    <w:rPr>
      <w:b/>
      <w:bCs/>
      <w:i/>
      <w:iCs/>
      <w:sz w:val="26"/>
      <w:szCs w:val="26"/>
    </w:rPr>
  </w:style>
  <w:style w:type="paragraph" w:styleId="Nadpis6">
    <w:name w:val="heading 6"/>
    <w:basedOn w:val="Normln"/>
    <w:next w:val="Normln"/>
    <w:rsid w:val="00DB7A14"/>
    <w:pPr>
      <w:numPr>
        <w:ilvl w:val="5"/>
        <w:numId w:val="14"/>
      </w:numPr>
      <w:spacing w:before="240" w:after="60"/>
      <w:outlineLvl w:val="5"/>
    </w:pPr>
    <w:rPr>
      <w:rFonts w:ascii="Times New Roman" w:hAnsi="Times New Roman"/>
      <w:b/>
      <w:bCs/>
      <w:sz w:val="22"/>
      <w:szCs w:val="22"/>
    </w:rPr>
  </w:style>
  <w:style w:type="paragraph" w:styleId="Nadpis7">
    <w:name w:val="heading 7"/>
    <w:basedOn w:val="Normln"/>
    <w:next w:val="Normln"/>
    <w:rsid w:val="00DB7A14"/>
    <w:pPr>
      <w:numPr>
        <w:ilvl w:val="6"/>
        <w:numId w:val="14"/>
      </w:numPr>
      <w:spacing w:before="240" w:after="60"/>
      <w:outlineLvl w:val="6"/>
    </w:pPr>
    <w:rPr>
      <w:rFonts w:ascii="Times New Roman" w:hAnsi="Times New Roman"/>
      <w:sz w:val="24"/>
    </w:rPr>
  </w:style>
  <w:style w:type="paragraph" w:styleId="Nadpis8">
    <w:name w:val="heading 8"/>
    <w:basedOn w:val="Normln"/>
    <w:next w:val="Normln"/>
    <w:rsid w:val="00DB7A14"/>
    <w:pPr>
      <w:numPr>
        <w:ilvl w:val="7"/>
        <w:numId w:val="14"/>
      </w:numPr>
      <w:spacing w:before="240" w:after="60"/>
      <w:outlineLvl w:val="7"/>
    </w:pPr>
    <w:rPr>
      <w:rFonts w:ascii="Times New Roman" w:hAnsi="Times New Roman"/>
      <w:i/>
      <w:iCs/>
      <w:sz w:val="24"/>
    </w:rPr>
  </w:style>
  <w:style w:type="paragraph" w:styleId="Nadpis9">
    <w:name w:val="heading 9"/>
    <w:basedOn w:val="Normln"/>
    <w:next w:val="Normln"/>
    <w:rsid w:val="00DB7A14"/>
    <w:pPr>
      <w:numPr>
        <w:ilvl w:val="8"/>
        <w:numId w:val="1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726B30"/>
    <w:rPr>
      <w:rFonts w:cs="Arial"/>
      <w:b/>
      <w:iCs/>
      <w:color w:val="7AC143"/>
      <w:kern w:val="32"/>
      <w:sz w:val="32"/>
      <w:szCs w:val="32"/>
      <w:lang w:val="en-GB"/>
    </w:rPr>
  </w:style>
  <w:style w:type="paragraph" w:styleId="Zhlav">
    <w:name w:val="header"/>
    <w:basedOn w:val="Normln"/>
    <w:rsid w:val="005E3965"/>
    <w:pPr>
      <w:tabs>
        <w:tab w:val="center" w:pos="4536"/>
        <w:tab w:val="right" w:pos="9072"/>
      </w:tabs>
    </w:pPr>
  </w:style>
  <w:style w:type="paragraph" w:styleId="Zpat">
    <w:name w:val="footer"/>
    <w:basedOn w:val="Normln"/>
    <w:link w:val="ZpatChar"/>
    <w:uiPriority w:val="99"/>
    <w:rsid w:val="005E3965"/>
    <w:pPr>
      <w:tabs>
        <w:tab w:val="center" w:pos="4536"/>
        <w:tab w:val="right" w:pos="9072"/>
      </w:tabs>
    </w:pPr>
  </w:style>
  <w:style w:type="paragraph" w:styleId="Obsah4">
    <w:name w:val="toc 4"/>
    <w:basedOn w:val="Obsah3"/>
    <w:next w:val="Normln"/>
    <w:autoRedefine/>
    <w:rsid w:val="007B4A3B"/>
    <w:pPr>
      <w:ind w:left="2268" w:firstLine="0"/>
    </w:pPr>
  </w:style>
  <w:style w:type="paragraph" w:styleId="Obsah1">
    <w:name w:val="toc 1"/>
    <w:basedOn w:val="Normln"/>
    <w:next w:val="Normln"/>
    <w:autoRedefine/>
    <w:uiPriority w:val="39"/>
    <w:rsid w:val="003563DE"/>
    <w:pPr>
      <w:tabs>
        <w:tab w:val="right" w:leader="dot" w:pos="8494"/>
      </w:tabs>
      <w:spacing w:before="360" w:line="240" w:lineRule="auto"/>
      <w:ind w:left="284" w:hanging="284"/>
    </w:pPr>
    <w:rPr>
      <w:b/>
      <w:noProof/>
    </w:rPr>
  </w:style>
  <w:style w:type="character" w:customStyle="1" w:styleId="zvraznntextu">
    <w:name w:val="zvýraznění textu"/>
    <w:rsid w:val="00C015DC"/>
    <w:rPr>
      <w:noProof/>
      <w:color w:val="64B923"/>
    </w:rPr>
  </w:style>
  <w:style w:type="paragraph" w:styleId="Obsah2">
    <w:name w:val="toc 2"/>
    <w:basedOn w:val="Normln"/>
    <w:next w:val="Normln"/>
    <w:autoRedefine/>
    <w:uiPriority w:val="39"/>
    <w:rsid w:val="00D11C57"/>
    <w:pPr>
      <w:tabs>
        <w:tab w:val="right" w:leader="dot" w:pos="8494"/>
      </w:tabs>
      <w:spacing w:before="240" w:after="120" w:line="240" w:lineRule="auto"/>
      <w:ind w:left="851" w:hanging="567"/>
    </w:pPr>
    <w:rPr>
      <w:noProof/>
    </w:rPr>
  </w:style>
  <w:style w:type="character" w:customStyle="1" w:styleId="Nadpis1Char">
    <w:name w:val="Nadpis 1 Char"/>
    <w:link w:val="Nadpis1"/>
    <w:rsid w:val="00D22C7E"/>
    <w:rPr>
      <w:rFonts w:ascii="Arial" w:hAnsi="Arial" w:cs="Arial"/>
      <w:b/>
      <w:bCs/>
      <w:caps/>
      <w:color w:val="21A9C0"/>
      <w:kern w:val="32"/>
      <w:sz w:val="44"/>
      <w:szCs w:val="64"/>
    </w:rPr>
  </w:style>
  <w:style w:type="paragraph" w:styleId="Seznamsodrkami">
    <w:name w:val="List Bullet"/>
    <w:basedOn w:val="Normln"/>
    <w:autoRedefine/>
    <w:rsid w:val="00C015DC"/>
    <w:pPr>
      <w:numPr>
        <w:numId w:val="6"/>
      </w:numPr>
      <w:spacing w:after="0"/>
    </w:pPr>
  </w:style>
  <w:style w:type="paragraph" w:styleId="Seznamsodrkami2">
    <w:name w:val="List Bullet 2"/>
    <w:basedOn w:val="Normln"/>
    <w:autoRedefine/>
    <w:rsid w:val="00C015DC"/>
    <w:pPr>
      <w:numPr>
        <w:numId w:val="7"/>
      </w:numPr>
      <w:spacing w:after="0"/>
    </w:pPr>
  </w:style>
  <w:style w:type="numbering" w:customStyle="1" w:styleId="slovnnadpis">
    <w:name w:val="Číslování nadpisů"/>
    <w:basedOn w:val="Bezseznamu"/>
    <w:rsid w:val="00DB7A14"/>
    <w:pPr>
      <w:numPr>
        <w:numId w:val="24"/>
      </w:numPr>
    </w:pPr>
  </w:style>
  <w:style w:type="paragraph" w:customStyle="1" w:styleId="Nadpis0">
    <w:name w:val="Nadpis 0"/>
    <w:basedOn w:val="Normln"/>
    <w:rsid w:val="007C1706"/>
    <w:pPr>
      <w:spacing w:after="0" w:line="240" w:lineRule="auto"/>
      <w:ind w:right="1701"/>
    </w:pPr>
    <w:rPr>
      <w:color w:val="4D4D4D"/>
      <w:sz w:val="48"/>
    </w:rPr>
  </w:style>
  <w:style w:type="character" w:customStyle="1" w:styleId="zvraznnBOLD">
    <w:name w:val="zvýraznění BOLD"/>
    <w:rsid w:val="00D20317"/>
    <w:rPr>
      <w:b/>
    </w:rPr>
  </w:style>
  <w:style w:type="paragraph" w:customStyle="1" w:styleId="zkladntextmezera">
    <w:name w:val="základní text mezera"/>
    <w:basedOn w:val="Normln"/>
    <w:rsid w:val="00D20317"/>
    <w:pPr>
      <w:spacing w:before="240"/>
    </w:pPr>
  </w:style>
  <w:style w:type="paragraph" w:styleId="Obsah3">
    <w:name w:val="toc 3"/>
    <w:basedOn w:val="Obsah2"/>
    <w:next w:val="Normln"/>
    <w:autoRedefine/>
    <w:uiPriority w:val="39"/>
    <w:rsid w:val="007B4A3B"/>
    <w:pPr>
      <w:spacing w:before="0"/>
      <w:ind w:left="1702" w:hanging="851"/>
    </w:pPr>
  </w:style>
  <w:style w:type="character" w:styleId="Hypertextovodkaz">
    <w:name w:val="Hyperlink"/>
    <w:uiPriority w:val="99"/>
    <w:rsid w:val="00237308"/>
    <w:rPr>
      <w:color w:val="21A9C0"/>
      <w:u w:val="single"/>
    </w:rPr>
  </w:style>
  <w:style w:type="paragraph" w:customStyle="1" w:styleId="Obsahnadpis">
    <w:name w:val="Obsah nadpis"/>
    <w:basedOn w:val="Nadpis1"/>
    <w:rsid w:val="00C015DC"/>
    <w:pPr>
      <w:pageBreakBefore w:val="0"/>
      <w:numPr>
        <w:numId w:val="0"/>
      </w:numPr>
    </w:pPr>
  </w:style>
  <w:style w:type="paragraph" w:customStyle="1" w:styleId="Nadpispublikace">
    <w:name w:val="Nadpis publikace"/>
    <w:basedOn w:val="Normln"/>
    <w:link w:val="NadpispublikaceChar"/>
    <w:rsid w:val="00BE43A5"/>
    <w:pPr>
      <w:spacing w:line="240" w:lineRule="auto"/>
    </w:pPr>
    <w:rPr>
      <w:color w:val="64B923"/>
      <w:sz w:val="72"/>
    </w:rPr>
  </w:style>
  <w:style w:type="paragraph" w:customStyle="1" w:styleId="obrazekbezpopisky">
    <w:name w:val="obrazek bez popisky"/>
    <w:basedOn w:val="zkladntextmezera"/>
    <w:rsid w:val="00EE25EA"/>
    <w:pPr>
      <w:spacing w:before="480" w:after="480"/>
    </w:pPr>
    <w:rPr>
      <w:noProof/>
    </w:rPr>
  </w:style>
  <w:style w:type="paragraph" w:customStyle="1" w:styleId="obrazekspopiskou">
    <w:name w:val="obrazek s popiskou"/>
    <w:basedOn w:val="Normln"/>
    <w:autoRedefine/>
    <w:rsid w:val="00433650"/>
    <w:pPr>
      <w:spacing w:before="480" w:after="120"/>
    </w:pPr>
    <w:rPr>
      <w:noProof/>
    </w:rPr>
  </w:style>
  <w:style w:type="paragraph" w:customStyle="1" w:styleId="popiskaobrazku">
    <w:name w:val="popiska obrazku"/>
    <w:basedOn w:val="Normln"/>
    <w:rsid w:val="00EE25EA"/>
    <w:rPr>
      <w:i/>
      <w:noProof/>
      <w:color w:val="4D4D4D"/>
    </w:rPr>
  </w:style>
  <w:style w:type="table" w:customStyle="1" w:styleId="CEITECtabulka1">
    <w:name w:val="CEITEC tabulka 1"/>
    <w:basedOn w:val="Normlntabulka"/>
    <w:rsid w:val="004E53C0"/>
    <w:pPr>
      <w:spacing w:before="100" w:beforeAutospacing="1" w:after="100" w:afterAutospacing="1"/>
      <w:jc w:val="right"/>
    </w:pPr>
    <w:rPr>
      <w:rFonts w:ascii="Arial" w:hAnsi="Arial"/>
      <w:sz w:val="18"/>
    </w:rPr>
    <w:tblPr>
      <w:tblBorders>
        <w:insideH w:val="single" w:sz="2" w:space="0" w:color="auto"/>
      </w:tblBorders>
      <w:tblCellMar>
        <w:left w:w="0" w:type="dxa"/>
        <w:right w:w="0" w:type="dxa"/>
      </w:tblCellMar>
    </w:tblPr>
    <w:tcPr>
      <w:tcMar>
        <w:top w:w="57" w:type="dxa"/>
        <w:left w:w="0" w:type="dxa"/>
        <w:bottom w:w="28" w:type="dxa"/>
        <w:right w:w="0" w:type="dxa"/>
      </w:tcMar>
    </w:tcPr>
    <w:tblStylePr w:type="firstRow">
      <w:pPr>
        <w:wordWrap/>
        <w:spacing w:line="240" w:lineRule="auto"/>
        <w:jc w:val="right"/>
      </w:pPr>
      <w:rPr>
        <w:color w:val="4D4D4D"/>
        <w:sz w:val="14"/>
      </w:rPr>
      <w:tblPr/>
      <w:tcPr>
        <w:tcBorders>
          <w:top w:val="nil"/>
          <w:left w:val="nil"/>
          <w:bottom w:val="single" w:sz="4" w:space="0" w:color="69BE28"/>
          <w:right w:val="nil"/>
          <w:insideH w:val="nil"/>
          <w:insideV w:val="nil"/>
          <w:tl2br w:val="nil"/>
          <w:tr2bl w:val="nil"/>
        </w:tcBorders>
        <w:vAlign w:val="bottom"/>
      </w:tcPr>
    </w:tblStylePr>
    <w:tblStylePr w:type="lastRow">
      <w:rPr>
        <w:b/>
      </w:rPr>
    </w:tblStylePr>
    <w:tblStylePr w:type="firstCol">
      <w:pPr>
        <w:wordWrap/>
        <w:jc w:val="left"/>
      </w:pPr>
    </w:tblStylePr>
    <w:tblStylePr w:type="nwCell">
      <w:pPr>
        <w:wordWrap/>
        <w:jc w:val="left"/>
      </w:pPr>
    </w:tblStylePr>
  </w:style>
  <w:style w:type="table" w:customStyle="1" w:styleId="CEITECtabulka2">
    <w:name w:val="CEITEC tabulka 2"/>
    <w:basedOn w:val="CEITECtabulka1"/>
    <w:rsid w:val="008C391F"/>
    <w:pPr>
      <w:spacing w:line="336" w:lineRule="auto"/>
      <w:ind w:left="113" w:right="113"/>
    </w:pPr>
    <w:tblPr>
      <w:tblCellMar>
        <w:right w:w="113" w:type="dxa"/>
      </w:tblCellMar>
    </w:tblPr>
    <w:tblStylePr w:type="firstRow">
      <w:pPr>
        <w:wordWrap/>
        <w:spacing w:line="240" w:lineRule="auto"/>
        <w:jc w:val="right"/>
      </w:pPr>
      <w:rPr>
        <w:color w:val="4D4D4D"/>
        <w:sz w:val="14"/>
      </w:rPr>
      <w:tblPr/>
      <w:tcPr>
        <w:tcBorders>
          <w:top w:val="nil"/>
          <w:left w:val="nil"/>
          <w:bottom w:val="single" w:sz="12" w:space="0" w:color="FFFFFF"/>
          <w:right w:val="nil"/>
          <w:insideH w:val="nil"/>
          <w:insideV w:val="single" w:sz="12" w:space="0" w:color="FFFFFF"/>
          <w:tl2br w:val="nil"/>
          <w:tr2bl w:val="nil"/>
        </w:tcBorders>
        <w:shd w:val="clear" w:color="auto" w:fill="E6E6E6"/>
        <w:vAlign w:val="bottom"/>
      </w:tcPr>
    </w:tblStylePr>
    <w:tblStylePr w:type="lastRow">
      <w:rPr>
        <w:b/>
      </w:rPr>
    </w:tblStylePr>
    <w:tblStylePr w:type="firstCol">
      <w:pPr>
        <w:wordWrap/>
        <w:jc w:val="left"/>
      </w:pPr>
    </w:tblStylePr>
    <w:tblStylePr w:type="nwCell">
      <w:pPr>
        <w:wordWrap/>
        <w:jc w:val="left"/>
      </w:pPr>
    </w:tblStylePr>
  </w:style>
  <w:style w:type="paragraph" w:customStyle="1" w:styleId="obsah">
    <w:name w:val="obsah"/>
    <w:basedOn w:val="Normln"/>
    <w:rsid w:val="00AB7D36"/>
    <w:pPr>
      <w:tabs>
        <w:tab w:val="right" w:leader="dot" w:pos="8494"/>
      </w:tabs>
      <w:spacing w:after="600"/>
      <w:ind w:left="567" w:hanging="567"/>
    </w:pPr>
    <w:rPr>
      <w:b/>
      <w:noProof/>
    </w:rPr>
  </w:style>
  <w:style w:type="paragraph" w:customStyle="1" w:styleId="Nadpispublikaceern">
    <w:name w:val="Nadpis publikace černý"/>
    <w:basedOn w:val="Nadpispublikace"/>
    <w:rsid w:val="00453303"/>
    <w:rPr>
      <w:color w:val="auto"/>
    </w:rPr>
  </w:style>
  <w:style w:type="paragraph" w:styleId="Textkomente">
    <w:name w:val="annotation text"/>
    <w:basedOn w:val="Normln"/>
    <w:link w:val="TextkomenteChar"/>
    <w:rsid w:val="00C84AB5"/>
  </w:style>
  <w:style w:type="character" w:customStyle="1" w:styleId="TextkomenteChar">
    <w:name w:val="Text komentáře Char"/>
    <w:link w:val="Textkomente"/>
    <w:rsid w:val="00C84AB5"/>
    <w:rPr>
      <w:rFonts w:ascii="Arial" w:hAnsi="Arial"/>
    </w:rPr>
  </w:style>
  <w:style w:type="character" w:customStyle="1" w:styleId="Nadpis4Char">
    <w:name w:val="Nadpis 4 Char"/>
    <w:link w:val="Nadpis4"/>
    <w:rsid w:val="00726B30"/>
    <w:rPr>
      <w:rFonts w:cs="Arial"/>
      <w:iCs/>
      <w:color w:val="7AC143"/>
      <w:kern w:val="32"/>
      <w:lang w:val="en-GB"/>
    </w:rPr>
  </w:style>
  <w:style w:type="character" w:customStyle="1" w:styleId="ZpatChar">
    <w:name w:val="Zápatí Char"/>
    <w:basedOn w:val="Standardnpsmoodstavce"/>
    <w:link w:val="Zpat"/>
    <w:uiPriority w:val="99"/>
    <w:rsid w:val="00BC299A"/>
    <w:rPr>
      <w:rFonts w:ascii="Arial" w:hAnsi="Arial"/>
      <w:szCs w:val="24"/>
    </w:rPr>
  </w:style>
  <w:style w:type="character" w:styleId="Siln">
    <w:name w:val="Strong"/>
    <w:basedOn w:val="Standardnpsmoodstavce"/>
    <w:uiPriority w:val="22"/>
    <w:qFormat/>
    <w:rsid w:val="00957678"/>
    <w:rPr>
      <w:b/>
      <w:bCs/>
    </w:rPr>
  </w:style>
  <w:style w:type="paragraph" w:styleId="Bezmezer">
    <w:name w:val="No Spacing"/>
    <w:basedOn w:val="Normln"/>
    <w:uiPriority w:val="1"/>
    <w:qFormat/>
    <w:rsid w:val="00957678"/>
    <w:pPr>
      <w:spacing w:after="0"/>
    </w:pPr>
  </w:style>
  <w:style w:type="character" w:styleId="Zdraznnintenzivn">
    <w:name w:val="Intense Emphasis"/>
    <w:basedOn w:val="Standardnpsmoodstavce"/>
    <w:uiPriority w:val="21"/>
    <w:qFormat/>
    <w:rsid w:val="008560DB"/>
    <w:rPr>
      <w:i/>
      <w:iCs/>
      <w:color w:val="21A9C0"/>
    </w:rPr>
  </w:style>
  <w:style w:type="paragraph" w:styleId="Vrazncitt">
    <w:name w:val="Intense Quote"/>
    <w:basedOn w:val="Normln"/>
    <w:next w:val="Normln"/>
    <w:link w:val="VrazncittChar"/>
    <w:uiPriority w:val="30"/>
    <w:rsid w:val="00A97A99"/>
    <w:pPr>
      <w:pBdr>
        <w:top w:val="single" w:sz="4" w:space="10" w:color="21A9C0"/>
        <w:bottom w:val="single" w:sz="4" w:space="10" w:color="21A9C0"/>
      </w:pBdr>
      <w:spacing w:before="360" w:after="360"/>
      <w:ind w:left="864" w:right="864"/>
      <w:jc w:val="center"/>
    </w:pPr>
    <w:rPr>
      <w:i/>
      <w:iCs/>
      <w:color w:val="21A9C0"/>
    </w:rPr>
  </w:style>
  <w:style w:type="character" w:customStyle="1" w:styleId="VrazncittChar">
    <w:name w:val="Výrazný citát Char"/>
    <w:basedOn w:val="Standardnpsmoodstavce"/>
    <w:link w:val="Vrazncitt"/>
    <w:uiPriority w:val="30"/>
    <w:rsid w:val="00A97A99"/>
    <w:rPr>
      <w:rFonts w:ascii="Arial" w:hAnsi="Arial"/>
      <w:i/>
      <w:iCs/>
      <w:color w:val="21A9C0"/>
      <w:szCs w:val="24"/>
    </w:rPr>
  </w:style>
  <w:style w:type="character" w:styleId="Odkazintenzivn">
    <w:name w:val="Intense Reference"/>
    <w:basedOn w:val="Standardnpsmoodstavce"/>
    <w:uiPriority w:val="32"/>
    <w:rsid w:val="00A97A99"/>
    <w:rPr>
      <w:b/>
      <w:bCs/>
      <w:smallCaps/>
      <w:color w:val="21A9C0"/>
      <w:spacing w:val="5"/>
    </w:rPr>
  </w:style>
  <w:style w:type="paragraph" w:customStyle="1" w:styleId="PublicationTitle">
    <w:name w:val="Publication Title"/>
    <w:basedOn w:val="Nadpispublikace"/>
    <w:link w:val="PublicationTitleChar"/>
    <w:qFormat/>
    <w:rsid w:val="00836372"/>
    <w:pPr>
      <w:spacing w:after="960"/>
    </w:pPr>
    <w:rPr>
      <w:b/>
      <w:color w:val="21A9C0"/>
    </w:rPr>
  </w:style>
  <w:style w:type="paragraph" w:customStyle="1" w:styleId="AuthorandDate">
    <w:name w:val="Author and Date"/>
    <w:basedOn w:val="Normln"/>
    <w:link w:val="AuthorandDateChar"/>
    <w:qFormat/>
    <w:rsid w:val="00836372"/>
    <w:pPr>
      <w:spacing w:after="0" w:line="288" w:lineRule="auto"/>
    </w:pPr>
    <w:rPr>
      <w:color w:val="39464A"/>
      <w:sz w:val="44"/>
      <w:szCs w:val="32"/>
    </w:rPr>
  </w:style>
  <w:style w:type="character" w:customStyle="1" w:styleId="NadpispublikaceChar">
    <w:name w:val="Nadpis publikace Char"/>
    <w:basedOn w:val="Standardnpsmoodstavce"/>
    <w:link w:val="Nadpispublikace"/>
    <w:rsid w:val="00836372"/>
    <w:rPr>
      <w:rFonts w:ascii="Arial" w:hAnsi="Arial"/>
      <w:color w:val="64B923"/>
      <w:sz w:val="72"/>
      <w:szCs w:val="24"/>
    </w:rPr>
  </w:style>
  <w:style w:type="character" w:customStyle="1" w:styleId="PublicationTitleChar">
    <w:name w:val="Publication Title Char"/>
    <w:basedOn w:val="NadpispublikaceChar"/>
    <w:link w:val="PublicationTitle"/>
    <w:rsid w:val="00836372"/>
    <w:rPr>
      <w:rFonts w:ascii="Arial" w:hAnsi="Arial"/>
      <w:b/>
      <w:color w:val="21A9C0"/>
      <w:sz w:val="72"/>
      <w:szCs w:val="24"/>
    </w:rPr>
  </w:style>
  <w:style w:type="paragraph" w:styleId="Odstavecseseznamem">
    <w:name w:val="List Paragraph"/>
    <w:basedOn w:val="Normln"/>
    <w:uiPriority w:val="34"/>
    <w:qFormat/>
    <w:rsid w:val="0053519E"/>
    <w:pPr>
      <w:numPr>
        <w:numId w:val="17"/>
      </w:numPr>
      <w:spacing w:after="0"/>
      <w:contextualSpacing/>
    </w:pPr>
  </w:style>
  <w:style w:type="character" w:customStyle="1" w:styleId="AuthorandDateChar">
    <w:name w:val="Author and Date Char"/>
    <w:basedOn w:val="Standardnpsmoodstavce"/>
    <w:link w:val="AuthorandDate"/>
    <w:rsid w:val="00836372"/>
    <w:rPr>
      <w:rFonts w:ascii="Arial" w:hAnsi="Arial"/>
      <w:color w:val="39464A"/>
      <w:sz w:val="44"/>
      <w:szCs w:val="32"/>
    </w:rPr>
  </w:style>
  <w:style w:type="numbering" w:customStyle="1" w:styleId="StylSodrkamiCourierNewVlevo317cmPedsazen063">
    <w:name w:val="Styl S odrážkami Courier New Vlevo:  317 cm Předsazení:  063 ..."/>
    <w:basedOn w:val="Bezseznamu"/>
    <w:rsid w:val="00237308"/>
    <w:pPr>
      <w:numPr>
        <w:numId w:val="19"/>
      </w:numPr>
    </w:pPr>
  </w:style>
  <w:style w:type="table" w:styleId="Mkatabulky">
    <w:name w:val="Table Grid"/>
    <w:basedOn w:val="Normlntabulka"/>
    <w:uiPriority w:val="59"/>
    <w:rsid w:val="00DB2890"/>
    <w:pPr>
      <w:spacing w:after="160" w:line="259" w:lineRule="auto"/>
    </w:pPr>
    <w:rPr>
      <w:rFonts w:eastAsia="MS Mincho"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97064">
      <w:bodyDiv w:val="1"/>
      <w:marLeft w:val="0"/>
      <w:marRight w:val="0"/>
      <w:marTop w:val="0"/>
      <w:marBottom w:val="0"/>
      <w:divBdr>
        <w:top w:val="none" w:sz="0" w:space="0" w:color="auto"/>
        <w:left w:val="none" w:sz="0" w:space="0" w:color="auto"/>
        <w:bottom w:val="none" w:sz="0" w:space="0" w:color="auto"/>
        <w:right w:val="none" w:sz="0" w:space="0" w:color="auto"/>
      </w:divBdr>
    </w:div>
    <w:div w:id="1132555291">
      <w:bodyDiv w:val="1"/>
      <w:marLeft w:val="0"/>
      <w:marRight w:val="0"/>
      <w:marTop w:val="0"/>
      <w:marBottom w:val="0"/>
      <w:divBdr>
        <w:top w:val="none" w:sz="0" w:space="0" w:color="auto"/>
        <w:left w:val="none" w:sz="0" w:space="0" w:color="auto"/>
        <w:bottom w:val="none" w:sz="0" w:space="0" w:color="auto"/>
        <w:right w:val="none" w:sz="0" w:space="0" w:color="auto"/>
      </w:divBdr>
    </w:div>
    <w:div w:id="14660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7033\Desktop\TEMPLATES\CEITEC_MU_document_A4_shortened_rev.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F40C1-6862-4258-814A-F089BB55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CEITEC_MU_document_A4_shortened_rev.dotx</Template>
  <TotalTime>31</TotalTime>
  <Pages>5</Pages>
  <Words>926</Words>
  <Characters>5467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lpstr>
    </vt:vector>
  </TitlesOfParts>
  <Company>CEITEC</Company>
  <LinksUpToDate>false</LinksUpToDate>
  <CharactersWithSpaces>6381</CharactersWithSpaces>
  <SharedDoc>false</SharedDoc>
  <HLinks>
    <vt:vector size="96" baseType="variant">
      <vt:variant>
        <vt:i4>4128895</vt:i4>
      </vt:variant>
      <vt:variant>
        <vt:i4>87</vt:i4>
      </vt:variant>
      <vt:variant>
        <vt:i4>0</vt:i4>
      </vt:variant>
      <vt:variant>
        <vt:i4>5</vt:i4>
      </vt:variant>
      <vt:variant>
        <vt:lpwstr>javascript:r(3)</vt:lpwstr>
      </vt:variant>
      <vt:variant>
        <vt:lpwstr/>
      </vt:variant>
      <vt:variant>
        <vt:i4>4063359</vt:i4>
      </vt:variant>
      <vt:variant>
        <vt:i4>84</vt:i4>
      </vt:variant>
      <vt:variant>
        <vt:i4>0</vt:i4>
      </vt:variant>
      <vt:variant>
        <vt:i4>5</vt:i4>
      </vt:variant>
      <vt:variant>
        <vt:lpwstr>javascript:r(2)</vt:lpwstr>
      </vt:variant>
      <vt:variant>
        <vt:lpwstr/>
      </vt:variant>
      <vt:variant>
        <vt:i4>3670143</vt:i4>
      </vt:variant>
      <vt:variant>
        <vt:i4>81</vt:i4>
      </vt:variant>
      <vt:variant>
        <vt:i4>0</vt:i4>
      </vt:variant>
      <vt:variant>
        <vt:i4>5</vt:i4>
      </vt:variant>
      <vt:variant>
        <vt:lpwstr>javascript:r(4)</vt:lpwstr>
      </vt:variant>
      <vt:variant>
        <vt:lpwstr/>
      </vt:variant>
      <vt:variant>
        <vt:i4>1900594</vt:i4>
      </vt:variant>
      <vt:variant>
        <vt:i4>74</vt:i4>
      </vt:variant>
      <vt:variant>
        <vt:i4>0</vt:i4>
      </vt:variant>
      <vt:variant>
        <vt:i4>5</vt:i4>
      </vt:variant>
      <vt:variant>
        <vt:lpwstr/>
      </vt:variant>
      <vt:variant>
        <vt:lpwstr>_Toc326934453</vt:lpwstr>
      </vt:variant>
      <vt:variant>
        <vt:i4>1900594</vt:i4>
      </vt:variant>
      <vt:variant>
        <vt:i4>68</vt:i4>
      </vt:variant>
      <vt:variant>
        <vt:i4>0</vt:i4>
      </vt:variant>
      <vt:variant>
        <vt:i4>5</vt:i4>
      </vt:variant>
      <vt:variant>
        <vt:lpwstr/>
      </vt:variant>
      <vt:variant>
        <vt:lpwstr>_Toc326934452</vt:lpwstr>
      </vt:variant>
      <vt:variant>
        <vt:i4>1900594</vt:i4>
      </vt:variant>
      <vt:variant>
        <vt:i4>62</vt:i4>
      </vt:variant>
      <vt:variant>
        <vt:i4>0</vt:i4>
      </vt:variant>
      <vt:variant>
        <vt:i4>5</vt:i4>
      </vt:variant>
      <vt:variant>
        <vt:lpwstr/>
      </vt:variant>
      <vt:variant>
        <vt:lpwstr>_Toc326934451</vt:lpwstr>
      </vt:variant>
      <vt:variant>
        <vt:i4>1900594</vt:i4>
      </vt:variant>
      <vt:variant>
        <vt:i4>56</vt:i4>
      </vt:variant>
      <vt:variant>
        <vt:i4>0</vt:i4>
      </vt:variant>
      <vt:variant>
        <vt:i4>5</vt:i4>
      </vt:variant>
      <vt:variant>
        <vt:lpwstr/>
      </vt:variant>
      <vt:variant>
        <vt:lpwstr>_Toc326934450</vt:lpwstr>
      </vt:variant>
      <vt:variant>
        <vt:i4>1835058</vt:i4>
      </vt:variant>
      <vt:variant>
        <vt:i4>50</vt:i4>
      </vt:variant>
      <vt:variant>
        <vt:i4>0</vt:i4>
      </vt:variant>
      <vt:variant>
        <vt:i4>5</vt:i4>
      </vt:variant>
      <vt:variant>
        <vt:lpwstr/>
      </vt:variant>
      <vt:variant>
        <vt:lpwstr>_Toc326934449</vt:lpwstr>
      </vt:variant>
      <vt:variant>
        <vt:i4>1835058</vt:i4>
      </vt:variant>
      <vt:variant>
        <vt:i4>44</vt:i4>
      </vt:variant>
      <vt:variant>
        <vt:i4>0</vt:i4>
      </vt:variant>
      <vt:variant>
        <vt:i4>5</vt:i4>
      </vt:variant>
      <vt:variant>
        <vt:lpwstr/>
      </vt:variant>
      <vt:variant>
        <vt:lpwstr>_Toc326934448</vt:lpwstr>
      </vt:variant>
      <vt:variant>
        <vt:i4>1835058</vt:i4>
      </vt:variant>
      <vt:variant>
        <vt:i4>38</vt:i4>
      </vt:variant>
      <vt:variant>
        <vt:i4>0</vt:i4>
      </vt:variant>
      <vt:variant>
        <vt:i4>5</vt:i4>
      </vt:variant>
      <vt:variant>
        <vt:lpwstr/>
      </vt:variant>
      <vt:variant>
        <vt:lpwstr>_Toc326934447</vt:lpwstr>
      </vt:variant>
      <vt:variant>
        <vt:i4>1835058</vt:i4>
      </vt:variant>
      <vt:variant>
        <vt:i4>32</vt:i4>
      </vt:variant>
      <vt:variant>
        <vt:i4>0</vt:i4>
      </vt:variant>
      <vt:variant>
        <vt:i4>5</vt:i4>
      </vt:variant>
      <vt:variant>
        <vt:lpwstr/>
      </vt:variant>
      <vt:variant>
        <vt:lpwstr>_Toc326934446</vt:lpwstr>
      </vt:variant>
      <vt:variant>
        <vt:i4>1835058</vt:i4>
      </vt:variant>
      <vt:variant>
        <vt:i4>26</vt:i4>
      </vt:variant>
      <vt:variant>
        <vt:i4>0</vt:i4>
      </vt:variant>
      <vt:variant>
        <vt:i4>5</vt:i4>
      </vt:variant>
      <vt:variant>
        <vt:lpwstr/>
      </vt:variant>
      <vt:variant>
        <vt:lpwstr>_Toc326934445</vt:lpwstr>
      </vt:variant>
      <vt:variant>
        <vt:i4>1835058</vt:i4>
      </vt:variant>
      <vt:variant>
        <vt:i4>20</vt:i4>
      </vt:variant>
      <vt:variant>
        <vt:i4>0</vt:i4>
      </vt:variant>
      <vt:variant>
        <vt:i4>5</vt:i4>
      </vt:variant>
      <vt:variant>
        <vt:lpwstr/>
      </vt:variant>
      <vt:variant>
        <vt:lpwstr>_Toc326934444</vt:lpwstr>
      </vt:variant>
      <vt:variant>
        <vt:i4>1835058</vt:i4>
      </vt:variant>
      <vt:variant>
        <vt:i4>14</vt:i4>
      </vt:variant>
      <vt:variant>
        <vt:i4>0</vt:i4>
      </vt:variant>
      <vt:variant>
        <vt:i4>5</vt:i4>
      </vt:variant>
      <vt:variant>
        <vt:lpwstr/>
      </vt:variant>
      <vt:variant>
        <vt:lpwstr>_Toc326934443</vt:lpwstr>
      </vt:variant>
      <vt:variant>
        <vt:i4>1835058</vt:i4>
      </vt:variant>
      <vt:variant>
        <vt:i4>8</vt:i4>
      </vt:variant>
      <vt:variant>
        <vt:i4>0</vt:i4>
      </vt:variant>
      <vt:variant>
        <vt:i4>5</vt:i4>
      </vt:variant>
      <vt:variant>
        <vt:lpwstr/>
      </vt:variant>
      <vt:variant>
        <vt:lpwstr>_Toc326934442</vt:lpwstr>
      </vt:variant>
      <vt:variant>
        <vt:i4>1835058</vt:i4>
      </vt:variant>
      <vt:variant>
        <vt:i4>2</vt:i4>
      </vt:variant>
      <vt:variant>
        <vt:i4>0</vt:i4>
      </vt:variant>
      <vt:variant>
        <vt:i4>5</vt:i4>
      </vt:variant>
      <vt:variant>
        <vt:lpwstr/>
      </vt:variant>
      <vt:variant>
        <vt:lpwstr>_Toc326934441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Eliška Handlířová</dc:creator>
  <cp:keywords/>
  <cp:lastModifiedBy>Eliška Handlířová</cp:lastModifiedBy>
  <cp:revision>3</cp:revision>
  <cp:lastPrinted>2017-12-19T09:00:00Z</cp:lastPrinted>
  <dcterms:created xsi:type="dcterms:W3CDTF">2019-03-28T12:12:00Z</dcterms:created>
  <dcterms:modified xsi:type="dcterms:W3CDTF">2019-03-28T12:44:00Z</dcterms:modified>
</cp:coreProperties>
</file>