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43E27" w:rsidRPr="00143E27" w:rsidTr="00143E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143E27" w:rsidRPr="00143E2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D7F00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  <w:gridCol w:w="3324"/>
                  </w:tblGrid>
                  <w:tr w:rsidR="00143E27" w:rsidRPr="00143E27">
                    <w:trPr>
                      <w:gridAfter w:val="1"/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45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  <w:t xml:space="preserve">2018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  <w:t>Staff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  <w:t>Week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5"/>
                            <w:szCs w:val="45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  <w:tr w:rsidR="00143E27" w:rsidRPr="00143E27">
                    <w:trPr>
                      <w:trHeight w:val="360"/>
                      <w:tblCellSpacing w:w="0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43E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450" w:lineRule="atLeast"/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 xml:space="preserve"> Dynamics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 xml:space="preserve">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color w:val="FFFFFF"/>
                            <w:sz w:val="45"/>
                            <w:szCs w:val="45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30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0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143E2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2857500" cy="2428875"/>
                        <wp:effectExtent l="0" t="0" r="0" b="9525"/>
                        <wp:docPr id="4" name="Obrázek 4" descr="http://mailingtool.iwink.nl/thumb2/w300-h255-nowhite/0e84ad4eedc5aa478c93f228e3b75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ilingtool.iwink.nl/thumb2/w300-h255-nowhite/0e84ad4eedc5aa478c93f228e3b75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143E27" w:rsidRPr="00143E27" w:rsidRDefault="00143E27" w:rsidP="00143E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502"/>
        <w:gridCol w:w="749"/>
      </w:tblGrid>
      <w:tr w:rsidR="00143E27" w:rsidRPr="00143E27" w:rsidTr="00143E27">
        <w:trPr>
          <w:trHeight w:val="375"/>
          <w:tblCellSpacing w:w="0" w:type="dxa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75" w:lineRule="atLeast"/>
              <w:rPr>
                <w:rFonts w:ascii="Arial" w:eastAsia="Times New Roman" w:hAnsi="Arial" w:cs="Arial"/>
                <w:sz w:val="38"/>
                <w:szCs w:val="38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38"/>
                <w:szCs w:val="38"/>
                <w:lang w:eastAsia="cs-CZ"/>
              </w:rPr>
              <w:t> </w:t>
            </w:r>
          </w:p>
        </w:tc>
      </w:tr>
      <w:tr w:rsidR="00143E27" w:rsidRPr="00143E27" w:rsidTr="00143E27">
        <w:trPr>
          <w:tblCellSpacing w:w="0" w:type="dxa"/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4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Dear</w:t>
            </w:r>
            <w:proofErr w:type="spellEnd"/>
            <w:r w:rsidRPr="0014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Erasmus </w:t>
            </w:r>
            <w:proofErr w:type="spellStart"/>
            <w:r w:rsidRPr="0014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partners</w:t>
            </w:r>
            <w:proofErr w:type="spellEnd"/>
            <w:r w:rsidRPr="00143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43E27" w:rsidRPr="00143E27" w:rsidTr="00143E27">
        <w:trPr>
          <w:trHeight w:val="180"/>
          <w:tblCellSpacing w:w="0" w:type="dxa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188" w:lineRule="atLeas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</w:tr>
      <w:tr w:rsidR="00143E27" w:rsidRPr="00143E27" w:rsidTr="00143E27">
        <w:trPr>
          <w:tblCellSpacing w:w="0" w:type="dxa"/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are happy to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announce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that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Hanze University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of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Applied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Sciences</w:t>
            </w:r>
            <w:proofErr w:type="spellEnd"/>
            <w:r w:rsidRPr="00143E27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42975" cy="1238250"/>
                  <wp:effectExtent l="0" t="0" r="9525" b="0"/>
                  <wp:wrapSquare wrapText="bothSides"/>
                  <wp:docPr id="5" name="Obrázek 5" descr="https://mailingtool.iwink.nl/inlineimages/mailbox/801/Image/logo_H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ingtool.iwink.nl/inlineimages/mailbox/801/Image/logo_H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Groningen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will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once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again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organize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comprehensive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one-week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training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programme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colleagues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of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our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partner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institutions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framework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of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Erasmus+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staff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mobility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training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programme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scheduled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from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43E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15-19 </w:t>
            </w:r>
            <w:proofErr w:type="spellStart"/>
            <w:r w:rsidRPr="00143E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October</w:t>
            </w:r>
            <w:proofErr w:type="spellEnd"/>
            <w:r w:rsidRPr="00143E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2018 </w:t>
            </w: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and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will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start on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Monday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morning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will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end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after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dinner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on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Thursday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On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Friday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you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will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possibility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to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schedule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your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personal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meetings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with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colleagues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students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at</w:t>
            </w:r>
            <w:proofErr w:type="spellEnd"/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Hanze UAS.</w:t>
            </w: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Please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forward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this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mail to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those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collegues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whom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you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think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might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interested</w:t>
            </w:r>
            <w:proofErr w:type="spellEnd"/>
            <w:r w:rsidRPr="00143E2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43E27" w:rsidRPr="00143E27" w:rsidTr="00143E27">
        <w:trPr>
          <w:trHeight w:val="600"/>
          <w:tblCellSpacing w:w="0" w:type="dxa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143E27" w:rsidRPr="00143E27" w:rsidRDefault="00143E27" w:rsidP="00143E27">
            <w:pPr>
              <w:spacing w:after="0" w:line="600" w:lineRule="atLeast"/>
              <w:rPr>
                <w:rFonts w:ascii="Arial" w:eastAsia="Times New Roman" w:hAnsi="Arial" w:cs="Arial"/>
                <w:sz w:val="60"/>
                <w:szCs w:val="60"/>
                <w:lang w:eastAsia="cs-CZ"/>
              </w:rPr>
            </w:pPr>
            <w:r w:rsidRPr="00143E27">
              <w:rPr>
                <w:rFonts w:ascii="Arial" w:eastAsia="Times New Roman" w:hAnsi="Arial" w:cs="Arial"/>
                <w:sz w:val="60"/>
                <w:szCs w:val="60"/>
                <w:lang w:eastAsia="cs-CZ"/>
              </w:rPr>
              <w:t> </w:t>
            </w:r>
          </w:p>
        </w:tc>
      </w:tr>
    </w:tbl>
    <w:p w:rsidR="00143E27" w:rsidRPr="00143E27" w:rsidRDefault="00143E27" w:rsidP="00143E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43E27" w:rsidRPr="00143E27" w:rsidTr="00143E2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0" w:name="blok1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What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will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focus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on?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During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week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students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teachers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researchers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staff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would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like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share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knowledge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experience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would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also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like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learn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issues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like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learning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communities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higher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education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human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resources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policy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>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offer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interactive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sessions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experience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principles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impact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our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Topics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intend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discuss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are: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A variety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student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projects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Organization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HR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aspects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education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Erasmus+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project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Co-Talent: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European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cooperation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on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first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results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Regional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cooperation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on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Design,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organization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implementation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Labs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learning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communities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City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Talents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City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Labs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-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Excursion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Remembrance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Center Camp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Westerbork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Lab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) 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lastRenderedPageBreak/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1" w:name="blok2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Theme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programme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1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year’s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Dynamics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wide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range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hyperlink r:id="rId6" w:history="1">
                          <w:proofErr w:type="spellStart"/>
                          <w:r w:rsidRPr="00143E27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honours</w:t>
                          </w:r>
                          <w:proofErr w:type="spellEnd"/>
                          <w:r w:rsidRPr="00143E27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143E27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programmes</w:t>
                          </w:r>
                          <w:proofErr w:type="spellEnd"/>
                        </w:hyperlink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activities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Hanze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College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Center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Hanze UAS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challenge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talented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ambitious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students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become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excellent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professionals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offer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motivated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students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opportunities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take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initiative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create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sustainable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solutions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complex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life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issues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Therefore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Hanze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honours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provide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open,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multidisciplinary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settings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where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students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lecturers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external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professionals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together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learning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communities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didactics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teaching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strategies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these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learning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communities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create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dynamic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environment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students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teachers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researchers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staff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management.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  <w:lang w:eastAsia="cs-CZ"/>
                          </w:rPr>
                          <w:drawing>
                            <wp:inline distT="0" distB="0" distL="0" distR="0">
                              <wp:extent cx="1428750" cy="771525"/>
                              <wp:effectExtent l="0" t="0" r="0" b="9525"/>
                              <wp:docPr id="3" name="Obrázek 3" descr="https://mailingtool.iwink.nl/inlineimages/mailbox/801/Image/programma_preview2.JPG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ingtool.iwink.nl/inlineimages/mailbox/801/Image/programma_preview2.JPG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2" w:name="blok3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Registration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2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targets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university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employees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who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active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field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education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design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innovation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policy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planning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tutorship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talent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scouting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on (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higher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)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education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could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working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field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policy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making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counselling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planning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curriculum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development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research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tutoring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student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affairs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more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welcome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Applicants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requested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describe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clearly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registration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position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institution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tasks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responsibilities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  <w:lang w:eastAsia="cs-CZ"/>
                          </w:rPr>
                          <w:drawing>
                            <wp:inline distT="0" distB="0" distL="0" distR="0">
                              <wp:extent cx="1428750" cy="666750"/>
                              <wp:effectExtent l="0" t="0" r="0" b="0"/>
                              <wp:docPr id="2" name="Obrázek 2" descr="https://mailingtool.iwink.nl/inlineimages/mailbox/801/Image/BUTTON_registration%281%29.jpg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ingtool.iwink.nl/inlineimages/mailbox/801/Image/BUTTON_registration%281%29.jpg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>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deadline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applications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21 August 2018.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Please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, use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hyperlink r:id="rId11" w:history="1">
                          <w:proofErr w:type="spellStart"/>
                          <w:r w:rsidRPr="00143E2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registration</w:t>
                          </w:r>
                          <w:proofErr w:type="spellEnd"/>
                          <w:r w:rsidRPr="00143E2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Pr="00143E2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form</w:t>
                          </w:r>
                          <w:proofErr w:type="spellEnd"/>
                        </w:hyperlink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to sign in.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number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participants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week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limited to 30.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selected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participants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informed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no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later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29 August 2018.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3" w:name="blok4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Location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3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offer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 variety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settings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places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time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socialize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colleagues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several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Hanze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locations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as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beautiful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City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Talent Groningen.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4" w:name="blok5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Accommodation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4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lastRenderedPageBreak/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accepted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participants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book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accommodation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any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hotel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choice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but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made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special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arrangements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few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hotels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City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Groningen. More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detailed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information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special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rates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recommendations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given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directly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participants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via email.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NB! Do not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book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hotels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flights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before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participation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has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been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confirmed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!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8"/>
              <w:gridCol w:w="750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5" w:name="blok6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Fees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5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Participants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expected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to finance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own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travel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accommodation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other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expenses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example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through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Erasmus+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programme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There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no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participation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fees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8231"/>
              <w:gridCol w:w="6"/>
              <w:gridCol w:w="6"/>
              <w:gridCol w:w="6"/>
            </w:tblGrid>
            <w:tr w:rsidR="00143E27" w:rsidRPr="00143E27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38"/>
                      <w:szCs w:val="38"/>
                      <w:lang w:eastAsia="cs-CZ"/>
                    </w:rPr>
                    <w:t> </w:t>
                  </w:r>
                </w:p>
              </w:tc>
            </w:tr>
            <w:tr w:rsidR="00143E27" w:rsidRPr="00143E2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43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18"/>
                  </w:tblGrid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bookmarkStart w:id="6" w:name="blok7"/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begin"/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instrText xml:space="preserve"> HYPERLINK "imap://brolikov@anxur.fi.muni.cz:993/fetch%3EUID%3E/nab%26AO0-dky%3E1472" </w:instrTex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separate"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>Contact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color w:val="ED7F00"/>
                            <w:sz w:val="24"/>
                            <w:szCs w:val="24"/>
                            <w:u w:val="single"/>
                            <w:lang w:eastAsia="cs-CZ"/>
                          </w:rPr>
                          <w:t xml:space="preserve"> </w:t>
                        </w:r>
                        <w:r w:rsidRPr="00143E27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fldChar w:fldCharType="end"/>
                        </w:r>
                        <w:bookmarkEnd w:id="6"/>
                      </w:p>
                    </w:tc>
                  </w:tr>
                  <w:tr w:rsidR="00143E27" w:rsidRPr="00143E2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E27" w:rsidRPr="00143E27" w:rsidRDefault="00143E27" w:rsidP="00143E27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any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questions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please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feel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free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send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an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email to </w:t>
                        </w:r>
                        <w:hyperlink r:id="rId12" w:history="1">
                          <w:r w:rsidRPr="00143E27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erasmusstaffweek@org.hanze.nl</w:t>
                          </w:r>
                        </w:hyperlink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looking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forward to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welcoming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in Groningen in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October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!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> 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Kind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regards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,</w:t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Els van der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Werf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Erasmus+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Institutional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Coordinator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  <w:t xml:space="preserve">Hanze University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Applied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Sciences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, Groningen,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t>Netherlands</w:t>
                        </w:r>
                        <w:proofErr w:type="spellEnd"/>
                        <w:r w:rsidRPr="00143E27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143E27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cs-CZ"/>
                          </w:rPr>
                          <w:drawing>
                            <wp:inline distT="0" distB="0" distL="0" distR="0">
                              <wp:extent cx="2066925" cy="571500"/>
                              <wp:effectExtent l="0" t="0" r="9525" b="0"/>
                              <wp:docPr id="1" name="Obrázek 1" descr="https://mailingtool.iwink.nl/inlineimages/mailbox/801/Image/logo_erasm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ailingtool.iwink.nl/inlineimages/mailbox/801/Image/logo_erasmu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E27" w:rsidRPr="00143E27" w:rsidRDefault="00143E27" w:rsidP="00143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43E27" w:rsidRPr="00143E27" w:rsidRDefault="00143E27" w:rsidP="00143E2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463220" w:rsidRDefault="00463220">
      <w:bookmarkStart w:id="7" w:name="_GoBack"/>
      <w:bookmarkEnd w:id="7"/>
    </w:p>
    <w:sectPr w:rsidR="0046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7"/>
    <w:rsid w:val="00143E27"/>
    <w:rsid w:val="004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5C5AE-F109-4C47-98F8-503B320C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3E27"/>
    <w:rPr>
      <w:b/>
      <w:bCs/>
    </w:rPr>
  </w:style>
  <w:style w:type="character" w:styleId="Zdraznn">
    <w:name w:val="Emphasis"/>
    <w:basedOn w:val="Standardnpsmoodstavce"/>
    <w:uiPriority w:val="20"/>
    <w:qFormat/>
    <w:rsid w:val="00143E2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43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mailingtool.iwink.nl/webapp.php?rh=viewlink&amp;url=https%3A%2F%2Fwww.hanze.nl%2Fassets%2Fstaf-ono%2FDocuments%2FPublic%2FPreview%2520Programme%2520May%25202018.pdf&amp;mid=119699345&amp;hash=0f71bd" TargetMode="External"/><Relationship Id="rId12" Type="http://schemas.openxmlformats.org/officeDocument/2006/relationships/hyperlink" Target="mailto:erasmusstaffweek@org.hanz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ingtool.iwink.nl/webapp.php?rh=viewlink&amp;url=https%3A%2F%2Fwww.hanze.nl%2Feng%2Feducation%2Ftalent-development%2Fhanze-honours-college&amp;mid=119699345&amp;hash=0f71bd" TargetMode="External"/><Relationship Id="rId11" Type="http://schemas.openxmlformats.org/officeDocument/2006/relationships/hyperlink" Target="https://mailingtool.iwink.nl/webapp.php?rh=viewlink&amp;url=https%3A%2F%2Ffd7.formdesk.com%2Fhanzehogeschoolgroningen%2FStaffweek2018&amp;mid=119699345&amp;hash=0f71bd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mailingtool.iwink.nl/webapp.php?rh=viewlink&amp;url=https%3A%2F%2Ffd7.formdesk.com%2Fhanzehogeschoolgroningen%2FStaffweek2018&amp;mid=119699345&amp;hash=0f71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Brolíková</dc:creator>
  <cp:keywords/>
  <dc:description/>
  <cp:lastModifiedBy>Radka Brolíková</cp:lastModifiedBy>
  <cp:revision>1</cp:revision>
  <dcterms:created xsi:type="dcterms:W3CDTF">2018-06-19T11:07:00Z</dcterms:created>
  <dcterms:modified xsi:type="dcterms:W3CDTF">2018-06-19T11:08:00Z</dcterms:modified>
</cp:coreProperties>
</file>