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EEB" w:rsidRPr="00C26EEB" w:rsidRDefault="00C26EEB" w:rsidP="00C26EEB">
      <w:pPr>
        <w:jc w:val="center"/>
        <w:rPr>
          <w:rFonts w:ascii="Calibri" w:hAnsi="Calibri"/>
          <w:b/>
          <w:bCs/>
          <w:caps/>
          <w:sz w:val="28"/>
          <w:szCs w:val="28"/>
        </w:rPr>
      </w:pPr>
      <w:r w:rsidRPr="00C26EEB">
        <w:rPr>
          <w:rFonts w:ascii="Calibri" w:hAnsi="Calibri"/>
          <w:b/>
          <w:bCs/>
          <w:caps/>
          <w:sz w:val="28"/>
          <w:szCs w:val="28"/>
        </w:rPr>
        <w:t>Potvrzení č. …………… o převzetí svěřených předmětů dle § 255 odst. 1 /</w:t>
      </w:r>
    </w:p>
    <w:p w:rsidR="00C26EEB" w:rsidRPr="00C26EEB" w:rsidRDefault="00C26EEB" w:rsidP="00C26EEB">
      <w:pPr>
        <w:jc w:val="center"/>
        <w:rPr>
          <w:rFonts w:ascii="Calibri" w:hAnsi="Calibri"/>
          <w:b/>
          <w:bCs/>
          <w:caps/>
          <w:sz w:val="28"/>
          <w:szCs w:val="28"/>
        </w:rPr>
      </w:pPr>
      <w:r w:rsidRPr="00C26EEB">
        <w:rPr>
          <w:rFonts w:ascii="Calibri" w:hAnsi="Calibri"/>
          <w:b/>
          <w:bCs/>
          <w:caps/>
          <w:sz w:val="28"/>
          <w:szCs w:val="28"/>
        </w:rPr>
        <w:t>Dohoda o odpovědnosti za ztrátu svěřených předmětů dle § 255 odst. 2</w:t>
      </w:r>
    </w:p>
    <w:p w:rsidR="00130F99" w:rsidRPr="00B45621" w:rsidRDefault="00C26EEB" w:rsidP="00C26EEB">
      <w:pPr>
        <w:jc w:val="center"/>
        <w:rPr>
          <w:rFonts w:ascii="Calibri" w:hAnsi="Calibri"/>
          <w:sz w:val="22"/>
          <w:szCs w:val="22"/>
        </w:rPr>
      </w:pPr>
      <w:r w:rsidRPr="00B45621">
        <w:rPr>
          <w:rFonts w:ascii="Calibri" w:hAnsi="Calibri"/>
          <w:sz w:val="22"/>
          <w:szCs w:val="22"/>
        </w:rPr>
        <w:t>zákona č. 262/2006 Sb., zákoník práce</w:t>
      </w:r>
      <w:r>
        <w:rPr>
          <w:rFonts w:ascii="Calibri" w:hAnsi="Calibri"/>
          <w:sz w:val="22"/>
          <w:szCs w:val="22"/>
        </w:rPr>
        <w:t xml:space="preserve">, ve znění pozdějších </w:t>
      </w:r>
      <w:r w:rsidRPr="006166FE">
        <w:rPr>
          <w:rFonts w:ascii="Calibri" w:hAnsi="Calibri"/>
          <w:sz w:val="20"/>
        </w:rPr>
        <w:t>předpis</w:t>
      </w:r>
      <w:r>
        <w:rPr>
          <w:rFonts w:ascii="Calibri" w:hAnsi="Calibri"/>
          <w:sz w:val="20"/>
        </w:rPr>
        <w:t>ů</w:t>
      </w:r>
    </w:p>
    <w:p w:rsidR="00130F99" w:rsidRDefault="00130F99">
      <w:pPr>
        <w:rPr>
          <w:rFonts w:ascii="Calibri" w:hAnsi="Calibri"/>
          <w:sz w:val="22"/>
          <w:szCs w:val="22"/>
        </w:rPr>
      </w:pPr>
    </w:p>
    <w:p w:rsidR="00C26EEB" w:rsidRPr="00B45621" w:rsidRDefault="00C26EEB">
      <w:pPr>
        <w:rPr>
          <w:rFonts w:ascii="Calibri" w:hAnsi="Calibri"/>
          <w:sz w:val="22"/>
          <w:szCs w:val="22"/>
        </w:rPr>
      </w:pPr>
      <w:bookmarkStart w:id="0" w:name="_GoBack"/>
      <w:bookmarkEnd w:id="0"/>
    </w:p>
    <w:p w:rsidR="00130F99" w:rsidRPr="00B45621" w:rsidRDefault="00130F99" w:rsidP="00CC74AB">
      <w:pPr>
        <w:pStyle w:val="Zhlav"/>
        <w:tabs>
          <w:tab w:val="clear" w:pos="4703"/>
          <w:tab w:val="clear" w:pos="9406"/>
          <w:tab w:val="right" w:leader="dot" w:pos="9639"/>
        </w:tabs>
        <w:rPr>
          <w:rFonts w:ascii="Calibri" w:hAnsi="Calibri" w:cs="Tahoma"/>
          <w:sz w:val="22"/>
          <w:szCs w:val="22"/>
        </w:rPr>
      </w:pPr>
      <w:r w:rsidRPr="00B45621">
        <w:rPr>
          <w:rFonts w:ascii="Calibri" w:hAnsi="Calibri"/>
          <w:sz w:val="22"/>
          <w:szCs w:val="22"/>
        </w:rPr>
        <w:t xml:space="preserve">Pan/paní (příjmení, jméno, titul): </w:t>
      </w:r>
      <w:r w:rsidR="00CC74AB" w:rsidRPr="00B45621">
        <w:rPr>
          <w:rFonts w:ascii="Calibri" w:hAnsi="Calibri" w:cs="Tahoma"/>
          <w:sz w:val="22"/>
          <w:szCs w:val="22"/>
        </w:rPr>
        <w:tab/>
      </w:r>
    </w:p>
    <w:p w:rsidR="00130F99" w:rsidRPr="00B45621" w:rsidRDefault="00130F99">
      <w:pPr>
        <w:pStyle w:val="Zhlav"/>
        <w:tabs>
          <w:tab w:val="clear" w:pos="4703"/>
          <w:tab w:val="clear" w:pos="9406"/>
        </w:tabs>
        <w:spacing w:line="480" w:lineRule="auto"/>
        <w:rPr>
          <w:rFonts w:ascii="Calibri" w:hAnsi="Calibri"/>
          <w:sz w:val="22"/>
          <w:szCs w:val="22"/>
        </w:rPr>
      </w:pPr>
      <w:r w:rsidRPr="00B45621">
        <w:rPr>
          <w:rFonts w:ascii="Calibri" w:hAnsi="Calibri"/>
          <w:sz w:val="22"/>
          <w:szCs w:val="22"/>
        </w:rPr>
        <w:t>(dále jen zaměstnanec)</w:t>
      </w:r>
    </w:p>
    <w:p w:rsidR="00130F99" w:rsidRPr="00B45621" w:rsidRDefault="005E4904" w:rsidP="005E4904">
      <w:pPr>
        <w:pStyle w:val="Zhlav"/>
        <w:tabs>
          <w:tab w:val="clear" w:pos="4703"/>
          <w:tab w:val="clear" w:pos="9406"/>
          <w:tab w:val="left" w:leader="dot" w:pos="1985"/>
          <w:tab w:val="left" w:leader="dot" w:pos="6521"/>
          <w:tab w:val="right" w:leader="dot" w:pos="9639"/>
        </w:tabs>
        <w:spacing w:line="480" w:lineRule="auto"/>
        <w:rPr>
          <w:rFonts w:ascii="Calibri" w:hAnsi="Calibri"/>
          <w:sz w:val="22"/>
          <w:szCs w:val="22"/>
        </w:rPr>
      </w:pPr>
      <w:r w:rsidRPr="00B45621">
        <w:rPr>
          <w:rFonts w:ascii="Calibri" w:hAnsi="Calibri"/>
          <w:sz w:val="22"/>
          <w:szCs w:val="22"/>
        </w:rPr>
        <w:t>učo</w:t>
      </w:r>
      <w:r w:rsidR="00130F99" w:rsidRPr="00B45621">
        <w:rPr>
          <w:rFonts w:ascii="Calibri" w:hAnsi="Calibri"/>
          <w:sz w:val="22"/>
          <w:szCs w:val="22"/>
        </w:rPr>
        <w:t xml:space="preserve">: </w:t>
      </w:r>
      <w:r w:rsidR="000A1E80" w:rsidRPr="00B45621">
        <w:rPr>
          <w:rFonts w:ascii="Calibri" w:hAnsi="Calibri" w:cs="Tahoma"/>
          <w:sz w:val="22"/>
          <w:szCs w:val="22"/>
        </w:rPr>
        <w:tab/>
      </w:r>
      <w:r w:rsidR="00130F99" w:rsidRPr="00B45621">
        <w:rPr>
          <w:rFonts w:ascii="Calibri" w:hAnsi="Calibri"/>
          <w:sz w:val="22"/>
          <w:szCs w:val="22"/>
        </w:rPr>
        <w:t xml:space="preserve"> </w:t>
      </w:r>
      <w:proofErr w:type="spellStart"/>
      <w:proofErr w:type="gramStart"/>
      <w:r w:rsidR="009F02EF">
        <w:rPr>
          <w:rFonts w:ascii="Calibri" w:hAnsi="Calibri"/>
          <w:sz w:val="22"/>
          <w:szCs w:val="22"/>
        </w:rPr>
        <w:t>prac.pozice</w:t>
      </w:r>
      <w:proofErr w:type="spellEnd"/>
      <w:proofErr w:type="gramEnd"/>
      <w:r w:rsidR="00130F99" w:rsidRPr="00B45621">
        <w:rPr>
          <w:rFonts w:ascii="Calibri" w:hAnsi="Calibri"/>
          <w:sz w:val="22"/>
          <w:szCs w:val="22"/>
        </w:rPr>
        <w:t xml:space="preserve">: </w:t>
      </w:r>
      <w:r w:rsidR="00C7255B" w:rsidRPr="00B45621">
        <w:rPr>
          <w:rFonts w:ascii="Calibri" w:hAnsi="Calibri" w:cs="Tahoma"/>
          <w:sz w:val="22"/>
          <w:szCs w:val="22"/>
        </w:rPr>
        <w:tab/>
      </w:r>
      <w:r w:rsidR="00130F99" w:rsidRPr="00B45621">
        <w:rPr>
          <w:rFonts w:ascii="Calibri" w:hAnsi="Calibri" w:cs="Tahoma"/>
          <w:sz w:val="22"/>
          <w:szCs w:val="22"/>
        </w:rPr>
        <w:t xml:space="preserve"> </w:t>
      </w:r>
      <w:r w:rsidR="00130F99" w:rsidRPr="00B45621">
        <w:rPr>
          <w:rFonts w:ascii="Calibri" w:hAnsi="Calibri"/>
          <w:sz w:val="22"/>
          <w:szCs w:val="22"/>
        </w:rPr>
        <w:t>číslo pracoviště.:</w:t>
      </w:r>
      <w:r w:rsidR="00130F99" w:rsidRPr="00B45621">
        <w:rPr>
          <w:rFonts w:ascii="Calibri" w:hAnsi="Calibri" w:cs="Tahoma"/>
          <w:sz w:val="22"/>
          <w:szCs w:val="22"/>
        </w:rPr>
        <w:t xml:space="preserve"> </w:t>
      </w:r>
      <w:r w:rsidR="00CC74AB" w:rsidRPr="00B45621">
        <w:rPr>
          <w:rFonts w:ascii="Calibri" w:hAnsi="Calibri" w:cs="Tahoma"/>
          <w:sz w:val="22"/>
          <w:szCs w:val="22"/>
        </w:rPr>
        <w:tab/>
      </w:r>
    </w:p>
    <w:p w:rsidR="00130F99" w:rsidRPr="00B45621" w:rsidRDefault="00130F99">
      <w:pPr>
        <w:rPr>
          <w:rFonts w:ascii="Calibri" w:hAnsi="Calibri"/>
          <w:sz w:val="22"/>
          <w:szCs w:val="22"/>
        </w:rPr>
      </w:pPr>
      <w:r w:rsidRPr="00B45621">
        <w:rPr>
          <w:rFonts w:ascii="Calibri" w:hAnsi="Calibri"/>
          <w:sz w:val="22"/>
          <w:szCs w:val="22"/>
        </w:rPr>
        <w:t xml:space="preserve">potvrzuje, že dnešního dne převzal(a) </w:t>
      </w:r>
      <w:r w:rsidR="005E4904" w:rsidRPr="00B45621">
        <w:rPr>
          <w:rFonts w:ascii="Calibri" w:hAnsi="Calibri"/>
          <w:sz w:val="22"/>
          <w:szCs w:val="22"/>
        </w:rPr>
        <w:t>za podmínek níže sjednaných tyto svěřené</w:t>
      </w:r>
      <w:r w:rsidRPr="00B45621">
        <w:rPr>
          <w:rFonts w:ascii="Calibri" w:hAnsi="Calibri"/>
          <w:sz w:val="22"/>
          <w:szCs w:val="22"/>
        </w:rPr>
        <w:t xml:space="preserve"> předměty:</w:t>
      </w:r>
    </w:p>
    <w:p w:rsidR="00130F99" w:rsidRPr="00B45621" w:rsidRDefault="00130F99">
      <w:pPr>
        <w:rPr>
          <w:rFonts w:ascii="Calibri" w:hAnsi="Calibri"/>
          <w:sz w:val="22"/>
          <w:szCs w:val="22"/>
        </w:r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3827"/>
        <w:gridCol w:w="1985"/>
        <w:gridCol w:w="1842"/>
      </w:tblGrid>
      <w:tr w:rsidR="00130F99" w:rsidRPr="00B45621" w:rsidTr="00C26EEB">
        <w:trPr>
          <w:trHeight w:val="360"/>
        </w:trPr>
        <w:tc>
          <w:tcPr>
            <w:tcW w:w="2055" w:type="dxa"/>
          </w:tcPr>
          <w:p w:rsidR="00130F99" w:rsidRPr="00B45621" w:rsidRDefault="00130F99">
            <w:pPr>
              <w:spacing w:before="60"/>
              <w:rPr>
                <w:rFonts w:ascii="Calibri" w:hAnsi="Calibri"/>
                <w:b/>
                <w:sz w:val="22"/>
                <w:szCs w:val="22"/>
              </w:rPr>
            </w:pPr>
            <w:r w:rsidRPr="00B45621">
              <w:rPr>
                <w:rFonts w:ascii="Calibri" w:hAnsi="Calibri"/>
                <w:b/>
                <w:sz w:val="22"/>
                <w:szCs w:val="22"/>
              </w:rPr>
              <w:t>Inventární číslo</w:t>
            </w:r>
          </w:p>
        </w:tc>
        <w:tc>
          <w:tcPr>
            <w:tcW w:w="3827" w:type="dxa"/>
          </w:tcPr>
          <w:p w:rsidR="00130F99" w:rsidRPr="00B45621" w:rsidRDefault="00130F99">
            <w:pPr>
              <w:spacing w:before="60"/>
              <w:rPr>
                <w:rFonts w:ascii="Calibri" w:hAnsi="Calibri"/>
                <w:b/>
                <w:sz w:val="22"/>
                <w:szCs w:val="22"/>
              </w:rPr>
            </w:pPr>
            <w:r w:rsidRPr="00B45621">
              <w:rPr>
                <w:rFonts w:ascii="Calibri" w:hAnsi="Calibri"/>
                <w:b/>
                <w:sz w:val="22"/>
                <w:szCs w:val="22"/>
              </w:rPr>
              <w:t>Název</w:t>
            </w:r>
          </w:p>
        </w:tc>
        <w:tc>
          <w:tcPr>
            <w:tcW w:w="1985" w:type="dxa"/>
          </w:tcPr>
          <w:p w:rsidR="00130F99" w:rsidRPr="00B45621" w:rsidRDefault="00130F99">
            <w:pPr>
              <w:spacing w:before="60"/>
              <w:rPr>
                <w:rFonts w:ascii="Calibri" w:hAnsi="Calibri"/>
                <w:b/>
                <w:sz w:val="22"/>
                <w:szCs w:val="22"/>
              </w:rPr>
            </w:pPr>
            <w:r w:rsidRPr="00B45621">
              <w:rPr>
                <w:rFonts w:ascii="Calibri" w:hAnsi="Calibri"/>
                <w:b/>
                <w:sz w:val="22"/>
                <w:szCs w:val="22"/>
              </w:rPr>
              <w:t>Pořizovací cena</w:t>
            </w:r>
          </w:p>
        </w:tc>
        <w:tc>
          <w:tcPr>
            <w:tcW w:w="1842" w:type="dxa"/>
          </w:tcPr>
          <w:p w:rsidR="00130F99" w:rsidRPr="00B45621" w:rsidRDefault="00130F99">
            <w:pPr>
              <w:spacing w:before="60"/>
              <w:rPr>
                <w:rFonts w:ascii="Calibri" w:hAnsi="Calibri"/>
                <w:b/>
                <w:sz w:val="22"/>
                <w:szCs w:val="22"/>
              </w:rPr>
            </w:pPr>
            <w:r w:rsidRPr="00B45621">
              <w:rPr>
                <w:rFonts w:ascii="Calibri" w:hAnsi="Calibri"/>
                <w:b/>
                <w:sz w:val="22"/>
                <w:szCs w:val="22"/>
              </w:rPr>
              <w:t>Výrobní číslo</w:t>
            </w:r>
          </w:p>
        </w:tc>
      </w:tr>
      <w:tr w:rsidR="003832FB" w:rsidRPr="00B45621" w:rsidTr="00C26EEB">
        <w:trPr>
          <w:trHeight w:val="480"/>
        </w:trPr>
        <w:tc>
          <w:tcPr>
            <w:tcW w:w="2055" w:type="dxa"/>
          </w:tcPr>
          <w:p w:rsidR="003832FB" w:rsidRPr="00B45621" w:rsidRDefault="003832FB">
            <w:pPr>
              <w:spacing w:before="120"/>
              <w:rPr>
                <w:rFonts w:ascii="Calibri" w:hAnsi="Calibri" w:cs="Tahoma"/>
                <w:sz w:val="22"/>
                <w:szCs w:val="22"/>
              </w:rPr>
            </w:pPr>
          </w:p>
        </w:tc>
        <w:tc>
          <w:tcPr>
            <w:tcW w:w="3827" w:type="dxa"/>
          </w:tcPr>
          <w:p w:rsidR="003832FB" w:rsidRPr="00B45621" w:rsidRDefault="003832FB">
            <w:pPr>
              <w:spacing w:before="120"/>
              <w:rPr>
                <w:rFonts w:ascii="Calibri" w:hAnsi="Calibri" w:cs="Tahoma"/>
                <w:sz w:val="22"/>
                <w:szCs w:val="22"/>
              </w:rPr>
            </w:pPr>
          </w:p>
        </w:tc>
        <w:tc>
          <w:tcPr>
            <w:tcW w:w="1985" w:type="dxa"/>
          </w:tcPr>
          <w:p w:rsidR="003832FB" w:rsidRPr="00B45621" w:rsidRDefault="003832FB">
            <w:pPr>
              <w:tabs>
                <w:tab w:val="left" w:pos="1631"/>
              </w:tabs>
              <w:spacing w:before="120"/>
              <w:jc w:val="right"/>
              <w:rPr>
                <w:rFonts w:ascii="Calibri" w:hAnsi="Calibri" w:cs="Tahoma"/>
                <w:sz w:val="22"/>
                <w:szCs w:val="22"/>
              </w:rPr>
            </w:pPr>
          </w:p>
        </w:tc>
        <w:tc>
          <w:tcPr>
            <w:tcW w:w="1842" w:type="dxa"/>
          </w:tcPr>
          <w:p w:rsidR="003832FB" w:rsidRPr="00B45621" w:rsidRDefault="003832FB">
            <w:pPr>
              <w:spacing w:before="120"/>
              <w:rPr>
                <w:rFonts w:ascii="Calibri" w:hAnsi="Calibri" w:cs="Tahoma"/>
                <w:sz w:val="22"/>
                <w:szCs w:val="22"/>
              </w:rPr>
            </w:pPr>
          </w:p>
        </w:tc>
      </w:tr>
      <w:tr w:rsidR="00130F99" w:rsidRPr="00B45621" w:rsidTr="00C26EEB">
        <w:trPr>
          <w:trHeight w:val="480"/>
        </w:trPr>
        <w:tc>
          <w:tcPr>
            <w:tcW w:w="2055" w:type="dxa"/>
          </w:tcPr>
          <w:p w:rsidR="00130F99" w:rsidRPr="00B45621" w:rsidRDefault="00130F99">
            <w:pPr>
              <w:spacing w:before="120"/>
              <w:rPr>
                <w:rFonts w:ascii="Calibri" w:hAnsi="Calibri" w:cs="Tahoma"/>
                <w:sz w:val="22"/>
                <w:szCs w:val="22"/>
              </w:rPr>
            </w:pPr>
          </w:p>
        </w:tc>
        <w:tc>
          <w:tcPr>
            <w:tcW w:w="3827" w:type="dxa"/>
          </w:tcPr>
          <w:p w:rsidR="00130F99" w:rsidRPr="00B45621" w:rsidRDefault="00130F99">
            <w:pPr>
              <w:spacing w:before="120"/>
              <w:rPr>
                <w:rFonts w:ascii="Calibri" w:hAnsi="Calibri" w:cs="Tahoma"/>
                <w:sz w:val="22"/>
                <w:szCs w:val="22"/>
              </w:rPr>
            </w:pPr>
          </w:p>
        </w:tc>
        <w:tc>
          <w:tcPr>
            <w:tcW w:w="1985" w:type="dxa"/>
          </w:tcPr>
          <w:p w:rsidR="00130F99" w:rsidRPr="00B45621" w:rsidRDefault="00130F99">
            <w:pPr>
              <w:tabs>
                <w:tab w:val="left" w:pos="1631"/>
              </w:tabs>
              <w:spacing w:before="120"/>
              <w:jc w:val="right"/>
              <w:rPr>
                <w:rFonts w:ascii="Calibri" w:hAnsi="Calibri" w:cs="Tahoma"/>
                <w:sz w:val="22"/>
                <w:szCs w:val="22"/>
              </w:rPr>
            </w:pPr>
          </w:p>
        </w:tc>
        <w:tc>
          <w:tcPr>
            <w:tcW w:w="1842" w:type="dxa"/>
          </w:tcPr>
          <w:p w:rsidR="00130F99" w:rsidRPr="00B45621" w:rsidRDefault="00130F99">
            <w:pPr>
              <w:spacing w:before="120"/>
              <w:rPr>
                <w:rFonts w:ascii="Calibri" w:hAnsi="Calibri" w:cs="Tahoma"/>
                <w:sz w:val="22"/>
                <w:szCs w:val="22"/>
              </w:rPr>
            </w:pPr>
          </w:p>
        </w:tc>
      </w:tr>
      <w:tr w:rsidR="00130F99" w:rsidRPr="00B45621" w:rsidTr="00C26EEB">
        <w:trPr>
          <w:trHeight w:val="480"/>
        </w:trPr>
        <w:tc>
          <w:tcPr>
            <w:tcW w:w="2055" w:type="dxa"/>
          </w:tcPr>
          <w:p w:rsidR="00130F99" w:rsidRPr="00B45621" w:rsidRDefault="00130F99">
            <w:pPr>
              <w:spacing w:before="120"/>
              <w:rPr>
                <w:rFonts w:ascii="Calibri" w:hAnsi="Calibri" w:cs="Tahoma"/>
                <w:sz w:val="22"/>
                <w:szCs w:val="22"/>
              </w:rPr>
            </w:pPr>
          </w:p>
        </w:tc>
        <w:tc>
          <w:tcPr>
            <w:tcW w:w="3827" w:type="dxa"/>
          </w:tcPr>
          <w:p w:rsidR="00130F99" w:rsidRPr="00B45621" w:rsidRDefault="00130F99">
            <w:pPr>
              <w:spacing w:before="120"/>
              <w:rPr>
                <w:rFonts w:ascii="Calibri" w:hAnsi="Calibri" w:cs="Tahoma"/>
                <w:sz w:val="22"/>
                <w:szCs w:val="22"/>
              </w:rPr>
            </w:pPr>
          </w:p>
        </w:tc>
        <w:tc>
          <w:tcPr>
            <w:tcW w:w="1985" w:type="dxa"/>
          </w:tcPr>
          <w:p w:rsidR="00130F99" w:rsidRPr="00B45621" w:rsidRDefault="00130F99">
            <w:pPr>
              <w:spacing w:before="120"/>
              <w:jc w:val="right"/>
              <w:rPr>
                <w:rFonts w:ascii="Calibri" w:hAnsi="Calibri" w:cs="Tahoma"/>
                <w:sz w:val="22"/>
                <w:szCs w:val="22"/>
              </w:rPr>
            </w:pPr>
          </w:p>
        </w:tc>
        <w:tc>
          <w:tcPr>
            <w:tcW w:w="1842" w:type="dxa"/>
          </w:tcPr>
          <w:p w:rsidR="00130F99" w:rsidRPr="00B45621" w:rsidRDefault="00130F99">
            <w:pPr>
              <w:spacing w:before="120"/>
              <w:rPr>
                <w:rFonts w:ascii="Calibri" w:hAnsi="Calibri" w:cs="Tahoma"/>
                <w:sz w:val="22"/>
                <w:szCs w:val="22"/>
              </w:rPr>
            </w:pPr>
          </w:p>
        </w:tc>
      </w:tr>
      <w:tr w:rsidR="00130F99" w:rsidRPr="00B45621" w:rsidTr="00C26EEB">
        <w:trPr>
          <w:trHeight w:val="480"/>
        </w:trPr>
        <w:tc>
          <w:tcPr>
            <w:tcW w:w="2055" w:type="dxa"/>
          </w:tcPr>
          <w:p w:rsidR="00130F99" w:rsidRPr="00B45621" w:rsidRDefault="00130F99">
            <w:pPr>
              <w:spacing w:before="120"/>
              <w:rPr>
                <w:rFonts w:ascii="Calibri" w:hAnsi="Calibri" w:cs="Tahoma"/>
                <w:sz w:val="22"/>
                <w:szCs w:val="22"/>
              </w:rPr>
            </w:pPr>
          </w:p>
        </w:tc>
        <w:tc>
          <w:tcPr>
            <w:tcW w:w="3827" w:type="dxa"/>
          </w:tcPr>
          <w:p w:rsidR="00130F99" w:rsidRPr="00B45621" w:rsidRDefault="00130F99">
            <w:pPr>
              <w:spacing w:before="120"/>
              <w:rPr>
                <w:rFonts w:ascii="Calibri" w:hAnsi="Calibri" w:cs="Tahoma"/>
                <w:sz w:val="22"/>
                <w:szCs w:val="22"/>
              </w:rPr>
            </w:pPr>
          </w:p>
        </w:tc>
        <w:tc>
          <w:tcPr>
            <w:tcW w:w="1985" w:type="dxa"/>
          </w:tcPr>
          <w:p w:rsidR="00130F99" w:rsidRPr="00B45621" w:rsidRDefault="00130F99">
            <w:pPr>
              <w:spacing w:before="120"/>
              <w:jc w:val="right"/>
              <w:rPr>
                <w:rFonts w:ascii="Calibri" w:hAnsi="Calibri" w:cs="Tahoma"/>
                <w:sz w:val="22"/>
                <w:szCs w:val="22"/>
              </w:rPr>
            </w:pPr>
          </w:p>
        </w:tc>
        <w:tc>
          <w:tcPr>
            <w:tcW w:w="1842" w:type="dxa"/>
          </w:tcPr>
          <w:p w:rsidR="00130F99" w:rsidRPr="00B45621" w:rsidRDefault="00130F99">
            <w:pPr>
              <w:spacing w:before="120"/>
              <w:rPr>
                <w:rFonts w:ascii="Calibri" w:hAnsi="Calibri" w:cs="Tahoma"/>
                <w:sz w:val="22"/>
                <w:szCs w:val="22"/>
              </w:rPr>
            </w:pPr>
          </w:p>
        </w:tc>
      </w:tr>
      <w:tr w:rsidR="000A1E80" w:rsidRPr="00B45621" w:rsidTr="00C26EEB">
        <w:trPr>
          <w:trHeight w:val="480"/>
        </w:trPr>
        <w:tc>
          <w:tcPr>
            <w:tcW w:w="2055" w:type="dxa"/>
          </w:tcPr>
          <w:p w:rsidR="000A1E80" w:rsidRPr="00B45621" w:rsidRDefault="000A1E80">
            <w:pPr>
              <w:spacing w:before="120"/>
              <w:rPr>
                <w:rFonts w:ascii="Calibri" w:hAnsi="Calibri" w:cs="Tahoma"/>
                <w:sz w:val="22"/>
                <w:szCs w:val="22"/>
              </w:rPr>
            </w:pPr>
          </w:p>
        </w:tc>
        <w:tc>
          <w:tcPr>
            <w:tcW w:w="3827" w:type="dxa"/>
          </w:tcPr>
          <w:p w:rsidR="000A1E80" w:rsidRPr="00B45621" w:rsidRDefault="000A1E80">
            <w:pPr>
              <w:spacing w:before="120"/>
              <w:rPr>
                <w:rFonts w:ascii="Calibri" w:hAnsi="Calibri" w:cs="Tahoma"/>
                <w:sz w:val="22"/>
                <w:szCs w:val="22"/>
              </w:rPr>
            </w:pPr>
          </w:p>
        </w:tc>
        <w:tc>
          <w:tcPr>
            <w:tcW w:w="1985" w:type="dxa"/>
          </w:tcPr>
          <w:p w:rsidR="000A1E80" w:rsidRPr="00B45621" w:rsidRDefault="000A1E80">
            <w:pPr>
              <w:spacing w:before="120"/>
              <w:jc w:val="right"/>
              <w:rPr>
                <w:rFonts w:ascii="Calibri" w:hAnsi="Calibri" w:cs="Tahoma"/>
                <w:sz w:val="22"/>
                <w:szCs w:val="22"/>
              </w:rPr>
            </w:pPr>
          </w:p>
        </w:tc>
        <w:tc>
          <w:tcPr>
            <w:tcW w:w="1842" w:type="dxa"/>
          </w:tcPr>
          <w:p w:rsidR="000A1E80" w:rsidRPr="00B45621" w:rsidRDefault="000A1E80">
            <w:pPr>
              <w:spacing w:before="120"/>
              <w:rPr>
                <w:rFonts w:ascii="Calibri" w:hAnsi="Calibri" w:cs="Tahoma"/>
                <w:sz w:val="22"/>
                <w:szCs w:val="22"/>
              </w:rPr>
            </w:pPr>
          </w:p>
        </w:tc>
      </w:tr>
      <w:tr w:rsidR="00AB331B" w:rsidRPr="00B45621" w:rsidTr="00C26EEB">
        <w:trPr>
          <w:trHeight w:val="480"/>
        </w:trPr>
        <w:tc>
          <w:tcPr>
            <w:tcW w:w="2055" w:type="dxa"/>
          </w:tcPr>
          <w:p w:rsidR="00AB331B" w:rsidRPr="00B45621" w:rsidRDefault="00AB331B">
            <w:pPr>
              <w:spacing w:before="120"/>
              <w:rPr>
                <w:rFonts w:ascii="Calibri" w:hAnsi="Calibri" w:cs="Tahoma"/>
                <w:sz w:val="22"/>
                <w:szCs w:val="22"/>
              </w:rPr>
            </w:pPr>
          </w:p>
        </w:tc>
        <w:tc>
          <w:tcPr>
            <w:tcW w:w="3827" w:type="dxa"/>
          </w:tcPr>
          <w:p w:rsidR="00AB331B" w:rsidRPr="00B45621" w:rsidRDefault="00AB331B">
            <w:pPr>
              <w:spacing w:before="120"/>
              <w:rPr>
                <w:rFonts w:ascii="Calibri" w:hAnsi="Calibri" w:cs="Tahoma"/>
                <w:sz w:val="22"/>
                <w:szCs w:val="22"/>
              </w:rPr>
            </w:pPr>
          </w:p>
        </w:tc>
        <w:tc>
          <w:tcPr>
            <w:tcW w:w="1985" w:type="dxa"/>
          </w:tcPr>
          <w:p w:rsidR="00AB331B" w:rsidRPr="00B45621" w:rsidRDefault="00AB331B">
            <w:pPr>
              <w:spacing w:before="120"/>
              <w:jc w:val="right"/>
              <w:rPr>
                <w:rFonts w:ascii="Calibri" w:hAnsi="Calibri" w:cs="Tahoma"/>
                <w:sz w:val="22"/>
                <w:szCs w:val="22"/>
              </w:rPr>
            </w:pPr>
          </w:p>
        </w:tc>
        <w:tc>
          <w:tcPr>
            <w:tcW w:w="1842" w:type="dxa"/>
          </w:tcPr>
          <w:p w:rsidR="00AB331B" w:rsidRPr="00B45621" w:rsidRDefault="00AB331B">
            <w:pPr>
              <w:spacing w:before="120"/>
              <w:rPr>
                <w:rFonts w:ascii="Calibri" w:hAnsi="Calibri" w:cs="Tahoma"/>
                <w:sz w:val="22"/>
                <w:szCs w:val="22"/>
              </w:rPr>
            </w:pPr>
          </w:p>
        </w:tc>
      </w:tr>
      <w:tr w:rsidR="009F02EF" w:rsidRPr="00B45621" w:rsidTr="00C26EEB">
        <w:trPr>
          <w:trHeight w:val="480"/>
        </w:trPr>
        <w:tc>
          <w:tcPr>
            <w:tcW w:w="2055" w:type="dxa"/>
          </w:tcPr>
          <w:p w:rsidR="009F02EF" w:rsidRPr="00B45621" w:rsidRDefault="009F02EF">
            <w:pPr>
              <w:spacing w:before="120"/>
              <w:rPr>
                <w:rFonts w:ascii="Calibri" w:hAnsi="Calibri" w:cs="Tahoma"/>
                <w:sz w:val="22"/>
                <w:szCs w:val="22"/>
              </w:rPr>
            </w:pPr>
          </w:p>
        </w:tc>
        <w:tc>
          <w:tcPr>
            <w:tcW w:w="3827" w:type="dxa"/>
          </w:tcPr>
          <w:p w:rsidR="009F02EF" w:rsidRPr="00B45621" w:rsidRDefault="009F02EF">
            <w:pPr>
              <w:spacing w:before="120"/>
              <w:rPr>
                <w:rFonts w:ascii="Calibri" w:hAnsi="Calibri" w:cs="Tahoma"/>
                <w:sz w:val="22"/>
                <w:szCs w:val="22"/>
              </w:rPr>
            </w:pPr>
          </w:p>
        </w:tc>
        <w:tc>
          <w:tcPr>
            <w:tcW w:w="1985" w:type="dxa"/>
          </w:tcPr>
          <w:p w:rsidR="009F02EF" w:rsidRPr="00B45621" w:rsidRDefault="009F02EF">
            <w:pPr>
              <w:spacing w:before="120"/>
              <w:jc w:val="right"/>
              <w:rPr>
                <w:rFonts w:ascii="Calibri" w:hAnsi="Calibri" w:cs="Tahoma"/>
                <w:sz w:val="22"/>
                <w:szCs w:val="22"/>
              </w:rPr>
            </w:pPr>
          </w:p>
        </w:tc>
        <w:tc>
          <w:tcPr>
            <w:tcW w:w="1842" w:type="dxa"/>
          </w:tcPr>
          <w:p w:rsidR="009F02EF" w:rsidRPr="00B45621" w:rsidRDefault="009F02EF">
            <w:pPr>
              <w:spacing w:before="120"/>
              <w:rPr>
                <w:rFonts w:ascii="Calibri" w:hAnsi="Calibri" w:cs="Tahoma"/>
                <w:sz w:val="22"/>
                <w:szCs w:val="22"/>
              </w:rPr>
            </w:pPr>
          </w:p>
        </w:tc>
      </w:tr>
      <w:tr w:rsidR="009F02EF" w:rsidRPr="00B45621" w:rsidTr="00C26EEB">
        <w:trPr>
          <w:trHeight w:val="480"/>
        </w:trPr>
        <w:tc>
          <w:tcPr>
            <w:tcW w:w="2055" w:type="dxa"/>
          </w:tcPr>
          <w:p w:rsidR="009F02EF" w:rsidRPr="00B45621" w:rsidRDefault="009F02EF">
            <w:pPr>
              <w:spacing w:before="120"/>
              <w:rPr>
                <w:rFonts w:ascii="Calibri" w:hAnsi="Calibri" w:cs="Tahoma"/>
                <w:sz w:val="22"/>
                <w:szCs w:val="22"/>
              </w:rPr>
            </w:pPr>
          </w:p>
        </w:tc>
        <w:tc>
          <w:tcPr>
            <w:tcW w:w="3827" w:type="dxa"/>
          </w:tcPr>
          <w:p w:rsidR="009F02EF" w:rsidRPr="00B45621" w:rsidRDefault="009F02EF">
            <w:pPr>
              <w:spacing w:before="120"/>
              <w:rPr>
                <w:rFonts w:ascii="Calibri" w:hAnsi="Calibri" w:cs="Tahoma"/>
                <w:sz w:val="22"/>
                <w:szCs w:val="22"/>
              </w:rPr>
            </w:pPr>
          </w:p>
        </w:tc>
        <w:tc>
          <w:tcPr>
            <w:tcW w:w="1985" w:type="dxa"/>
          </w:tcPr>
          <w:p w:rsidR="009F02EF" w:rsidRPr="00B45621" w:rsidRDefault="009F02EF">
            <w:pPr>
              <w:spacing w:before="120"/>
              <w:jc w:val="right"/>
              <w:rPr>
                <w:rFonts w:ascii="Calibri" w:hAnsi="Calibri" w:cs="Tahoma"/>
                <w:sz w:val="22"/>
                <w:szCs w:val="22"/>
              </w:rPr>
            </w:pPr>
          </w:p>
        </w:tc>
        <w:tc>
          <w:tcPr>
            <w:tcW w:w="1842" w:type="dxa"/>
          </w:tcPr>
          <w:p w:rsidR="009F02EF" w:rsidRPr="00B45621" w:rsidRDefault="009F02EF">
            <w:pPr>
              <w:spacing w:before="120"/>
              <w:rPr>
                <w:rFonts w:ascii="Calibri" w:hAnsi="Calibri" w:cs="Tahoma"/>
                <w:sz w:val="22"/>
                <w:szCs w:val="22"/>
              </w:rPr>
            </w:pPr>
          </w:p>
        </w:tc>
      </w:tr>
      <w:tr w:rsidR="009F02EF" w:rsidRPr="00B45621" w:rsidTr="00C26EEB">
        <w:trPr>
          <w:trHeight w:val="480"/>
        </w:trPr>
        <w:tc>
          <w:tcPr>
            <w:tcW w:w="2055" w:type="dxa"/>
          </w:tcPr>
          <w:p w:rsidR="009F02EF" w:rsidRPr="00B45621" w:rsidRDefault="009F02EF">
            <w:pPr>
              <w:spacing w:before="120"/>
              <w:rPr>
                <w:rFonts w:ascii="Calibri" w:hAnsi="Calibri" w:cs="Tahoma"/>
                <w:sz w:val="22"/>
                <w:szCs w:val="22"/>
              </w:rPr>
            </w:pPr>
          </w:p>
        </w:tc>
        <w:tc>
          <w:tcPr>
            <w:tcW w:w="3827" w:type="dxa"/>
          </w:tcPr>
          <w:p w:rsidR="009F02EF" w:rsidRPr="00B45621" w:rsidRDefault="009F02EF">
            <w:pPr>
              <w:spacing w:before="120"/>
              <w:rPr>
                <w:rFonts w:ascii="Calibri" w:hAnsi="Calibri" w:cs="Tahoma"/>
                <w:sz w:val="22"/>
                <w:szCs w:val="22"/>
              </w:rPr>
            </w:pPr>
          </w:p>
        </w:tc>
        <w:tc>
          <w:tcPr>
            <w:tcW w:w="1985" w:type="dxa"/>
          </w:tcPr>
          <w:p w:rsidR="009F02EF" w:rsidRPr="00B45621" w:rsidRDefault="009F02EF">
            <w:pPr>
              <w:spacing w:before="120"/>
              <w:jc w:val="right"/>
              <w:rPr>
                <w:rFonts w:ascii="Calibri" w:hAnsi="Calibri" w:cs="Tahoma"/>
                <w:sz w:val="22"/>
                <w:szCs w:val="22"/>
              </w:rPr>
            </w:pPr>
          </w:p>
        </w:tc>
        <w:tc>
          <w:tcPr>
            <w:tcW w:w="1842" w:type="dxa"/>
          </w:tcPr>
          <w:p w:rsidR="009F02EF" w:rsidRPr="00B45621" w:rsidRDefault="009F02EF">
            <w:pPr>
              <w:spacing w:before="120"/>
              <w:rPr>
                <w:rFonts w:ascii="Calibri" w:hAnsi="Calibri" w:cs="Tahoma"/>
                <w:sz w:val="22"/>
                <w:szCs w:val="22"/>
              </w:rPr>
            </w:pPr>
          </w:p>
        </w:tc>
      </w:tr>
      <w:tr w:rsidR="009F02EF" w:rsidRPr="00B45621" w:rsidTr="00C26EEB">
        <w:trPr>
          <w:trHeight w:val="480"/>
        </w:trPr>
        <w:tc>
          <w:tcPr>
            <w:tcW w:w="2055" w:type="dxa"/>
          </w:tcPr>
          <w:p w:rsidR="009F02EF" w:rsidRPr="00B45621" w:rsidRDefault="009F02EF">
            <w:pPr>
              <w:spacing w:before="120"/>
              <w:rPr>
                <w:rFonts w:ascii="Calibri" w:hAnsi="Calibri" w:cs="Tahoma"/>
                <w:sz w:val="22"/>
                <w:szCs w:val="22"/>
              </w:rPr>
            </w:pPr>
          </w:p>
        </w:tc>
        <w:tc>
          <w:tcPr>
            <w:tcW w:w="3827" w:type="dxa"/>
          </w:tcPr>
          <w:p w:rsidR="009F02EF" w:rsidRPr="00B45621" w:rsidRDefault="009F02EF">
            <w:pPr>
              <w:spacing w:before="120"/>
              <w:rPr>
                <w:rFonts w:ascii="Calibri" w:hAnsi="Calibri" w:cs="Tahoma"/>
                <w:sz w:val="22"/>
                <w:szCs w:val="22"/>
              </w:rPr>
            </w:pPr>
          </w:p>
        </w:tc>
        <w:tc>
          <w:tcPr>
            <w:tcW w:w="1985" w:type="dxa"/>
          </w:tcPr>
          <w:p w:rsidR="009F02EF" w:rsidRPr="00B45621" w:rsidRDefault="009F02EF">
            <w:pPr>
              <w:spacing w:before="120"/>
              <w:jc w:val="right"/>
              <w:rPr>
                <w:rFonts w:ascii="Calibri" w:hAnsi="Calibri" w:cs="Tahoma"/>
                <w:sz w:val="22"/>
                <w:szCs w:val="22"/>
              </w:rPr>
            </w:pPr>
          </w:p>
        </w:tc>
        <w:tc>
          <w:tcPr>
            <w:tcW w:w="1842" w:type="dxa"/>
          </w:tcPr>
          <w:p w:rsidR="009F02EF" w:rsidRPr="00B45621" w:rsidRDefault="009F02EF">
            <w:pPr>
              <w:spacing w:before="120"/>
              <w:rPr>
                <w:rFonts w:ascii="Calibri" w:hAnsi="Calibri" w:cs="Tahoma"/>
                <w:sz w:val="22"/>
                <w:szCs w:val="22"/>
              </w:rPr>
            </w:pPr>
          </w:p>
        </w:tc>
      </w:tr>
    </w:tbl>
    <w:p w:rsidR="00130F99" w:rsidRPr="00B45621" w:rsidRDefault="00130F99">
      <w:pPr>
        <w:rPr>
          <w:rFonts w:ascii="Calibri" w:hAnsi="Calibri"/>
          <w:sz w:val="22"/>
          <w:szCs w:val="22"/>
        </w:rPr>
      </w:pPr>
    </w:p>
    <w:p w:rsidR="005E4904"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Zaměstnanec odpovídá za ztrátu svěřených předmětů, které mu zaměstnavatel svěřil na základě písemného potvrzení, podle § 255/1 a násl. zákona č. 262/2006 Sb., zákoník práce</w:t>
      </w:r>
      <w:r w:rsidR="00AB331B">
        <w:rPr>
          <w:rFonts w:ascii="Calibri" w:hAnsi="Calibri"/>
          <w:sz w:val="22"/>
          <w:szCs w:val="22"/>
        </w:rPr>
        <w:t>, ve znění pozdějších předpisů</w:t>
      </w:r>
      <w:r w:rsidRPr="00B45621">
        <w:rPr>
          <w:rFonts w:ascii="Calibri" w:hAnsi="Calibri"/>
          <w:sz w:val="22"/>
          <w:szCs w:val="22"/>
        </w:rPr>
        <w:t xml:space="preserve"> (dále jen </w:t>
      </w:r>
      <w:r w:rsidR="00AB331B">
        <w:rPr>
          <w:rFonts w:ascii="Calibri" w:hAnsi="Calibri"/>
          <w:sz w:val="22"/>
          <w:szCs w:val="22"/>
        </w:rPr>
        <w:t>„ZP“</w:t>
      </w:r>
      <w:r w:rsidRPr="00B45621">
        <w:rPr>
          <w:rFonts w:ascii="Calibri" w:hAnsi="Calibri"/>
          <w:sz w:val="22"/>
          <w:szCs w:val="22"/>
        </w:rPr>
        <w:t>), pokud neprokáže, že ke ztrátě došlo zcela nebo zčásti bez jeho zavinění. Ztrátu svěřeného předmětu je povinen nahradit zaměstnavateli v plné výši.</w:t>
      </w:r>
    </w:p>
    <w:p w:rsidR="0045594F"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Zaměstnanec se zavazuje sám a výlučně svěřené předměty používat a dbát na prevenci škod zaměřenou zejména na kvalifikované zabezpečení ochrany před jejich ztrátou, zničením nebo poškozením. Kvalifikovaným zabezpečením ochrany majetku zaměstnavatele ve smyslu tohoto článku se rozumí též povinnost zaměstnance trvale střežit a ochraňovat majetek zaměstnavatele před jeho poškozením, ztrátou, zničením a zneužitím a nejednat v rozporu s oprávněnými zájmy zaměstnavatele a s obvyklým způsobem chování; kvalifikovanou ochranou není jednání zaměstnance, kterým podstupuje riziko nebezpečí škody na majetku zaměstnavatele (lehkomyslné jednání, neopatrnost apod.).</w:t>
      </w:r>
    </w:p>
    <w:p w:rsidR="0045594F"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Zaměstnanec se zavazuje bezodkladně oznámit ztrátu svěřeného předmětu bezprostředně nadřízenému vedoucímu a osobě pověřené evidencí majetku; v případě ztráty mobilního telefonu nebo SIM karty také kontaktní osobě pro styk s mobilním operátorem. Jde-li o poškození nebo jiné závady svěřených předmětů, zavazuje se tuto skutečnost bezodkladně oznámit svému bezprostředně nadřízenému vedoucímu.</w:t>
      </w:r>
    </w:p>
    <w:p w:rsidR="0045594F" w:rsidRPr="00B45621" w:rsidRDefault="0045594F" w:rsidP="00ED668B">
      <w:pPr>
        <w:pStyle w:val="Zkladntext2"/>
        <w:numPr>
          <w:ilvl w:val="0"/>
          <w:numId w:val="1"/>
        </w:numPr>
        <w:tabs>
          <w:tab w:val="clear" w:pos="720"/>
          <w:tab w:val="num" w:pos="426"/>
        </w:tabs>
        <w:spacing w:after="60"/>
        <w:ind w:left="425" w:hanging="425"/>
        <w:rPr>
          <w:rFonts w:ascii="Calibri" w:hAnsi="Calibri"/>
          <w:sz w:val="22"/>
          <w:szCs w:val="22"/>
        </w:rPr>
      </w:pPr>
      <w:r w:rsidRPr="00B45621">
        <w:rPr>
          <w:rFonts w:ascii="Calibri" w:hAnsi="Calibri"/>
          <w:sz w:val="22"/>
          <w:szCs w:val="22"/>
        </w:rPr>
        <w:lastRenderedPageBreak/>
        <w:t>Zaměstnanec bere na vědomí doporučení zaměstnavatele zajistit pojistnou ochranu svěřených předmětů, které používá pro plnění pracovních úkolů a povinností na pracovních cestách nebo doma (např. notebook, mobilní telefon, fotoaparát), uzavřením pojištění odpovědnosti za škodu způsobenou zaměstnavateli jejich ztrátou.</w:t>
      </w:r>
    </w:p>
    <w:p w:rsidR="0045594F" w:rsidRPr="00B45621" w:rsidRDefault="0045594F" w:rsidP="0045594F">
      <w:pPr>
        <w:pStyle w:val="Zkladntext2"/>
        <w:spacing w:after="120"/>
        <w:ind w:left="425"/>
        <w:rPr>
          <w:rFonts w:ascii="Calibri" w:hAnsi="Calibri"/>
          <w:sz w:val="22"/>
          <w:szCs w:val="22"/>
        </w:rPr>
      </w:pPr>
      <w:r w:rsidRPr="00B45621">
        <w:rPr>
          <w:rFonts w:ascii="Calibri" w:hAnsi="Calibri"/>
          <w:sz w:val="22"/>
          <w:szCs w:val="22"/>
        </w:rPr>
        <w:t xml:space="preserve">Zaměstnanec taktéž bere na vědomí, že zaměstnavatelem doporučené pojištění majetku zaměstnavatele je v zájmu prevence škod na jeho majetku a je oprávněným zájmem zaměstnavatele ve smyslu § 301 písm. d) </w:t>
      </w:r>
      <w:r w:rsidR="00AB331B">
        <w:rPr>
          <w:rFonts w:ascii="Calibri" w:hAnsi="Calibri"/>
          <w:sz w:val="22"/>
          <w:szCs w:val="22"/>
        </w:rPr>
        <w:t>ZP</w:t>
      </w:r>
      <w:r w:rsidRPr="00B45621">
        <w:rPr>
          <w:rFonts w:ascii="Calibri" w:hAnsi="Calibri"/>
          <w:sz w:val="22"/>
          <w:szCs w:val="22"/>
        </w:rPr>
        <w:t>.</w:t>
      </w:r>
    </w:p>
    <w:p w:rsidR="0045594F"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Škodu vzniklou ztrátou svěřeného předmětu lze uhradit po předchozí dohodě se zaměstnavatelem pořízením jiného předmětu v odpovídající technické specifikaci a peněžité hodnotě ztraceného svěřeného předmětu nebo zaplacením peněžité náhrady odpovídající plné výši pořizovací ceny ztraceného svěřeného předmětu, jde-li o novou věc nebo obecné ceně v době ztráty svěřeného předmětu, jde-li o škodu způsobenou na věci starší či opotřebované.</w:t>
      </w:r>
    </w:p>
    <w:p w:rsidR="0045594F"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Zaměstnanec se zavazuje umožnit zaměstnavateli na jeho výzvu a v termínech jím stanovených provedení inventarizace svěřeného předmětu.</w:t>
      </w:r>
    </w:p>
    <w:p w:rsidR="0045594F" w:rsidRPr="00B45621" w:rsidRDefault="0045594F" w:rsidP="0045594F">
      <w:pPr>
        <w:pStyle w:val="Zkladntext2"/>
        <w:numPr>
          <w:ilvl w:val="0"/>
          <w:numId w:val="1"/>
        </w:numPr>
        <w:tabs>
          <w:tab w:val="clear" w:pos="720"/>
          <w:tab w:val="num" w:pos="426"/>
        </w:tabs>
        <w:spacing w:after="120"/>
        <w:ind w:left="425" w:hanging="425"/>
        <w:rPr>
          <w:rFonts w:ascii="Calibri" w:hAnsi="Calibri"/>
          <w:sz w:val="22"/>
          <w:szCs w:val="22"/>
        </w:rPr>
      </w:pPr>
      <w:r w:rsidRPr="00B45621">
        <w:rPr>
          <w:rFonts w:ascii="Calibri" w:hAnsi="Calibri"/>
          <w:sz w:val="22"/>
          <w:szCs w:val="22"/>
        </w:rPr>
        <w:t>Pomine-li důvod pro svěření předmětu nebo při skončení pracovního poměru, popř. jiného obdobného pracovněprávního vztahu, je zaměstnanec povinen vrátit zaměstnavateli svěřený předmět ve stavu odpovídajícím běžnému opotřebení.</w:t>
      </w:r>
    </w:p>
    <w:p w:rsidR="0045594F" w:rsidRPr="00B45621" w:rsidRDefault="0045594F" w:rsidP="0045594F">
      <w:pPr>
        <w:pStyle w:val="Zkladntext2"/>
        <w:numPr>
          <w:ilvl w:val="0"/>
          <w:numId w:val="1"/>
        </w:numPr>
        <w:tabs>
          <w:tab w:val="clear" w:pos="720"/>
          <w:tab w:val="num" w:pos="426"/>
        </w:tabs>
        <w:spacing w:after="60"/>
        <w:ind w:left="425" w:hanging="425"/>
        <w:rPr>
          <w:rFonts w:ascii="Calibri" w:hAnsi="Calibri"/>
          <w:sz w:val="22"/>
          <w:szCs w:val="22"/>
        </w:rPr>
      </w:pPr>
      <w:r w:rsidRPr="00B45621">
        <w:rPr>
          <w:rFonts w:ascii="Calibri" w:hAnsi="Calibri"/>
          <w:sz w:val="22"/>
          <w:szCs w:val="22"/>
        </w:rPr>
        <w:t xml:space="preserve">Převyšuje-li pořizovací cena svěřeného předmětu nebo svěřených předmětů zákonný limit podle § 255/2 </w:t>
      </w:r>
      <w:r w:rsidR="00AB331B">
        <w:rPr>
          <w:rFonts w:ascii="Calibri" w:hAnsi="Calibri"/>
          <w:sz w:val="22"/>
          <w:szCs w:val="22"/>
        </w:rPr>
        <w:t>ZP</w:t>
      </w:r>
      <w:r w:rsidRPr="00B45621">
        <w:rPr>
          <w:rFonts w:ascii="Calibri" w:hAnsi="Calibri"/>
          <w:sz w:val="22"/>
          <w:szCs w:val="22"/>
        </w:rPr>
        <w:t xml:space="preserve"> (ke dni nabytí účinnosti </w:t>
      </w:r>
      <w:r w:rsidR="00AB331B">
        <w:rPr>
          <w:rFonts w:ascii="Calibri" w:hAnsi="Calibri"/>
          <w:sz w:val="22"/>
          <w:szCs w:val="22"/>
        </w:rPr>
        <w:t>ZP</w:t>
      </w:r>
      <w:r w:rsidRPr="00B45621">
        <w:rPr>
          <w:rFonts w:ascii="Calibri" w:hAnsi="Calibri"/>
          <w:sz w:val="22"/>
          <w:szCs w:val="22"/>
        </w:rPr>
        <w:t xml:space="preserve">, tj. ke dni 1. 1. 2007 zákonný limit činí 50.000,- Kč), potvrzuje se uzavření dohody o odpovědnosti za ztrátu svěřených předmětů na základě § 255/2 a násl. </w:t>
      </w:r>
      <w:r w:rsidR="00AB331B">
        <w:rPr>
          <w:rFonts w:ascii="Calibri" w:hAnsi="Calibri"/>
          <w:sz w:val="22"/>
          <w:szCs w:val="22"/>
        </w:rPr>
        <w:t>ZP</w:t>
      </w:r>
      <w:r w:rsidRPr="00B45621">
        <w:rPr>
          <w:rFonts w:ascii="Calibri" w:hAnsi="Calibri"/>
          <w:sz w:val="22"/>
          <w:szCs w:val="22"/>
        </w:rPr>
        <w:t xml:space="preserve"> v tomto rozsahu:</w:t>
      </w:r>
    </w:p>
    <w:p w:rsidR="0045594F" w:rsidRPr="00B45621" w:rsidRDefault="0045594F" w:rsidP="00F23846">
      <w:pPr>
        <w:numPr>
          <w:ilvl w:val="1"/>
          <w:numId w:val="1"/>
        </w:numPr>
        <w:tabs>
          <w:tab w:val="clear" w:pos="1440"/>
          <w:tab w:val="num" w:pos="709"/>
        </w:tabs>
        <w:spacing w:after="60"/>
        <w:ind w:left="709" w:hanging="283"/>
        <w:jc w:val="both"/>
        <w:rPr>
          <w:rFonts w:ascii="Calibri" w:hAnsi="Calibri"/>
          <w:sz w:val="22"/>
          <w:szCs w:val="22"/>
        </w:rPr>
      </w:pPr>
      <w:r w:rsidRPr="00B45621">
        <w:rPr>
          <w:rFonts w:ascii="Calibri" w:hAnsi="Calibri"/>
          <w:sz w:val="22"/>
          <w:szCs w:val="22"/>
        </w:rPr>
        <w:t>Zaměstnanec odpovídá za ztrátu svěřených předmětů, které mu zaměstnavatel svěřil na základě této dohody, pokud neprokáže, že ke ztrátě došlo zcela nebo zčásti bez jeho zavinění. Ztrátu svěřeného předmětu je povinen nahradit zaměstnavateli v plné výši. Ostatní ustanovení podle čl. 2. – 7. nejsou touto dohodou dotčena.</w:t>
      </w:r>
    </w:p>
    <w:p w:rsidR="0045594F" w:rsidRPr="00B45621" w:rsidRDefault="0045594F" w:rsidP="00F23846">
      <w:pPr>
        <w:numPr>
          <w:ilvl w:val="1"/>
          <w:numId w:val="1"/>
        </w:numPr>
        <w:tabs>
          <w:tab w:val="clear" w:pos="1440"/>
          <w:tab w:val="num" w:pos="709"/>
        </w:tabs>
        <w:spacing w:after="60"/>
        <w:ind w:left="709" w:hanging="283"/>
        <w:jc w:val="both"/>
        <w:rPr>
          <w:rFonts w:ascii="Calibri" w:hAnsi="Calibri"/>
          <w:sz w:val="22"/>
          <w:szCs w:val="22"/>
        </w:rPr>
      </w:pPr>
      <w:r w:rsidRPr="00B45621">
        <w:rPr>
          <w:rFonts w:ascii="Calibri" w:hAnsi="Calibri"/>
          <w:sz w:val="22"/>
          <w:szCs w:val="22"/>
        </w:rPr>
        <w:t>Zaměstnanec je oprávněn písemně od dohody odstoupit, jestliže mu zaměstnavatel nevytvořil podmínky k zajištění ochrany svěřených předmětů proti jejich ztrátě.</w:t>
      </w:r>
    </w:p>
    <w:p w:rsidR="0045594F" w:rsidRPr="00B45621" w:rsidRDefault="0045594F" w:rsidP="00F23846">
      <w:pPr>
        <w:numPr>
          <w:ilvl w:val="1"/>
          <w:numId w:val="1"/>
        </w:numPr>
        <w:tabs>
          <w:tab w:val="clear" w:pos="1440"/>
          <w:tab w:val="num" w:pos="709"/>
        </w:tabs>
        <w:spacing w:after="60"/>
        <w:ind w:left="709" w:hanging="283"/>
        <w:jc w:val="both"/>
        <w:rPr>
          <w:rFonts w:ascii="Calibri" w:hAnsi="Calibri"/>
          <w:sz w:val="22"/>
          <w:szCs w:val="22"/>
        </w:rPr>
      </w:pPr>
      <w:r w:rsidRPr="00B45621">
        <w:rPr>
          <w:rFonts w:ascii="Calibri" w:hAnsi="Calibri"/>
          <w:sz w:val="22"/>
          <w:szCs w:val="22"/>
        </w:rPr>
        <w:t>Dohoda zaniká dnem skončení pracovního poměru, popř. jiného obdobného pracovněprávního vztahu nebo dnem, kdy bylo odstoupení od dohody doručeno zaměstnavateli, není-li v odstoupení od dohody uveden den pozdější.</w:t>
      </w:r>
    </w:p>
    <w:p w:rsidR="0045594F" w:rsidRPr="00B45621" w:rsidRDefault="0045594F" w:rsidP="00F23846">
      <w:pPr>
        <w:numPr>
          <w:ilvl w:val="1"/>
          <w:numId w:val="1"/>
        </w:numPr>
        <w:tabs>
          <w:tab w:val="clear" w:pos="1440"/>
          <w:tab w:val="num" w:pos="709"/>
        </w:tabs>
        <w:ind w:left="709" w:hanging="283"/>
        <w:jc w:val="both"/>
        <w:rPr>
          <w:rFonts w:ascii="Calibri" w:hAnsi="Calibri"/>
          <w:sz w:val="22"/>
          <w:szCs w:val="22"/>
        </w:rPr>
      </w:pPr>
      <w:r w:rsidRPr="00B45621">
        <w:rPr>
          <w:rFonts w:ascii="Calibri" w:hAnsi="Calibri"/>
          <w:sz w:val="22"/>
          <w:szCs w:val="22"/>
        </w:rPr>
        <w:t>Dohoda nabývá platnosti a účinnosti dnem jejího podpisu oběma účastníky pracovněprávního vztahu.</w:t>
      </w:r>
    </w:p>
    <w:p w:rsidR="00130F99" w:rsidRPr="00B45621" w:rsidRDefault="00130F99">
      <w:pPr>
        <w:rPr>
          <w:rFonts w:ascii="Calibri" w:hAnsi="Calibri"/>
          <w:sz w:val="22"/>
          <w:szCs w:val="22"/>
        </w:rPr>
      </w:pPr>
    </w:p>
    <w:p w:rsidR="00CD6DDC" w:rsidRPr="00B45621" w:rsidRDefault="00CD6DDC">
      <w:pPr>
        <w:rPr>
          <w:rFonts w:ascii="Calibri" w:hAnsi="Calibri"/>
          <w:sz w:val="22"/>
          <w:szCs w:val="22"/>
        </w:rPr>
      </w:pPr>
    </w:p>
    <w:p w:rsidR="00130F99" w:rsidRPr="00B45621" w:rsidRDefault="0030218D" w:rsidP="000A1E80">
      <w:pPr>
        <w:tabs>
          <w:tab w:val="left" w:leader="dot" w:pos="3969"/>
        </w:tabs>
        <w:rPr>
          <w:rFonts w:ascii="Calibri" w:hAnsi="Calibri"/>
          <w:sz w:val="22"/>
          <w:szCs w:val="22"/>
        </w:rPr>
      </w:pPr>
      <w:r w:rsidRPr="00B45621">
        <w:rPr>
          <w:rFonts w:ascii="Calibri" w:hAnsi="Calibri"/>
          <w:sz w:val="22"/>
          <w:szCs w:val="22"/>
        </w:rPr>
        <w:t xml:space="preserve">V Brně dne </w:t>
      </w:r>
      <w:r w:rsidR="000A1E80" w:rsidRPr="00B45621">
        <w:rPr>
          <w:rFonts w:ascii="Calibri" w:hAnsi="Calibri"/>
          <w:sz w:val="22"/>
          <w:szCs w:val="22"/>
        </w:rPr>
        <w:tab/>
      </w:r>
    </w:p>
    <w:p w:rsidR="00130F99" w:rsidRPr="00B45621" w:rsidRDefault="00130F99">
      <w:pPr>
        <w:rPr>
          <w:rFonts w:ascii="Calibri" w:hAnsi="Calibri"/>
          <w:sz w:val="22"/>
          <w:szCs w:val="22"/>
        </w:rPr>
      </w:pPr>
    </w:p>
    <w:p w:rsidR="00130F99" w:rsidRPr="00B45621" w:rsidRDefault="00130F99">
      <w:pPr>
        <w:rPr>
          <w:rFonts w:ascii="Calibri" w:hAnsi="Calibri"/>
          <w:sz w:val="22"/>
          <w:szCs w:val="22"/>
        </w:rPr>
      </w:pPr>
    </w:p>
    <w:p w:rsidR="00436E5A" w:rsidRDefault="00436E5A">
      <w:pPr>
        <w:rPr>
          <w:rFonts w:ascii="Calibri" w:hAnsi="Calibri"/>
          <w:sz w:val="22"/>
          <w:szCs w:val="22"/>
        </w:rPr>
      </w:pPr>
    </w:p>
    <w:p w:rsidR="0005412B" w:rsidRPr="00B45621" w:rsidRDefault="0005412B">
      <w:pPr>
        <w:rPr>
          <w:rFonts w:ascii="Calibri" w:hAnsi="Calibri"/>
          <w:sz w:val="22"/>
          <w:szCs w:val="22"/>
        </w:rPr>
      </w:pPr>
    </w:p>
    <w:p w:rsidR="0045594F" w:rsidRPr="00B45621" w:rsidRDefault="0045594F">
      <w:pPr>
        <w:rPr>
          <w:rFonts w:ascii="Calibri" w:hAnsi="Calibri"/>
          <w:sz w:val="22"/>
          <w:szCs w:val="22"/>
        </w:rPr>
      </w:pPr>
    </w:p>
    <w:p w:rsidR="000A1E80" w:rsidRPr="00B45621" w:rsidRDefault="000A1E80" w:rsidP="000A1E80">
      <w:pPr>
        <w:tabs>
          <w:tab w:val="left" w:leader="dot" w:pos="3969"/>
          <w:tab w:val="left" w:pos="5670"/>
          <w:tab w:val="right" w:leader="dot" w:pos="9639"/>
        </w:tabs>
        <w:rPr>
          <w:rFonts w:ascii="Calibri" w:hAnsi="Calibri"/>
          <w:sz w:val="22"/>
          <w:szCs w:val="22"/>
        </w:rPr>
      </w:pP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p>
    <w:p w:rsidR="000A1E80" w:rsidRDefault="000A1E80" w:rsidP="0045594F">
      <w:pPr>
        <w:ind w:left="285" w:firstLine="851"/>
        <w:rPr>
          <w:rFonts w:ascii="Calibri" w:hAnsi="Calibri"/>
          <w:sz w:val="22"/>
          <w:szCs w:val="22"/>
        </w:rPr>
      </w:pPr>
      <w:r w:rsidRPr="00B45621">
        <w:rPr>
          <w:rFonts w:ascii="Calibri" w:hAnsi="Calibri"/>
          <w:sz w:val="22"/>
          <w:szCs w:val="22"/>
        </w:rPr>
        <w:t>podpis zaměstnance</w:t>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Pr="00B45621">
        <w:rPr>
          <w:rFonts w:ascii="Calibri" w:hAnsi="Calibri"/>
          <w:sz w:val="22"/>
          <w:szCs w:val="22"/>
        </w:rPr>
        <w:tab/>
      </w:r>
      <w:r w:rsidR="0045594F" w:rsidRPr="00B45621">
        <w:rPr>
          <w:rFonts w:ascii="Calibri" w:hAnsi="Calibri"/>
          <w:sz w:val="22"/>
          <w:szCs w:val="22"/>
        </w:rPr>
        <w:tab/>
      </w:r>
      <w:r w:rsidR="0045594F" w:rsidRPr="00B45621">
        <w:rPr>
          <w:rFonts w:ascii="Calibri" w:hAnsi="Calibri"/>
          <w:sz w:val="22"/>
          <w:szCs w:val="22"/>
        </w:rPr>
        <w:tab/>
      </w:r>
      <w:r w:rsidRPr="00B45621">
        <w:rPr>
          <w:rFonts w:ascii="Calibri" w:hAnsi="Calibri"/>
          <w:sz w:val="22"/>
          <w:szCs w:val="22"/>
        </w:rPr>
        <w:t>podpis vedoucího pracoviště</w:t>
      </w:r>
    </w:p>
    <w:p w:rsidR="009F02EF" w:rsidRDefault="009F02EF" w:rsidP="009F02EF">
      <w:pPr>
        <w:rPr>
          <w:rFonts w:ascii="Calibri" w:hAnsi="Calibri"/>
          <w:sz w:val="22"/>
          <w:szCs w:val="22"/>
        </w:rPr>
      </w:pPr>
    </w:p>
    <w:p w:rsidR="009F02EF" w:rsidRDefault="009F02EF" w:rsidP="009F02EF">
      <w:pPr>
        <w:rPr>
          <w:rFonts w:ascii="Calibri" w:hAnsi="Calibri"/>
          <w:sz w:val="22"/>
          <w:szCs w:val="22"/>
        </w:rPr>
      </w:pPr>
    </w:p>
    <w:p w:rsidR="009F02EF" w:rsidRPr="00CE7D63" w:rsidRDefault="009F02EF" w:rsidP="009F02EF">
      <w:pPr>
        <w:jc w:val="both"/>
        <w:rPr>
          <w:rFonts w:asciiTheme="minorHAnsi" w:hAnsiTheme="minorHAnsi" w:cstheme="minorHAnsi"/>
          <w:sz w:val="20"/>
        </w:rPr>
      </w:pPr>
      <w:r w:rsidRPr="00CE7D63">
        <w:rPr>
          <w:rFonts w:asciiTheme="minorHAnsi" w:hAnsiTheme="minorHAnsi" w:cstheme="minorHAnsi"/>
          <w:sz w:val="20"/>
        </w:rPr>
        <w:t xml:space="preserve">obdrží: </w:t>
      </w:r>
    </w:p>
    <w:p w:rsidR="009F02EF" w:rsidRPr="00CE7D63" w:rsidRDefault="009F02EF" w:rsidP="009F02EF">
      <w:pPr>
        <w:jc w:val="both"/>
        <w:rPr>
          <w:rFonts w:asciiTheme="minorHAnsi" w:hAnsiTheme="minorHAnsi" w:cstheme="minorHAnsi"/>
          <w:sz w:val="20"/>
        </w:rPr>
      </w:pPr>
      <w:r w:rsidRPr="00CE7D63">
        <w:rPr>
          <w:rFonts w:asciiTheme="minorHAnsi" w:hAnsiTheme="minorHAnsi" w:cstheme="minorHAnsi"/>
          <w:sz w:val="20"/>
        </w:rPr>
        <w:t>zaměstnanec</w:t>
      </w:r>
    </w:p>
    <w:p w:rsidR="009F02EF" w:rsidRPr="00CE7D63" w:rsidRDefault="009F02EF" w:rsidP="009F02EF">
      <w:pPr>
        <w:jc w:val="both"/>
        <w:rPr>
          <w:rFonts w:asciiTheme="minorHAnsi" w:hAnsiTheme="minorHAnsi" w:cstheme="minorHAnsi"/>
          <w:sz w:val="20"/>
        </w:rPr>
      </w:pPr>
      <w:r w:rsidRPr="00CE7D63">
        <w:rPr>
          <w:rFonts w:asciiTheme="minorHAnsi" w:hAnsiTheme="minorHAnsi" w:cstheme="minorHAnsi"/>
          <w:sz w:val="20"/>
        </w:rPr>
        <w:t>zaměstnanec pověřený péčí o majetek</w:t>
      </w:r>
    </w:p>
    <w:sectPr w:rsidR="009F02EF" w:rsidRPr="00CE7D63" w:rsidSect="00C26EEB">
      <w:headerReference w:type="default" r:id="rId7"/>
      <w:headerReference w:type="first" r:id="rId8"/>
      <w:pgSz w:w="11907" w:h="16840" w:code="9"/>
      <w:pgMar w:top="1701" w:right="1077" w:bottom="1418" w:left="1134" w:header="56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F1" w:rsidRDefault="00355AF1">
      <w:r>
        <w:separator/>
      </w:r>
    </w:p>
  </w:endnote>
  <w:endnote w:type="continuationSeparator" w:id="0">
    <w:p w:rsidR="00355AF1" w:rsidRDefault="0035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F1" w:rsidRDefault="00355AF1">
      <w:r>
        <w:separator/>
      </w:r>
    </w:p>
  </w:footnote>
  <w:footnote w:type="continuationSeparator" w:id="0">
    <w:p w:rsidR="00355AF1" w:rsidRDefault="0035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56" w:rsidRDefault="000D1956">
    <w:pPr>
      <w:pStyle w:val="Zhlav"/>
      <w:tabs>
        <w:tab w:val="clear" w:pos="4703"/>
        <w:tab w:val="center" w:pos="5670"/>
      </w:tabs>
      <w:rPr>
        <w:rFonts w:ascii="Tahoma" w:hAnsi="Tahoma"/>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846" w:rsidRPr="006166FE" w:rsidRDefault="00862D87" w:rsidP="006166FE">
    <w:pPr>
      <w:jc w:val="center"/>
      <w:rPr>
        <w:rFonts w:ascii="Tahoma" w:hAnsi="Tahoma"/>
        <w:sz w:val="20"/>
      </w:rPr>
    </w:pPr>
    <w:r w:rsidRPr="006166FE">
      <w:rPr>
        <w:noProof/>
        <w:sz w:val="20"/>
      </w:rPr>
      <w:drawing>
        <wp:anchor distT="0" distB="0" distL="114300" distR="114300" simplePos="0" relativeHeight="251660288" behindDoc="1" locked="1" layoutInCell="1" allowOverlap="1">
          <wp:simplePos x="0" y="0"/>
          <wp:positionH relativeFrom="page">
            <wp:posOffset>360045</wp:posOffset>
          </wp:positionH>
          <wp:positionV relativeFrom="page">
            <wp:posOffset>360045</wp:posOffset>
          </wp:positionV>
          <wp:extent cx="939600" cy="648000"/>
          <wp:effectExtent l="0" t="0" r="0" b="0"/>
          <wp:wrapNone/>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64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C10480A"/>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277872EF"/>
    <w:multiLevelType w:val="hybridMultilevel"/>
    <w:tmpl w:val="F6A8304C"/>
    <w:lvl w:ilvl="0" w:tplc="0405000F">
      <w:start w:val="1"/>
      <w:numFmt w:val="decimal"/>
      <w:lvlText w:val="%1."/>
      <w:lvlJc w:val="left"/>
      <w:pPr>
        <w:tabs>
          <w:tab w:val="num" w:pos="720"/>
        </w:tabs>
        <w:ind w:left="720" w:hanging="360"/>
      </w:pPr>
      <w:rPr>
        <w:rFonts w:hint="default"/>
      </w:rPr>
    </w:lvl>
    <w:lvl w:ilvl="1" w:tplc="60CC058E">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9AE4988"/>
    <w:multiLevelType w:val="hybridMultilevel"/>
    <w:tmpl w:val="6E24D8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99"/>
    <w:rsid w:val="0005412B"/>
    <w:rsid w:val="000A1E80"/>
    <w:rsid w:val="000D1956"/>
    <w:rsid w:val="00130F99"/>
    <w:rsid w:val="00147325"/>
    <w:rsid w:val="0030218D"/>
    <w:rsid w:val="00355AF1"/>
    <w:rsid w:val="003832FB"/>
    <w:rsid w:val="00436E5A"/>
    <w:rsid w:val="0045594F"/>
    <w:rsid w:val="0049746D"/>
    <w:rsid w:val="005E4904"/>
    <w:rsid w:val="006166FE"/>
    <w:rsid w:val="0066670A"/>
    <w:rsid w:val="008155CE"/>
    <w:rsid w:val="00862D87"/>
    <w:rsid w:val="00874AAF"/>
    <w:rsid w:val="009F02EF"/>
    <w:rsid w:val="00A02730"/>
    <w:rsid w:val="00AB331B"/>
    <w:rsid w:val="00B45621"/>
    <w:rsid w:val="00BA43AC"/>
    <w:rsid w:val="00C26EEB"/>
    <w:rsid w:val="00C66406"/>
    <w:rsid w:val="00C664F5"/>
    <w:rsid w:val="00C7255B"/>
    <w:rsid w:val="00CC74AB"/>
    <w:rsid w:val="00CD6DDC"/>
    <w:rsid w:val="00D139D9"/>
    <w:rsid w:val="00D46792"/>
    <w:rsid w:val="00D53050"/>
    <w:rsid w:val="00E61EE1"/>
    <w:rsid w:val="00ED668B"/>
    <w:rsid w:val="00EE044F"/>
    <w:rsid w:val="00F238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2A0DD"/>
  <w15:chartTrackingRefBased/>
  <w15:docId w15:val="{6CDD6A93-88E0-43F2-921C-0B730DDF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sz w:val="20"/>
    </w:rPr>
  </w:style>
  <w:style w:type="paragraph" w:styleId="Nadpis2">
    <w:name w:val="heading 2"/>
    <w:basedOn w:val="Normln"/>
    <w:next w:val="Normln"/>
    <w:qFormat/>
    <w:pPr>
      <w:keepNext/>
      <w:outlineLvl w:val="1"/>
    </w:pPr>
    <w:rPr>
      <w:rFonts w:ascii="Arial" w:hAnsi="Arial"/>
      <w:b/>
      <w:sz w:val="18"/>
    </w:rPr>
  </w:style>
  <w:style w:type="paragraph" w:styleId="Nadpis3">
    <w:name w:val="heading 3"/>
    <w:basedOn w:val="Normln"/>
    <w:next w:val="Normln"/>
    <w:qFormat/>
    <w:pPr>
      <w:keepNext/>
      <w:spacing w:before="240" w:after="60"/>
      <w:outlineLvl w:val="2"/>
    </w:pPr>
    <w:rPr>
      <w:rFonts w:ascii="Arial" w:hAnsi="Arial"/>
    </w:rPr>
  </w:style>
  <w:style w:type="paragraph" w:styleId="Nadpis4">
    <w:name w:val="heading 4"/>
    <w:basedOn w:val="Normln"/>
    <w:next w:val="Normln"/>
    <w:qFormat/>
    <w:pPr>
      <w:keepNext/>
      <w:widowControl w:val="0"/>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703"/>
        <w:tab w:val="right" w:pos="9406"/>
      </w:tabs>
    </w:pPr>
  </w:style>
  <w:style w:type="paragraph" w:styleId="Zpat">
    <w:name w:val="footer"/>
    <w:pPr>
      <w:tabs>
        <w:tab w:val="center" w:pos="4703"/>
        <w:tab w:val="right" w:pos="9406"/>
      </w:tabs>
    </w:pPr>
    <w:rPr>
      <w:b/>
      <w:i/>
      <w:noProof/>
    </w:rPr>
  </w:style>
  <w:style w:type="paragraph" w:styleId="Zkladntext">
    <w:name w:val="Body Text"/>
    <w:basedOn w:val="Normln"/>
    <w:pPr>
      <w:spacing w:after="120"/>
    </w:pPr>
  </w:style>
  <w:style w:type="paragraph" w:styleId="Zkladntextodsazen">
    <w:name w:val="Body Text Indent"/>
    <w:basedOn w:val="Normln"/>
    <w:pPr>
      <w:spacing w:after="120"/>
      <w:ind w:left="283"/>
    </w:pPr>
  </w:style>
  <w:style w:type="character" w:styleId="slostrnky">
    <w:name w:val="page number"/>
    <w:basedOn w:val="Standardnpsmoodstavce"/>
  </w:style>
  <w:style w:type="paragraph" w:styleId="Adresanaoblku">
    <w:name w:val="envelope address"/>
    <w:basedOn w:val="Normln"/>
    <w:pPr>
      <w:framePr w:w="7920" w:h="1980" w:hRule="exact" w:hSpace="141" w:wrap="auto" w:hAnchor="page" w:xAlign="center" w:yAlign="bottom"/>
      <w:ind w:left="2880"/>
    </w:pPr>
  </w:style>
  <w:style w:type="paragraph" w:customStyle="1" w:styleId="popis-vc">
    <w:name w:val="popis - věc"/>
    <w:basedOn w:val="Normln"/>
    <w:next w:val="Normln"/>
    <w:pPr>
      <w:tabs>
        <w:tab w:val="left" w:pos="567"/>
      </w:tabs>
      <w:spacing w:before="120" w:after="360"/>
    </w:pPr>
    <w:rPr>
      <w:u w:val="single"/>
    </w:rPr>
  </w:style>
  <w:style w:type="paragraph" w:customStyle="1" w:styleId="bn">
    <w:name w:val="běžný"/>
    <w:basedOn w:val="Normln"/>
    <w:pPr>
      <w:ind w:firstLine="454"/>
      <w:jc w:val="both"/>
    </w:pPr>
  </w:style>
  <w:style w:type="paragraph" w:styleId="Podpis">
    <w:name w:val="Signature"/>
    <w:basedOn w:val="Normln"/>
    <w:pPr>
      <w:spacing w:before="600"/>
      <w:ind w:left="4536"/>
    </w:pPr>
  </w:style>
  <w:style w:type="paragraph" w:customStyle="1" w:styleId="osloven">
    <w:name w:val="oslovení"/>
    <w:basedOn w:val="Normln"/>
    <w:next w:val="bn"/>
    <w:pPr>
      <w:spacing w:before="120" w:after="240"/>
    </w:pPr>
  </w:style>
  <w:style w:type="paragraph" w:styleId="Zkladntext2">
    <w:name w:val="Body Text 2"/>
    <w:basedOn w:val="Normln"/>
    <w:pPr>
      <w:jc w:val="both"/>
    </w:pPr>
  </w:style>
  <w:style w:type="paragraph" w:styleId="Textbubliny">
    <w:name w:val="Balloon Text"/>
    <w:basedOn w:val="Normln"/>
    <w:semiHidden/>
    <w:rsid w:val="00D53050"/>
    <w:rPr>
      <w:rFonts w:ascii="Tahoma" w:hAnsi="Tahoma" w:cs="Tahoma"/>
      <w:sz w:val="16"/>
      <w:szCs w:val="16"/>
    </w:rPr>
  </w:style>
  <w:style w:type="paragraph" w:styleId="Seznamsodrkami2">
    <w:name w:val="List Bullet 2"/>
    <w:basedOn w:val="Normln"/>
    <w:rsid w:val="0045594F"/>
    <w:pPr>
      <w:numPr>
        <w:numId w:val="2"/>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bar\Application%20Data\Microsoft\&#352;ablony\&#381;&#225;dost%20o%20zap&#367;j&#269;en&#237;%20invent&#225;&#345;e%20FI.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Žádost o zapůjčení inventáře FI</Template>
  <TotalTime>13</TotalTime>
  <Pages>1</Pages>
  <Words>649</Words>
  <Characters>3830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FI MU</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lenbar</dc:creator>
  <cp:keywords/>
  <cp:lastModifiedBy>Lenka Bartošková</cp:lastModifiedBy>
  <cp:revision>5</cp:revision>
  <cp:lastPrinted>2006-10-13T09:06:00Z</cp:lastPrinted>
  <dcterms:created xsi:type="dcterms:W3CDTF">2019-04-30T13:46:00Z</dcterms:created>
  <dcterms:modified xsi:type="dcterms:W3CDTF">2019-05-01T18:32:00Z</dcterms:modified>
</cp:coreProperties>
</file>