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6731"/>
      </w:tblGrid>
      <w:tr w:rsidR="005D223C" w:rsidRPr="00837221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223C" w:rsidRPr="00837221" w:rsidRDefault="005D223C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proofErr w:type="spellStart"/>
            <w:r w:rsidRPr="00837221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Název</w:t>
            </w:r>
            <w:proofErr w:type="spellEnd"/>
            <w:r w:rsidRPr="00837221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223C" w:rsidRPr="00837221" w:rsidRDefault="005D223C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3722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Slováci</w:t>
            </w:r>
            <w:proofErr w:type="spellEnd"/>
            <w:r w:rsidRPr="0083722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3722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stále</w:t>
            </w:r>
            <w:proofErr w:type="spellEnd"/>
            <w:r w:rsidRPr="0083722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3722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zaplavují</w:t>
            </w:r>
            <w:proofErr w:type="spellEnd"/>
            <w:r w:rsidRPr="0083722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3722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brněnské</w:t>
            </w:r>
            <w:proofErr w:type="spellEnd"/>
            <w:r w:rsidRPr="0083722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3722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vysoké</w:t>
            </w:r>
            <w:proofErr w:type="spellEnd"/>
            <w:r w:rsidRPr="0083722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3722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školy</w:t>
            </w:r>
            <w:proofErr w:type="spellEnd"/>
            <w:r w:rsidRPr="0083722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83722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jako</w:t>
            </w:r>
            <w:proofErr w:type="spellEnd"/>
            <w:r w:rsidRPr="0083722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3722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cizinci</w:t>
            </w:r>
            <w:proofErr w:type="spellEnd"/>
            <w:r w:rsidRPr="0083722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 se </w:t>
            </w:r>
            <w:proofErr w:type="spellStart"/>
            <w:r w:rsidRPr="0083722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necítí</w:t>
            </w:r>
            <w:proofErr w:type="spellEnd"/>
          </w:p>
        </w:tc>
      </w:tr>
      <w:tr w:rsidR="005D223C" w:rsidRPr="00837221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223C" w:rsidRPr="00837221" w:rsidRDefault="005D223C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proofErr w:type="spellStart"/>
            <w:r w:rsidRPr="00837221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Zdroj</w:t>
            </w:r>
            <w:proofErr w:type="spellEnd"/>
            <w:r w:rsidRPr="00837221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223C" w:rsidRPr="00837221" w:rsidRDefault="005D223C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r w:rsidRPr="0083722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Reflex.cz</w:t>
            </w:r>
          </w:p>
        </w:tc>
      </w:tr>
      <w:tr w:rsidR="005D223C" w:rsidRPr="00837221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223C" w:rsidRPr="00837221" w:rsidRDefault="005D223C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r w:rsidRPr="00837221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Datum: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223C" w:rsidRPr="00837221" w:rsidRDefault="005D223C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r w:rsidRPr="0083722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26.11.2017</w:t>
            </w:r>
          </w:p>
        </w:tc>
      </w:tr>
      <w:tr w:rsidR="005D223C" w:rsidRPr="00837221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223C" w:rsidRPr="00837221" w:rsidRDefault="005D223C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proofErr w:type="spellStart"/>
            <w:r w:rsidRPr="00837221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Číslo</w:t>
            </w:r>
            <w:proofErr w:type="spellEnd"/>
            <w:r w:rsidRPr="00837221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223C" w:rsidRPr="00837221" w:rsidRDefault="005D223C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r w:rsidRPr="0083722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330</w:t>
            </w:r>
          </w:p>
        </w:tc>
      </w:tr>
      <w:tr w:rsidR="005D223C" w:rsidRPr="00837221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223C" w:rsidRPr="00837221" w:rsidRDefault="005D223C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proofErr w:type="spellStart"/>
            <w:r w:rsidRPr="00837221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Jazyk</w:t>
            </w:r>
            <w:proofErr w:type="spellEnd"/>
            <w:r w:rsidRPr="00837221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223C" w:rsidRPr="00837221" w:rsidRDefault="005D223C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3722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cz</w:t>
            </w:r>
            <w:proofErr w:type="spellEnd"/>
          </w:p>
        </w:tc>
      </w:tr>
      <w:tr w:rsidR="005D223C" w:rsidRPr="00837221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223C" w:rsidRPr="00837221" w:rsidRDefault="005D223C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proofErr w:type="spellStart"/>
            <w:r w:rsidRPr="00837221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Odkaz</w:t>
            </w:r>
            <w:proofErr w:type="spellEnd"/>
            <w:r w:rsidRPr="00837221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223C" w:rsidRPr="00837221" w:rsidRDefault="005D223C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hyperlink r:id="rId4" w:tgtFrame="_blank" w:history="1">
              <w:r w:rsidRPr="00837221">
                <w:rPr>
                  <w:rFonts w:ascii="inherit" w:eastAsia="Times New Roman" w:hAnsi="inherit" w:cs="Times New Roman"/>
                  <w:color w:val="AA653A"/>
                  <w:sz w:val="18"/>
                  <w:szCs w:val="18"/>
                  <w:u w:val="single"/>
                  <w:bdr w:val="none" w:sz="0" w:space="0" w:color="auto" w:frame="1"/>
                  <w:lang w:eastAsia="en-GB"/>
                </w:rPr>
                <w:t xml:space="preserve">http://www.reflex.cz/ </w:t>
              </w:r>
              <w:proofErr w:type="spellStart"/>
              <w:r w:rsidRPr="00837221">
                <w:rPr>
                  <w:rFonts w:ascii="inherit" w:eastAsia="Times New Roman" w:hAnsi="inherit" w:cs="Times New Roman"/>
                  <w:color w:val="AA653A"/>
                  <w:sz w:val="18"/>
                  <w:szCs w:val="18"/>
                  <w:u w:val="single"/>
                  <w:bdr w:val="none" w:sz="0" w:space="0" w:color="auto" w:frame="1"/>
                  <w:lang w:eastAsia="en-GB"/>
                </w:rPr>
                <w:t>clanek</w:t>
              </w:r>
              <w:proofErr w:type="spellEnd"/>
              <w:r w:rsidRPr="00837221">
                <w:rPr>
                  <w:rFonts w:ascii="inherit" w:eastAsia="Times New Roman" w:hAnsi="inherit" w:cs="Times New Roman"/>
                  <w:color w:val="AA653A"/>
                  <w:sz w:val="18"/>
                  <w:szCs w:val="18"/>
                  <w:u w:val="single"/>
                  <w:bdr w:val="none" w:sz="0" w:space="0" w:color="auto" w:frame="1"/>
                  <w:lang w:eastAsia="en-GB"/>
                </w:rPr>
                <w:t>/ 83433/ slovaci-stale-zaplavuji-brnenske-vysoke-skoly-jako-cizinci-se-neciti</w:t>
              </w:r>
            </w:hyperlink>
          </w:p>
        </w:tc>
      </w:tr>
      <w:tr w:rsidR="005D223C" w:rsidRPr="00837221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223C" w:rsidRPr="00837221" w:rsidRDefault="005D223C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proofErr w:type="spellStart"/>
            <w:r w:rsidRPr="00837221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Domicil</w:t>
            </w:r>
            <w:proofErr w:type="spellEnd"/>
            <w:r w:rsidRPr="00837221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223C" w:rsidRPr="00837221" w:rsidRDefault="005D223C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r w:rsidRPr="0083722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xu330005.txt</w:t>
            </w:r>
          </w:p>
        </w:tc>
      </w:tr>
    </w:tbl>
    <w:p w:rsidR="005D223C" w:rsidRDefault="005D223C" w:rsidP="005D223C">
      <w:pP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</w:pPr>
    </w:p>
    <w:p w:rsidR="005D223C" w:rsidRPr="00837221" w:rsidRDefault="005D223C" w:rsidP="005D223C">
      <w:pPr>
        <w:spacing w:after="0" w:line="240" w:lineRule="auto"/>
        <w:textAlignment w:val="baseline"/>
        <w:outlineLvl w:val="1"/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</w:pPr>
      <w:bookmarkStart w:id="0" w:name="_GoBack"/>
      <w:proofErr w:type="spellStart"/>
      <w:r w:rsidRPr="00837221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Slováci</w:t>
      </w:r>
      <w:proofErr w:type="spellEnd"/>
      <w:r w:rsidRPr="00837221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 xml:space="preserve"> </w:t>
      </w:r>
      <w:proofErr w:type="spellStart"/>
      <w:r w:rsidRPr="00837221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stále</w:t>
      </w:r>
      <w:proofErr w:type="spellEnd"/>
      <w:r w:rsidRPr="00837221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 xml:space="preserve"> </w:t>
      </w:r>
      <w:proofErr w:type="spellStart"/>
      <w:r w:rsidRPr="00837221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zaplavují</w:t>
      </w:r>
      <w:proofErr w:type="spellEnd"/>
      <w:r w:rsidRPr="00837221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 xml:space="preserve"> </w:t>
      </w:r>
      <w:proofErr w:type="spellStart"/>
      <w:r w:rsidRPr="00837221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brněnské</w:t>
      </w:r>
      <w:proofErr w:type="spellEnd"/>
      <w:r w:rsidRPr="00837221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 xml:space="preserve"> </w:t>
      </w:r>
      <w:proofErr w:type="spellStart"/>
      <w:r w:rsidRPr="00837221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vysoké</w:t>
      </w:r>
      <w:proofErr w:type="spellEnd"/>
      <w:r w:rsidRPr="00837221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 xml:space="preserve"> </w:t>
      </w:r>
      <w:proofErr w:type="spellStart"/>
      <w:r w:rsidRPr="00837221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školy</w:t>
      </w:r>
      <w:proofErr w:type="spellEnd"/>
      <w:r w:rsidRPr="00837221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 xml:space="preserve">, </w:t>
      </w:r>
      <w:proofErr w:type="spellStart"/>
      <w:r w:rsidRPr="00837221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jako</w:t>
      </w:r>
      <w:proofErr w:type="spellEnd"/>
      <w:r w:rsidRPr="00837221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 xml:space="preserve"> </w:t>
      </w:r>
      <w:proofErr w:type="spellStart"/>
      <w:r w:rsidRPr="00837221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cizinci</w:t>
      </w:r>
      <w:proofErr w:type="spellEnd"/>
      <w:r w:rsidRPr="00837221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 xml:space="preserve"> se </w:t>
      </w:r>
      <w:proofErr w:type="spellStart"/>
      <w:r w:rsidRPr="00837221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necítí</w:t>
      </w:r>
      <w:proofErr w:type="spellEnd"/>
    </w:p>
    <w:bookmarkEnd w:id="0"/>
    <w:p w:rsidR="00AA3710" w:rsidRDefault="005D223C" w:rsidP="005D223C">
      <w:r w:rsidRPr="00837221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Podle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počtu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Slováků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studujících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brněnských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univerzitách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to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nevypadá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že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od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rozdělení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Československa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uplyne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začátku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příštího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roku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už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25 let. V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Brně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se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jich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vzdělávají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tisíce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mnozí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pak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ve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městě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zůstanou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Jako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hlavní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důvody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pro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studium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Brně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uvádějí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vyšší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kvalitu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univerzit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dobrou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dostupnost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ze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Slovenska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ale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také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blízkost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mezi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oběma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národy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Největší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zájem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je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mezi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Slováky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o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studium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informatických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oborů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837221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837221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"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První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rok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jsem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studovala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současně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univerzitu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Slovensku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a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Masarykovu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univerzitu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(MU). V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Brně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je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rozhodně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lepší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přístup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učitelů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samotné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studium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které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není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jen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o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teorii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jak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to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bylo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slovenské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univerzitě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,"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řekla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ČTK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studentka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Fakulty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sociálních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studií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MU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Lenka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Haniková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837221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837221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Největší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zastoupení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slovenských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studentů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ze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všech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brněnských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univerzit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má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právě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MU,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kde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studuje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více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než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5300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Slováků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Je to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zhruba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17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procent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ze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všech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studentů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univerzity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 "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Největší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zájem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mají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slovenští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studenti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o </w:t>
      </w:r>
      <w:proofErr w:type="spellStart"/>
      <w:r w:rsidRPr="00837221">
        <w:rPr>
          <w:rFonts w:ascii="Verdana" w:eastAsia="Times New Roman" w:hAnsi="Verdana" w:cs="Times New Roman"/>
          <w:color w:val="DC143C"/>
          <w:sz w:val="18"/>
          <w:szCs w:val="18"/>
          <w:bdr w:val="none" w:sz="0" w:space="0" w:color="auto" w:frame="1"/>
          <w:shd w:val="clear" w:color="auto" w:fill="F6F6F6"/>
          <w:lang w:eastAsia="en-GB"/>
        </w:rPr>
        <w:t>fakultu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 </w:t>
      </w:r>
      <w:proofErr w:type="spellStart"/>
      <w:r w:rsidRPr="00837221">
        <w:rPr>
          <w:rFonts w:ascii="Verdana" w:eastAsia="Times New Roman" w:hAnsi="Verdana" w:cs="Times New Roman"/>
          <w:color w:val="DC143C"/>
          <w:sz w:val="18"/>
          <w:szCs w:val="18"/>
          <w:bdr w:val="none" w:sz="0" w:space="0" w:color="auto" w:frame="1"/>
          <w:shd w:val="clear" w:color="auto" w:fill="F6F6F6"/>
          <w:lang w:eastAsia="en-GB"/>
        </w:rPr>
        <w:t>informatiky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kde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představují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polovinu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studentů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,"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uvedla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mluvčí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MU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Tereza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Fojtová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837221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837221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Slovenští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studenti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se v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Brně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cítí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dobře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 "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Nepřipadám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si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tady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jako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cizinka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Už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jen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proto,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že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tu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mám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plno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známých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z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Prešova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kde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jsem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se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narodila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Nikdy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se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nestalo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že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by mi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někdo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naznačil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že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sem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nepatřím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,"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dodala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Haniková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837221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837221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Podle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studenta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Fakulty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strojního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inženýrství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Vysokého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učení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technického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(VUT)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Jána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Husára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jsou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Slovensko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a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Česko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blízké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národy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což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cítí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ve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škole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S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českými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studenty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si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dobře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rozumí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Problém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vidí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odlišné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měně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 "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Studium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se pro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nás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stává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kvůli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posilování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koruny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dražším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,"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řekl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Husár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Na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brněnské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technice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studuje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3300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Slováků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z 20.000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studentů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I tam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mají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Slováci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největší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zájem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o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studium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informatiky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837221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837221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Podle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slovenských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studentů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jim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univerzity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vycházejí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vstříc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Testy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seminární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práce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mohou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psát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ve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svém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jazyce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Přístup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vyučujících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je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podle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studenta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strojírenství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individuální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 "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Mám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zkušenost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jedním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učitelem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kterém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bylo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poznat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že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mu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slovenští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studenti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vadí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zbytek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učitelů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ale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žádné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problémy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nemá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,"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dodal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Husár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837221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837221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Podle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studentky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Provozně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ekonomické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fakulty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(PEF)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Mendelovy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univerzity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Kataríny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Dlhé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učitelé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slovenské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studenty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neberou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jako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cizince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a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nedělají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rozdíly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Mendelovu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univerzitu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navštěvuje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deset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procent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slovenských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studentů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z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celkových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9000.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Nejvíce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jich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studuje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PEF,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jejíž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součástí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je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také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obor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informatika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"Na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fakultě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je dost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slovenských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učitelů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ale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češtinu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už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jsem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si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zvykla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,"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dodala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Dlhá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837221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837221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Podle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výzkumu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studentů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z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Ekonomicko-správní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fakulty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MU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má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město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kraj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ze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slovenských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studentů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ekonomický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profit. V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roce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2015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studovalo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MU 5500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Slováků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přičemž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roční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přínos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pro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město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výzkum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vyčíslil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118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milionů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korun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837221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837221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URL| </w:t>
      </w:r>
      <w:hyperlink r:id="rId5" w:history="1">
        <w:r w:rsidRPr="00E7196E">
          <w:rPr>
            <w:rStyle w:val="Hypertextovodkaz"/>
            <w:rFonts w:ascii="Verdana" w:eastAsia="Times New Roman" w:hAnsi="Verdana" w:cs="Times New Roman"/>
            <w:sz w:val="18"/>
            <w:szCs w:val="18"/>
            <w:shd w:val="clear" w:color="auto" w:fill="FFFFFF"/>
            <w:lang w:eastAsia="en-GB"/>
          </w:rPr>
          <w:t>http://www.reflex.cz/clanek/83433/slovaci-stale-zaplavuji-brnenske-vysoke-skoly-jako-cizinci-se-neciti</w:t>
        </w:r>
      </w:hyperlink>
    </w:p>
    <w:sectPr w:rsidR="00AA37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3C"/>
    <w:rsid w:val="005D223C"/>
    <w:rsid w:val="00AA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AE4E8-925E-4C38-8AB1-6EB4EDD8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22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D22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flex.cz/clanek/83433/slovaci-stale-zaplavuji-brnenske-vysoke-skoly-jako-cizinci-se-neciti" TargetMode="External"/><Relationship Id="rId4" Type="http://schemas.openxmlformats.org/officeDocument/2006/relationships/hyperlink" Target="http://www.reflex.cz/clanek/83433/slovaci-stale-zaplavuji-brnenske-vysoke-skoly-jako-cizinci-se-necit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x333356</dc:creator>
  <cp:keywords/>
  <dc:description/>
  <cp:lastModifiedBy>x333356</cp:lastModifiedBy>
  <cp:revision>1</cp:revision>
  <dcterms:created xsi:type="dcterms:W3CDTF">2018-02-09T09:36:00Z</dcterms:created>
  <dcterms:modified xsi:type="dcterms:W3CDTF">2018-02-09T09:36:00Z</dcterms:modified>
</cp:coreProperties>
</file>