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1D" w:rsidRDefault="004D50F5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Na 10 mužů v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it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připadá jedna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žena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Profi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HR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20.11.2018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Ženy v IT | Strana: 40 | Autor: 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begin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instrText xml:space="preserve"> HYPERLINK "http://imm.newtonit.cz/muni/search.asp?waz=%22%22" </w:instrText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cvr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end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odbornice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se v Česku potýkají s až desetinásobnou převahou mužů. V grafických oborech, ale i v programování přitom často předčí své kolegy a firmy už to vědí. Mnohé dívky však od studia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odrazuje stereotyp, že pro takové vzdělání nemají vlohy.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 údajů Českého statistického úřadu vyplývá, že v Česku v roce 2017 pracovalo celkem 185,6 tisíce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odborníků, z toho 17,8 tisíce žen. Ještě v roce 1995 nebyl poměr obou pohlaví tak propastný: na dva muže připadala jedna žena. Ovšem během sledovaných dvanácti let počet mužských odborníků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narostl více než čtyřnásobně, zatímco počet žen klesl o téměř 13 procent.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Podle Jitky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Hausenblasové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organizace Gender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ale ve skutečnosti dlouhodobý trend nízkého zastoupení žen v oborech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příliš nemění a konstantně se pohybuje kolem 12 procent. „V horizontu posledních 20 let sice ve statistikách došlo k poklesu, ovšem to bylo dáno do značné míry tím, že v začátcích rozvoje informačních technologií bylo mnohem více nekvalifikovaných, řekněme obslužných míst, na kterých pracovaly hlavně ženy, eliminací těchto míst s vývojem technologií kleslo i procento žen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vysvětlila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Hausenblasová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 roku 1995 do současnosti se podíl všech odborníků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na celkovém počtu zaměstnaných osob v Česku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ztrojnásobil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V případě žen však i tak panuje setrvale nízký stav.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ROZDÍLY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PANUJÍ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UŽ NA ZÁKLADNÍ ŠKOLE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Jaké faktory tedy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ovlivňují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stávající situaci? Velká míra segregace mužů a žen je patrná na úrovni sekundárního a terciárního vzdělávání. V roce 2015 studovalo na úrovni terciárního vzdělávání některý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oborů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bezmála 20 tisíc studentů, z toho 3146 žen. Toto nízké zastoupení žen v oborech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dlouhodobě stagnuje a lze srovnat pouze s poměry strojních fakult. Problém ovšem dosahuje až do primárního vzdělávání, tedy na první stupeň základních škol – v základních školách s rozšířenou výukou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mají značnou převahu chlapci nad dívkami už od prvních tříd.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„Ve společnosti koluje řada mýtů o profesích v informačních technologiích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amínění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že jsou vhodné více pro chlapce, je tím nejrozšířenějším. Obecně se setkáváme s nízkým sebevědomím děvčat, která nevěří ve své technologické schopnosti a při rozhodování o střední škole kolem 14. roku dají mnohdy přednost všeobecnému nebo humanitnímu zaměření. Je to však neopodstatněné,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vmnoha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případech dívky logickým a strategickým myšlením chlapce předčí,“ poukázal Martin Vodička, ředitel Soukromé střední školy výpočetní techniky na pražském Proseku. Od vzniku školy v roce 1994 se počet zde studujících dívek pohybuje konstantně mezi pěti až deseti procenty všech studentů.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 všude však mají dívky „štěstí“ na osvícené učitele, jak upozorňuje Jitka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Hausenblasová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vše začíná u přesvědčení v rodině a okolí. „Stereotypní myšlení, že některé obory jsou vhodnější pro dívky a jiné pro chlapce, je latentně skryto v každodenní výchově v rodině i ve škole.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někdy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jsou ale tyto předsudky vyjádřeny naprosto explicitně a dívky jsou od techniky přímo odrazovány. Pro ilustraci uvedu citaci jedné středoškolačky: ‚zajímají mě technické předměty. V minulém roce jsem se jako několik dalších spolužáků – chlapců účastnila matematických a fyzikálních olympiád, nedopadla jsem nejlépe, ale zároveň moje výsledky nebyly až tak otřesné.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letošním roce, když mají profesoři těchto předmětů navrhnout letošní účastníky, volí kluky – i ty, kteří skončili hůř‘,“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citovala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jeden z mnoha případů Jitka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Hausenblasová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VYŽADUJE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„MUŽSKÉ“ VLASTNOSTI?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Genderové stereotypy nejenže brání pronikání žen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oborů, ale přispívají také k prohlubování segregace uvnitř těchto oborů. Obor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sebou nese podobně jako další technické obory zátěž v podobě zažitých představ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o„mužském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“ povolání, ve kterém jsou oceňovány opět stereotypně mužské vlastnosti a dovednosti – logické a analytické myšlení, flexibilita nebo matematické schopnosti. Při bližším pohledu na práci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specialistů v praxi však objevíme také zásadní požadavky na trpělivost, multitasking, komunikativnost – tedy vlastnosti tradičně označované jako ženské. Svoji „ženskou“ komunikativnost a pečlivost však obvykle ženy uplatňují pouze v kontaktu s koncovým uživatelem jako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technická podpora.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„na druhou stranu, když už se dívka ke studiu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odhodlá, v převaze chlapců ji máloco rozhodí. V praxi se vyžaduje samostatnost, organizovanost a disciplína, aby byl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odborník schopen nalézt vlastní cestu k řešení problému a precizně ji naplnil. Takovou schopnost někdy postrádají i nejlepší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zatímco dívky ji mívají přirozeně v sobě,“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upozornil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ředitel Martin Vodička.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Podle jeho zkušeností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tíhne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většina studentek ke grafice, která je velmi dynamickým oborem. Mohou těžit z lepší trpělivosti, smyslu pro detail a většinou i silnějšího estetického cítění. Proto v ní také často dosahují lepších výsledků než chlapci.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některé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dívky jsou ale také velmi schopné ve správě počítačových sítí a v programování, kde vyniká jejich logické myšlení.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ŽENY AJŤAČKY JSOU VYVAŽOVÁNY ZLATEM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nedostatek studentek a absolventek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logicky promítá i na pracovní trh.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odbornice bývají pro svoji jedinečnost ve firmách velmi hýčkané. Tzv.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softskills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jsou v pracovních kolektivech stejně důležité jako technologické znalosti, a právě v těch ženy často nad muži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vynikají. Ve vývoji aplikací uplatňují schopnost vcítit se do pocitu uživatele, zaměstnavateli je ceněná jejich vstřícná komunikace a sociální cítění, empatie nebo cit pro detail, to všechno jsou vlastnosti vrozené spíše ženám. Do ryze mužských týmů v technických firmách tak mohou ženy vnést jiný pohled na věc, spolupráci a kreativitu. Firmy pak mohou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ajťačkám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oplátku nabídnout volnější pracovní závazky, než skýtají jiné pozice mimo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„Studentka se základem v programování a tvorbou webů je připravena pracovat v mnoha odvětvích, může si vybírat podle svých preferencí, dnes potřebuje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každá firma s i jen dvěma třemi počítači. Většina žen, které založí rodinu, si přeje práci s flexibilní pracovní dobou nebo práci z domova a právě takové skloubení kariéry a rodiny mnohdy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vzdělání umožňuje,“ soudí Martin Vodička.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STÁLE EXISTUJÍ PŘEKÁŽKY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Jenže vstupu do pro ženy netypického povolání a setrvání v něm mohou bránit i organizační bariéry firmy, například mechanismy výběru a náboru nových pracovníků.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nejlépe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lze ilustrovat na inzerování pracovních pozic, kdy mohou potenciální uchazečky názvy pozic uvedené pouze v mužském rodě jednoduše odradit, stejně jako špatně zvolená vizualizace.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Důvody rozmachu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byly potřeby inženýrství a průmyslu, tedy oblastí s historickou dominancí mužů. A jako mužský svět je oblast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vnímána dodnes. Při současném žalostném nedostatku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odborníků se však tato nerovnováha pohlaví stává palčivým problémem, který, jak bylo uvedeno už na začátku článku, začíná už na školách.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„V dlouhodobém horizontu se nepochybně firmám vyplatí pracovat s dívkami již od útlého věku prostřednictvím nejrůznějších výchovných aktivit, třeba pořádáním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Girls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dnu otevřených dveří pouze pro dívky.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poli vzdělávání se některé vysoké školy už také snaží trend nízkého zastoupení žen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zvrátit, nicméně lákat ženy pro studium technických oborů v posledním ročníku na střední škole už je pozdě. S popularizací a přizpůsobením technických oborů tak, aby byly atraktivní i pro dívky, je třeba začít už daleko dříve, nejlépe v mateřských školách,“ podotkla Jitka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Hausenblasová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×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Tab1: Odborníci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v ČR mezi lety 1995–2017 (v tisících)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 1995 2000 2005 2010 2015 2016 2017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 odborníci celkem 59,5 72,5 78,7 121,6 173,9 185,3 185,6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muži 39,2 55,4 66,1 108,7 157,3 167,8 167,8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ženy 20,4 17,1 12,6 12,9 16,6 17,5 17,8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podíl na celkovém 1,2 % 1,5 % 1,7 % 2,5 % 3,4 % 3,6 % 3,6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počtu zaměstnaných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osob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čR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ZDROJ: ČSÚ, ICT ODBORNÍCI V ČESKÉ REPUBLICE PODLE ÚDAJŮ Z VÝBĚROVÉHO ŠETŘENÍ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Tab2: Počet studentů ICT oborů na vysokých školách v ČR (v tisících)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 2010 2011 2012 2013 2014 2015 2016 2017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celkem 25 709 25 797 25 198 24 731 23 308 21 482 20 502 19 994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muži 22 750 22 509 21 878 21 379 20 000 18 390 17 358 16 848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ženy 2 959 3 288 3 320 3 352 3 308 3 092 3 144 3 146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ZDROJ: ČSÚ, POČET STUDENTŮ ICT OBORŮ NA VYSOKÝCH ŠKOLÁCH V ČR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Obecně se setkáváme s nízkým sebevědomím děvčat, která nevěří ve své technologické schopnosti a při rozhodování o střední škole kolem 14. roku dají mnohdy přednost všeobecnému nebo humanitnímu zaměření. V dlouhodobém horizontu se nepochybně firmám vyplatí pracovat s dívkami již od útlého věku prostřednictvím nejrůznějších výchovných aktivit, třeba pořádáním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Girls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dnu otevřených dveří pouze pro dívky.</w:t>
      </w:r>
      <w:bookmarkStart w:id="0" w:name="_GoBack"/>
      <w:bookmarkEnd w:id="0"/>
    </w:p>
    <w:sectPr w:rsidR="0001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5"/>
    <w:rsid w:val="0001091D"/>
    <w:rsid w:val="004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D9990-B283-4188-A477-6827DB5C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4D50F5"/>
  </w:style>
  <w:style w:type="character" w:customStyle="1" w:styleId="zdroj">
    <w:name w:val="zdroj"/>
    <w:basedOn w:val="Standardnpsmoodstavce"/>
    <w:rsid w:val="004D50F5"/>
  </w:style>
  <w:style w:type="character" w:styleId="Hypertextovodkaz">
    <w:name w:val="Hyperlink"/>
    <w:basedOn w:val="Standardnpsmoodstavce"/>
    <w:uiPriority w:val="99"/>
    <w:semiHidden/>
    <w:unhideWhenUsed/>
    <w:rsid w:val="004D5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19112018%26cal2%3D1712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9%26wqfm%3D11%26wqfy%3D2018%26wqtd%3D17%26wqtm%3D12%26wqty%3D2018%26wqfa%3D0%26wkt%3D%26ws%3D%26wzns%3D50%26wp%3D0%26wcz%3D66&amp;nm=Profi+H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2018-12-17T12:01:00Z</dcterms:created>
  <dcterms:modified xsi:type="dcterms:W3CDTF">2018-12-17T12:02:00Z</dcterms:modified>
</cp:coreProperties>
</file>