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86" w:rsidRDefault="00135E86" w:rsidP="00135E86">
      <w:pPr>
        <w:pBdr>
          <w:bottom w:val="single" w:sz="12" w:space="4" w:color="CECECE"/>
        </w:pBdr>
        <w:shd w:val="clear" w:color="auto" w:fill="FFFFFF"/>
        <w:spacing w:after="180" w:line="288" w:lineRule="atLeast"/>
        <w:outlineLvl w:val="1"/>
        <w:rPr>
          <w:rFonts w:ascii="Arial" w:eastAsia="Times New Roman" w:hAnsi="Arial" w:cs="Arial"/>
          <w:color w:val="4D4D4D"/>
          <w:sz w:val="36"/>
          <w:szCs w:val="36"/>
          <w:lang w:eastAsia="cs-CZ"/>
        </w:rPr>
      </w:pPr>
      <w:bookmarkStart w:id="0" w:name="_GoBack"/>
      <w:bookmarkEnd w:id="0"/>
    </w:p>
    <w:p w:rsidR="00135E86" w:rsidRPr="00135E86" w:rsidRDefault="00135E86" w:rsidP="00135E86">
      <w:pPr>
        <w:pBdr>
          <w:bottom w:val="single" w:sz="12" w:space="4" w:color="CECECE"/>
        </w:pBdr>
        <w:shd w:val="clear" w:color="auto" w:fill="FFFFFF"/>
        <w:spacing w:after="180" w:line="288" w:lineRule="atLeast"/>
        <w:outlineLvl w:val="1"/>
        <w:rPr>
          <w:rFonts w:ascii="Arial" w:eastAsia="Times New Roman" w:hAnsi="Arial" w:cs="Arial"/>
          <w:color w:val="4D4D4D"/>
          <w:sz w:val="24"/>
          <w:szCs w:val="24"/>
          <w:lang w:eastAsia="cs-CZ"/>
        </w:rPr>
      </w:pPr>
      <w:r w:rsidRPr="00135E86">
        <w:rPr>
          <w:rFonts w:ascii="Arial" w:eastAsia="Times New Roman" w:hAnsi="Arial" w:cs="Arial"/>
          <w:color w:val="4D4D4D"/>
          <w:sz w:val="24"/>
          <w:szCs w:val="24"/>
          <w:lang w:eastAsia="cs-CZ"/>
        </w:rPr>
        <w:t xml:space="preserve">Zdroj: </w:t>
      </w:r>
      <w:hyperlink r:id="rId4" w:history="1">
        <w:r w:rsidRPr="00135E86">
          <w:rPr>
            <w:rStyle w:val="Hypertextovodkaz"/>
            <w:sz w:val="24"/>
            <w:szCs w:val="24"/>
          </w:rPr>
          <w:t>https://vedavyzkum.cz/z-domova/z-domova/grantova-agentura-muni-podporuje-vyzkum-uz-7-let</w:t>
        </w:r>
      </w:hyperlink>
    </w:p>
    <w:p w:rsidR="00135E86" w:rsidRPr="00135E86" w:rsidRDefault="00135E86" w:rsidP="00135E86">
      <w:pPr>
        <w:pBdr>
          <w:bottom w:val="single" w:sz="12" w:space="4" w:color="CECECE"/>
        </w:pBdr>
        <w:shd w:val="clear" w:color="auto" w:fill="FFFFFF"/>
        <w:spacing w:after="180" w:line="288" w:lineRule="atLeast"/>
        <w:outlineLvl w:val="1"/>
        <w:rPr>
          <w:rFonts w:ascii="Arial" w:eastAsia="Times New Roman" w:hAnsi="Arial" w:cs="Arial"/>
          <w:color w:val="4D4D4D"/>
          <w:sz w:val="36"/>
          <w:szCs w:val="36"/>
          <w:lang w:eastAsia="cs-CZ"/>
        </w:rPr>
      </w:pPr>
      <w:r w:rsidRPr="00135E86">
        <w:rPr>
          <w:rFonts w:ascii="Arial" w:eastAsia="Times New Roman" w:hAnsi="Arial" w:cs="Arial"/>
          <w:color w:val="4D4D4D"/>
          <w:sz w:val="36"/>
          <w:szCs w:val="36"/>
          <w:lang w:eastAsia="cs-CZ"/>
        </w:rPr>
        <w:t>Grantová agentura MUNI podporuje výzkum už 7 let</w:t>
      </w:r>
    </w:p>
    <w:p w:rsidR="00135E86" w:rsidRPr="00135E86" w:rsidRDefault="00135E86" w:rsidP="00135E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999999"/>
          <w:sz w:val="17"/>
          <w:szCs w:val="17"/>
          <w:lang w:eastAsia="cs-CZ"/>
        </w:rPr>
        <w:t>9. 7. 2019</w:t>
      </w:r>
    </w:p>
    <w:p w:rsidR="00135E86" w:rsidRPr="00135E86" w:rsidRDefault="00135E86" w:rsidP="00135E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  <w:lang w:eastAsia="cs-CZ"/>
        </w:rPr>
      </w:pPr>
      <w:hyperlink r:id="rId5" w:history="1">
        <w:r w:rsidRPr="00135E86">
          <w:rPr>
            <w:rFonts w:ascii="Arial" w:eastAsia="Times New Roman" w:hAnsi="Arial" w:cs="Arial"/>
            <w:color w:val="DA243D"/>
            <w:sz w:val="17"/>
            <w:szCs w:val="17"/>
            <w:bdr w:val="single" w:sz="6" w:space="2" w:color="EDEDED" w:frame="1"/>
            <w:lang w:eastAsia="cs-CZ"/>
          </w:rPr>
          <w:t>Tisk </w:t>
        </w:r>
      </w:hyperlink>
      <w:hyperlink r:id="rId6" w:history="1">
        <w:r w:rsidRPr="00135E86">
          <w:rPr>
            <w:rFonts w:ascii="Arial" w:eastAsia="Times New Roman" w:hAnsi="Arial" w:cs="Arial"/>
            <w:color w:val="DA243D"/>
            <w:sz w:val="17"/>
            <w:szCs w:val="17"/>
            <w:bdr w:val="single" w:sz="6" w:space="2" w:color="EDEDED" w:frame="1"/>
            <w:lang w:eastAsia="cs-CZ"/>
          </w:rPr>
          <w:t>Email</w:t>
        </w:r>
      </w:hyperlink>
    </w:p>
    <w:p w:rsidR="00135E86" w:rsidRPr="00135E86" w:rsidRDefault="00135E86" w:rsidP="00135E8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</w:pPr>
      <w:r w:rsidRPr="00135E86">
        <w:rPr>
          <w:rFonts w:ascii="Arial" w:eastAsia="Times New Roman" w:hAnsi="Arial" w:cs="Arial"/>
          <w:b/>
          <w:bCs/>
          <w:noProof/>
          <w:color w:val="444444"/>
          <w:sz w:val="27"/>
          <w:szCs w:val="27"/>
          <w:lang w:eastAsia="cs-CZ"/>
        </w:rPr>
        <w:drawing>
          <wp:inline distT="0" distB="0" distL="0" distR="0">
            <wp:extent cx="952500" cy="952500"/>
            <wp:effectExtent l="0" t="0" r="0" b="0"/>
            <wp:docPr id="2" name="Obrázek 2" descr="Grantová agentura MUNI podporuje výzkum už 7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tová agentura MUNI podporuje výzkum už 7 l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E86" w:rsidRPr="00135E86" w:rsidRDefault="00135E86" w:rsidP="00135E86">
      <w:pPr>
        <w:shd w:val="clear" w:color="auto" w:fill="FFFFFF"/>
        <w:spacing w:before="150" w:after="150" w:line="360" w:lineRule="atLeast"/>
        <w:jc w:val="both"/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</w:pPr>
      <w:r w:rsidRPr="00135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  <w:t>První sedmiletku má za sebou interní Grantová agentura Masarykovy univerzity (GAMU), která do loňského roku v rámci oblasti podpory výzkumu pomohla už téměř stovce projektů, mezi které rozdělila přes 160 milionů korun. Největší část se přitom rozdělila prostřednictvím pěti výzkumných programů podporujících především excelentní výzkum.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noProof/>
          <w:color w:val="666666"/>
          <w:sz w:val="23"/>
          <w:szCs w:val="23"/>
          <w:lang w:eastAsia="cs-CZ"/>
        </w:rPr>
        <w:drawing>
          <wp:inline distT="0" distB="0" distL="0" distR="0">
            <wp:extent cx="5715000" cy="2857500"/>
            <wp:effectExtent l="0" t="0" r="0" b="0"/>
            <wp:docPr id="1" name="Obrázek 1" descr="laborator ceitec 790x395 2305718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borator ceitec 790x395 2305718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Už od startu GAMU funguje podpora mezioborových výzkumných projektů, která se především snaží propojovat různá pracoviště a fakulty, a hledat tak originální řešení. Interní agentura podporuje také specifický studentský výzkum a vědecké konference a v rámci programu rektora pak studentské časopisy a vynikající diplomové práce.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Její hlavní náplní je ale pomoc vědcům. Aktuálně tak činí prostřednictvím programu podpory zvýšení kvality vynikající výsledků, který pomáhá v dotažení publikování jejich výsledků v prestižních časopisech, přes podporu přípravy mezinárodních grantů, financováním individuálních projektů hraničního výzkumu, jejichž řešitelé mají šanci získat v budoucnu například grant Evropské výzkumné rady (ERC), a v poslední době také </w:t>
      </w: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lastRenderedPageBreak/>
        <w:t>prostřednictvím </w:t>
      </w:r>
      <w:hyperlink r:id="rId9" w:tgtFrame="_blank" w:history="1"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 xml:space="preserve">MUNI </w:t>
        </w:r>
        <w:proofErr w:type="spellStart"/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>Award</w:t>
        </w:r>
        <w:proofErr w:type="spellEnd"/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 xml:space="preserve"> in Science and </w:t>
        </w:r>
        <w:proofErr w:type="spellStart"/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>Humanities</w:t>
        </w:r>
        <w:proofErr w:type="spellEnd"/>
      </w:hyperlink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, který láká na Masarykovu univerzitu špičkové vědce.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Už od startu GAMU funguje také podpora mezioborových výzkumných projektů, která se především snaží propojovat různá pracoviště a fakulty, a hledat tak originální řešení. Týmy mohou získat na svůj projekt až pět milionů korun na maximálně tři roky.</w:t>
      </w:r>
      <w:r w:rsidRPr="00135E86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 „Za sedm let muselo na 80 zapojených hodnotitelů zvážit 176 návrhů projektů, z nichž 30 nakonec podporu získalo,“</w:t>
      </w: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uvedl prorektor pro výzkum </w:t>
      </w:r>
      <w:hyperlink r:id="rId10" w:tgtFrame="_blank" w:history="1"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>Petr Dvořák</w:t>
        </w:r>
      </w:hyperlink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při červnovém představení výsledků čtyř mezioborových projektů v rámci závěrečné hodnotící konference GAMU.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Mezi prezentované projekty patřil výzkum vedený Fakultou sociálních studií MU nazvaný „</w:t>
      </w:r>
      <w:r w:rsidRPr="00135E86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Rusko v kategoriích přítel vs. Nepřítel: česká reflexe</w:t>
      </w: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“, dále studie na téma </w:t>
      </w:r>
      <w:r w:rsidRPr="00135E86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„Vliv kartografické vizualizace na úspěšnost řešení praktických a výukových prostorových úloh“</w:t>
      </w: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koordinované Pedagogickou fakultou MU, potom „</w:t>
      </w:r>
      <w:r w:rsidRPr="00135E86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 xml:space="preserve">Analýza gastrointestinálního </w:t>
      </w:r>
      <w:proofErr w:type="spellStart"/>
      <w:r w:rsidRPr="00135E86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mikrobiomu</w:t>
      </w:r>
      <w:proofErr w:type="spellEnd"/>
      <w:r w:rsidRPr="00135E86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 xml:space="preserve"> u pacientů s běžnou variabilní imunodeficiencí“</w:t>
      </w: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vedená Lékařskou fakultou MU a na konec Fakultou informatiky MU řízený projekt na vizualizaci proteinových komplexů.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Jako nejlepší z nich vyhodnotila komise projekt věnující se vztahům Česka a Ruska, který získal nejlepší známku A. Zbylé tři projekty dostaly známku B.</w:t>
      </w:r>
    </w:p>
    <w:p w:rsidR="00135E86" w:rsidRPr="00135E86" w:rsidRDefault="00135E86" w:rsidP="00135E86">
      <w:pPr>
        <w:shd w:val="clear" w:color="auto" w:fill="FFFFFF"/>
        <w:spacing w:before="300" w:after="75" w:line="240" w:lineRule="auto"/>
        <w:jc w:val="both"/>
        <w:outlineLvl w:val="3"/>
        <w:rPr>
          <w:rFonts w:ascii="Arial" w:eastAsia="Times New Roman" w:hAnsi="Arial" w:cs="Arial"/>
          <w:color w:val="4D4D4D"/>
          <w:sz w:val="24"/>
          <w:szCs w:val="24"/>
          <w:lang w:eastAsia="cs-CZ"/>
        </w:rPr>
      </w:pPr>
      <w:r w:rsidRPr="00135E86">
        <w:rPr>
          <w:rFonts w:ascii="Arial" w:eastAsia="Times New Roman" w:hAnsi="Arial" w:cs="Arial"/>
          <w:color w:val="4D4D4D"/>
          <w:sz w:val="24"/>
          <w:szCs w:val="24"/>
          <w:lang w:eastAsia="cs-CZ"/>
        </w:rPr>
        <w:t>Rusko versus Česko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Studii vztahů s Ruskem, na níž se podíleli odborníci z Fakulty sociálních studií, Filozofické fakulty a Ekonomicko-správní fakulty MU i Akademie věd ČR, představil politolog </w:t>
      </w:r>
      <w:hyperlink r:id="rId11" w:tgtFrame="_blank" w:history="1"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 xml:space="preserve">Jan </w:t>
        </w:r>
        <w:proofErr w:type="spellStart"/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>Holzer</w:t>
        </w:r>
        <w:proofErr w:type="spellEnd"/>
      </w:hyperlink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 Zabývali se aktuálními bezpečnostními rozměry česko-ruských vztahů z různých pohledů.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„Snažili jsme se o aplikaci konceptu hybridního konfliktu na tento vztah, což je aktuální záležitost, kdy se změnila strategie, jak útočit na druhé v rámci mezinárodních vztahů. V této otázce se všichni soustředí na to, jak to dělají vnější aktéři, ale podle nás spočívá úspěšnost hybridních strategií v tom, na koho jsou namířené, zda je na druhé straně cílový aktér, který takovým aktivitám naslouchá. Česká republika je v tomto smyslu výborný příklad, protože tady publikum pro ruskou kampaň existuje z mnoha historických, jazykových, ekonomických i dalších důvodů,“</w:t>
      </w: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 uvedl </w:t>
      </w:r>
      <w:proofErr w:type="spellStart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Holzer</w:t>
      </w:r>
      <w:proofErr w:type="spellEnd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Z několika výstupů projekt vyzdvihl dvě knihy, z nichž první věnovaná militantnímu pravicovému extremismu v Rusku </w:t>
      </w:r>
      <w:hyperlink r:id="rId12" w:tgtFrame="_blank" w:history="1"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 xml:space="preserve">vyšla loni v britském nakladatelství </w:t>
        </w:r>
        <w:proofErr w:type="spellStart"/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>Routledge</w:t>
        </w:r>
        <w:proofErr w:type="spellEnd"/>
      </w:hyperlink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a letos se připravuje u dalšího prestižního britského nakladatelství titul</w:t>
      </w:r>
      <w:r w:rsidRPr="00135E86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 „Ve stínu Ruska: Česká republika a malé středoevropské země.“</w:t>
      </w: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 Závěry v ní </w:t>
      </w:r>
      <w:proofErr w:type="spellStart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Holzer</w:t>
      </w:r>
      <w:proofErr w:type="spellEnd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shrnul tak, že potenciál Ruska pohybovat se na mezinárodním poli a mít tam nějaký vliv je dán především tím, jak silná či slabá je v daném tématu druhá strana.</w:t>
      </w:r>
    </w:p>
    <w:p w:rsidR="00135E86" w:rsidRPr="00135E86" w:rsidRDefault="00135E86" w:rsidP="00135E86">
      <w:pPr>
        <w:shd w:val="clear" w:color="auto" w:fill="FFFFFF"/>
        <w:spacing w:before="300" w:after="75" w:line="240" w:lineRule="auto"/>
        <w:jc w:val="both"/>
        <w:outlineLvl w:val="3"/>
        <w:rPr>
          <w:rFonts w:ascii="Arial" w:eastAsia="Times New Roman" w:hAnsi="Arial" w:cs="Arial"/>
          <w:color w:val="4D4D4D"/>
          <w:sz w:val="24"/>
          <w:szCs w:val="24"/>
          <w:lang w:eastAsia="cs-CZ"/>
        </w:rPr>
      </w:pPr>
      <w:r w:rsidRPr="00135E86">
        <w:rPr>
          <w:rFonts w:ascii="Arial" w:eastAsia="Times New Roman" w:hAnsi="Arial" w:cs="Arial"/>
          <w:color w:val="4D4D4D"/>
          <w:sz w:val="24"/>
          <w:szCs w:val="24"/>
          <w:lang w:eastAsia="cs-CZ"/>
        </w:rPr>
        <w:t>Jak se spojují proteiny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Téma mezinárodních vztahů vystřídal projekt, který se také věnoval interakci, ale na úrovni molekul. Představila jej </w:t>
      </w:r>
      <w:hyperlink r:id="rId13" w:tgtFrame="_blank" w:history="1"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>Barbora Kozlíková</w:t>
        </w:r>
      </w:hyperlink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z Fakulty informatiky MU, šlo o společnou práci s přírodovědci. Jejím hlavním cílem bylo vytvořit nástroj pro prostorovou vizualizaci proteinových komplexů a především míst, kde spolu dané proteiny interagují, což může pomoci v návrzích průmyslově či medicínsky využitelných komplexů.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„Dnes slouží odborníkům desítky výpočetních systémů, které předpovídají, jak mohou být proteiny vůči sobě navzájem postavené a jak mohou interagovat. Jejich problém je, že mohou produkovat desítky až stovky možných řešení, které pak musí vědci postupně prověřit, zda jsou biochemicky relevantní,“</w:t>
      </w: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přiblížila řešený problém Kozlíková.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lastRenderedPageBreak/>
        <w:t>Právě toto zdlouhavé zkoumání chtěli odborníci obejít, a vytvořili tak volně dostupný nástroj nazvaný </w:t>
      </w:r>
      <w:hyperlink r:id="rId14" w:tgtFrame="_blank" w:history="1"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>COZOID</w:t>
        </w:r>
      </w:hyperlink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(</w:t>
      </w:r>
      <w:proofErr w:type="spellStart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COntact</w:t>
      </w:r>
      <w:proofErr w:type="spellEnd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</w:t>
      </w:r>
      <w:proofErr w:type="spellStart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ZOne</w:t>
      </w:r>
      <w:proofErr w:type="spellEnd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</w:t>
      </w:r>
      <w:proofErr w:type="spellStart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IDentifier</w:t>
      </w:r>
      <w:proofErr w:type="spellEnd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</w:t>
      </w:r>
      <w:proofErr w:type="spellStart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for</w:t>
      </w:r>
      <w:proofErr w:type="spellEnd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</w:t>
      </w:r>
      <w:proofErr w:type="spellStart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visual</w:t>
      </w:r>
      <w:proofErr w:type="spellEnd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</w:t>
      </w:r>
      <w:proofErr w:type="spellStart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analysis</w:t>
      </w:r>
      <w:proofErr w:type="spellEnd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</w:t>
      </w:r>
      <w:proofErr w:type="spellStart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of</w:t>
      </w:r>
      <w:proofErr w:type="spellEnd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protein-protein </w:t>
      </w:r>
      <w:proofErr w:type="spellStart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interactions</w:t>
      </w:r>
      <w:proofErr w:type="spellEnd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), který prozkoumává velké sady možných interakcí, jednoduše z nich vybírá relevantní spojení a umožňuje sledovat přímo místo, kde se sledované proteiny propojují.</w:t>
      </w:r>
    </w:p>
    <w:p w:rsidR="00135E86" w:rsidRPr="00135E86" w:rsidRDefault="00135E86" w:rsidP="00135E86">
      <w:pPr>
        <w:shd w:val="clear" w:color="auto" w:fill="FFFFFF"/>
        <w:spacing w:before="300" w:after="75" w:line="240" w:lineRule="auto"/>
        <w:jc w:val="both"/>
        <w:outlineLvl w:val="3"/>
        <w:rPr>
          <w:rFonts w:ascii="Arial" w:eastAsia="Times New Roman" w:hAnsi="Arial" w:cs="Arial"/>
          <w:color w:val="4D4D4D"/>
          <w:sz w:val="24"/>
          <w:szCs w:val="24"/>
          <w:lang w:eastAsia="cs-CZ"/>
        </w:rPr>
      </w:pPr>
      <w:r w:rsidRPr="00135E86">
        <w:rPr>
          <w:rFonts w:ascii="Arial" w:eastAsia="Times New Roman" w:hAnsi="Arial" w:cs="Arial"/>
          <w:color w:val="4D4D4D"/>
          <w:sz w:val="24"/>
          <w:szCs w:val="24"/>
          <w:lang w:eastAsia="cs-CZ"/>
        </w:rPr>
        <w:t>Kartografie ve 3D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Trojrozměrným zobrazováním a jeho interpretací se zabýval třetí projekt, který představili </w:t>
      </w:r>
      <w:hyperlink r:id="rId15" w:tgtFrame="_blank" w:history="1"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>Hana Svatoňová</w:t>
        </w:r>
      </w:hyperlink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za Pedagogickou fakultu MU a </w:t>
      </w:r>
      <w:hyperlink r:id="rId16" w:tgtFrame="_blank" w:history="1"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>Petr Kubíček</w:t>
        </w:r>
      </w:hyperlink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za Přírodovědeckou fakultu MU. Podíleli se na něm také odborníci z Fakulty informatiky a Filozofické fakulty MU a společně se zabývali otázkou, jak stále více využívané 3D zobrazování a jeho různé varianty ovlivňují například orientaci v prostoru či odhadování vzdáleností a dalších rozměrů. Vzhledem k využívání různých metod pro sledování interakce testovaných lidí s úkoly vyvinuli také nové nástroje pro sledování například pohybu očí.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„Věnovali jsme se vnímání prostoru člověkem ve 3D prostředí, odlišnostem při sledování 3D obrázku ve 2D, při sledování trojrozměrného prostředí za pomoci polarizačních brýlí a pak ve virtuální realitě. Ve spolupráci se školami jsme řešili také to, kde může mít nějaký přínos využití virtuální reality,“</w:t>
      </w: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přiblížil práci týmu Kubíček.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Mezi sérii studií patřila například simulace evakuace z budovy, při níž jedna skupina nastudovala standardní evakuační plán a druhá se orientovala podle virtuální prohlídky evakuační cesty. Rozdíl v úspěšnosti sice nebyl nijak velký, ale obě skupiny odlišně interagovaly s okolím a vytvořily si zcela jinou představu. Ta první měla dobrou kontextovou představu o délce trasy a kolikrát například musí zahnout, ale neuměla popsat prostor, druhá skupina si naopak pamatovala různé orientační body v budově.</w:t>
      </w:r>
    </w:p>
    <w:p w:rsidR="00135E86" w:rsidRPr="00135E86" w:rsidRDefault="00135E86" w:rsidP="00135E86">
      <w:pPr>
        <w:shd w:val="clear" w:color="auto" w:fill="FFFFFF"/>
        <w:spacing w:before="300" w:after="75" w:line="240" w:lineRule="auto"/>
        <w:jc w:val="both"/>
        <w:outlineLvl w:val="3"/>
        <w:rPr>
          <w:rFonts w:ascii="Arial" w:eastAsia="Times New Roman" w:hAnsi="Arial" w:cs="Arial"/>
          <w:color w:val="4D4D4D"/>
          <w:sz w:val="24"/>
          <w:szCs w:val="24"/>
          <w:lang w:eastAsia="cs-CZ"/>
        </w:rPr>
      </w:pPr>
      <w:r w:rsidRPr="00135E86">
        <w:rPr>
          <w:rFonts w:ascii="Arial" w:eastAsia="Times New Roman" w:hAnsi="Arial" w:cs="Arial"/>
          <w:color w:val="4D4D4D"/>
          <w:sz w:val="24"/>
          <w:szCs w:val="24"/>
          <w:lang w:eastAsia="cs-CZ"/>
        </w:rPr>
        <w:t xml:space="preserve">Vliv </w:t>
      </w:r>
      <w:proofErr w:type="spellStart"/>
      <w:r w:rsidRPr="00135E86">
        <w:rPr>
          <w:rFonts w:ascii="Arial" w:eastAsia="Times New Roman" w:hAnsi="Arial" w:cs="Arial"/>
          <w:color w:val="4D4D4D"/>
          <w:sz w:val="24"/>
          <w:szCs w:val="24"/>
          <w:lang w:eastAsia="cs-CZ"/>
        </w:rPr>
        <w:t>mikrobiomu</w:t>
      </w:r>
      <w:proofErr w:type="spellEnd"/>
      <w:r w:rsidRPr="00135E86">
        <w:rPr>
          <w:rFonts w:ascii="Arial" w:eastAsia="Times New Roman" w:hAnsi="Arial" w:cs="Arial"/>
          <w:color w:val="4D4D4D"/>
          <w:sz w:val="24"/>
          <w:szCs w:val="24"/>
          <w:lang w:eastAsia="cs-CZ"/>
        </w:rPr>
        <w:t xml:space="preserve"> na imunitu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Poslední hodnocený projekt se věnoval studiu gastrointestinálního </w:t>
      </w:r>
      <w:proofErr w:type="spellStart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mikrobiomu</w:t>
      </w:r>
      <w:proofErr w:type="spellEnd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u pacientů s běžnou variabilní imunodeficiencí, na němž se podíleli vědci z Lékařské fakulty MU, Fakulty informatiky MU a institutu CEITEC.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Pacienti s touto diagnózou mají nízkou hladinu některých protilátek v krvi a jsou náchylní k různým infekcím. Příčiny onemocnění nejsou známé, ale kromě genetických vlivů se na jejím rozvoji podílí i vnější prostředí. </w:t>
      </w:r>
      <w:proofErr w:type="spellStart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Mikrobiom</w:t>
      </w:r>
      <w:proofErr w:type="spellEnd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pak představuje soubor mikroorganismů v těle, které člověka ovlivňují. Kromě toho, že se podílí na metabolismu organismu, bojuje také s patogeny a stimuluje imunitní systém.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Odborníci se proto chtěli podívat na rozdíly v </w:t>
      </w:r>
      <w:proofErr w:type="spellStart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mikrobiomu</w:t>
      </w:r>
      <w:proofErr w:type="spellEnd"/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trávicí soustavy nemocných a zdravých lidí a dívali se na zastoupení nejen jednotlivých druhů bakterií, ale také na jejich souhrnný genom a produkty jejich metabolismu.</w:t>
      </w:r>
      <w:r w:rsidRPr="00135E86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 xml:space="preserve"> „Zjistili jsme, že pacienti mají jen malé odlišnosti v bakteriálním složení </w:t>
      </w:r>
      <w:proofErr w:type="spellStart"/>
      <w:r w:rsidRPr="00135E86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mikrobiomu</w:t>
      </w:r>
      <w:proofErr w:type="spellEnd"/>
      <w:r w:rsidRPr="00135E86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, ale ten obsahuje více unikátních genů, což znamená výrazné funkční změny a produkci odlišných metabolitů,“</w:t>
      </w: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vysvětlil vedoucí projektu </w:t>
      </w:r>
      <w:hyperlink r:id="rId17" w:tgtFrame="_blank" w:history="1"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 xml:space="preserve">David </w:t>
        </w:r>
        <w:proofErr w:type="spellStart"/>
        <w:r w:rsidRPr="00135E86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>Šmajs</w:t>
        </w:r>
        <w:proofErr w:type="spellEnd"/>
      </w:hyperlink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</w:t>
      </w:r>
    </w:p>
    <w:p w:rsidR="00135E86" w:rsidRPr="00135E86" w:rsidRDefault="00135E86" w:rsidP="00135E8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135E86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Zdroj: </w:t>
      </w:r>
      <w:hyperlink r:id="rId18" w:tgtFrame="_blank" w:history="1">
        <w:r w:rsidRPr="00135E86">
          <w:rPr>
            <w:rFonts w:ascii="Arial" w:eastAsia="Times New Roman" w:hAnsi="Arial" w:cs="Arial"/>
            <w:i/>
            <w:iCs/>
            <w:color w:val="DA243D"/>
            <w:sz w:val="23"/>
            <w:szCs w:val="23"/>
            <w:lang w:eastAsia="cs-CZ"/>
          </w:rPr>
          <w:t>Masarykova univerzita</w:t>
        </w:r>
      </w:hyperlink>
    </w:p>
    <w:p w:rsidR="00172937" w:rsidRDefault="00172937"/>
    <w:sectPr w:rsidR="00172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86"/>
    <w:rsid w:val="00135E86"/>
    <w:rsid w:val="0017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F883"/>
  <w15:chartTrackingRefBased/>
  <w15:docId w15:val="{9665F810-F34D-4A7F-A8A4-6E10AC9E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35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35E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5E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35E8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itemdatecreated">
    <w:name w:val="itemdatecreated"/>
    <w:basedOn w:val="Standardnpsmoodstavce"/>
    <w:rsid w:val="00135E86"/>
  </w:style>
  <w:style w:type="character" w:styleId="Hypertextovodkaz">
    <w:name w:val="Hyperlink"/>
    <w:basedOn w:val="Standardnpsmoodstavce"/>
    <w:uiPriority w:val="99"/>
    <w:semiHidden/>
    <w:unhideWhenUsed/>
    <w:rsid w:val="00135E8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3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35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uni.cz/lide/60850-barbora-kozlikova" TargetMode="External"/><Relationship Id="rId18" Type="http://schemas.openxmlformats.org/officeDocument/2006/relationships/hyperlink" Target="https://www.em.muni.cz/veda-a-vyzkum/11848-od-spojovani-proteinu-po-cesko-ruske-vztahy-grantova-agentura-muni-uz-7-let-podporuje-vyzku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routledge.com/Militant-Right-Wing-Extremism-in-Putins-Russia-Legacies-Forms-and/Mares-Larys-Holzer/p/book/9781138592513" TargetMode="External"/><Relationship Id="rId17" Type="http://schemas.openxmlformats.org/officeDocument/2006/relationships/hyperlink" Target="https://www.muni.cz/lide/1116-david-sma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ni.cz/lide/23168-petr-kubice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davyzkum.cz/mailto/component?link=214dd48ab1ed2f00353cf70f413a20db9123b3b5" TargetMode="External"/><Relationship Id="rId11" Type="http://schemas.openxmlformats.org/officeDocument/2006/relationships/hyperlink" Target="https://www.muni.cz/lide/2329-jan-holzer" TargetMode="External"/><Relationship Id="rId5" Type="http://schemas.openxmlformats.org/officeDocument/2006/relationships/hyperlink" Target="https://vedavyzkum.cz/z-domova/z-domova/grantova-agentura-muni-podporuje-vyzkum-uz-7-let/print" TargetMode="External"/><Relationship Id="rId15" Type="http://schemas.openxmlformats.org/officeDocument/2006/relationships/hyperlink" Target="https://www.muni.cz/lide/39149-hana-svatonova" TargetMode="External"/><Relationship Id="rId10" Type="http://schemas.openxmlformats.org/officeDocument/2006/relationships/hyperlink" Target="https://www.muni.cz/lide/47260-petr-dvora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edavyzkum.cz/z-domova/z-domova/grantova-agentura-muni-podporuje-vyzkum-uz-7-let" TargetMode="External"/><Relationship Id="rId9" Type="http://schemas.openxmlformats.org/officeDocument/2006/relationships/hyperlink" Target="https://gamu.muni.cz/mash" TargetMode="External"/><Relationship Id="rId14" Type="http://schemas.openxmlformats.org/officeDocument/2006/relationships/hyperlink" Target="http://decibel.fi.muni.cz/cozoid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1273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2020-01-29T17:36:00Z</dcterms:created>
  <dcterms:modified xsi:type="dcterms:W3CDTF">2020-01-29T17:38:00Z</dcterms:modified>
</cp:coreProperties>
</file>