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86" w:rsidRDefault="00135E86" w:rsidP="00135E86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bookmarkStart w:id="0" w:name="_GoBack"/>
      <w:bookmarkEnd w:id="0"/>
    </w:p>
    <w:p w:rsidR="00135E86" w:rsidRPr="00135E86" w:rsidRDefault="00135E86" w:rsidP="00135E86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Zdroj: </w:t>
      </w:r>
      <w:hyperlink r:id="rId4" w:history="1">
        <w:r w:rsidRPr="00135E86">
          <w:rPr>
            <w:rStyle w:val="Hypertextovodkaz"/>
            <w:sz w:val="24"/>
            <w:szCs w:val="24"/>
          </w:rPr>
          <w:t>https://vedavyzkum.cz/z-domova/z-domova/grantova-agentura-muni-podporuje-vyzkum-uz-7-let</w:t>
        </w:r>
      </w:hyperlink>
    </w:p>
    <w:p w:rsidR="00135E86" w:rsidRPr="00135E86" w:rsidRDefault="00135E86" w:rsidP="00135E86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r w:rsidRPr="00135E86">
        <w:rPr>
          <w:rFonts w:ascii="Arial" w:eastAsia="Times New Roman" w:hAnsi="Arial" w:cs="Arial"/>
          <w:color w:val="4D4D4D"/>
          <w:sz w:val="36"/>
          <w:szCs w:val="36"/>
          <w:lang w:eastAsia="cs-CZ"/>
        </w:rPr>
        <w:t>Grantová agentura MUNI podporuje výzkum už 7 let</w:t>
      </w:r>
    </w:p>
    <w:p w:rsidR="00135E86" w:rsidRPr="00135E86" w:rsidRDefault="00135E86" w:rsidP="00135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999999"/>
          <w:sz w:val="17"/>
          <w:szCs w:val="17"/>
          <w:lang w:eastAsia="cs-CZ"/>
        </w:rPr>
        <w:t>9. 7. 2019</w:t>
      </w:r>
    </w:p>
    <w:p w:rsidR="00135E86" w:rsidRPr="00135E86" w:rsidRDefault="00135E86" w:rsidP="00135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135E86">
          <w:rPr>
            <w:rFonts w:ascii="Arial" w:eastAsia="Times New Roman" w:hAnsi="Arial" w:cs="Arial"/>
            <w:color w:val="DA243D"/>
            <w:sz w:val="17"/>
            <w:szCs w:val="17"/>
            <w:bdr w:val="single" w:sz="6" w:space="2" w:color="EDEDED" w:frame="1"/>
            <w:lang w:eastAsia="cs-CZ"/>
          </w:rPr>
          <w:t>Tisk </w:t>
        </w:r>
      </w:hyperlink>
      <w:hyperlink r:id="rId6" w:history="1">
        <w:r w:rsidRPr="00135E86">
          <w:rPr>
            <w:rFonts w:ascii="Arial" w:eastAsia="Times New Roman" w:hAnsi="Arial" w:cs="Arial"/>
            <w:color w:val="DA243D"/>
            <w:sz w:val="17"/>
            <w:szCs w:val="17"/>
            <w:bdr w:val="single" w:sz="6" w:space="2" w:color="EDEDED" w:frame="1"/>
            <w:lang w:eastAsia="cs-CZ"/>
          </w:rPr>
          <w:t>Email</w:t>
        </w:r>
      </w:hyperlink>
    </w:p>
    <w:p w:rsidR="00135E86" w:rsidRPr="00135E86" w:rsidRDefault="00135E86" w:rsidP="00135E8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135E86">
        <w:rPr>
          <w:rFonts w:ascii="Arial" w:eastAsia="Times New Roman" w:hAnsi="Arial" w:cs="Arial"/>
          <w:b/>
          <w:bCs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2" name="Obrázek 2" descr="Grantová agentura MUNI podporuje výzkum už 7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ová agentura MUNI podporuje výzkum už 7 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86" w:rsidRPr="00135E86" w:rsidRDefault="00135E86" w:rsidP="00135E86">
      <w:pPr>
        <w:shd w:val="clear" w:color="auto" w:fill="FFFFFF"/>
        <w:spacing w:before="150" w:after="150" w:line="360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135E86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První sedmiletku má za sebou interní Grantová agentura Masarykovy univerzity (GAMU), která do loňského roku v rámci oblasti podpory výzkumu pomohla už téměř stovce projektů, mezi které rozdělila přes 160 milionů korun. Největší část se přitom rozdělila prostřednictvím pěti výzkumných programů podporujících především excelentní výzkum.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drawing>
          <wp:inline distT="0" distB="0" distL="0" distR="0">
            <wp:extent cx="5715000" cy="2857500"/>
            <wp:effectExtent l="0" t="0" r="0" b="0"/>
            <wp:docPr id="1" name="Obrázek 1" descr="laborator ceitec 790x395 230571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tor ceitec 790x395 2305718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Už od startu GAMU funguje podpora mezioborových výzkumných projektů, která se především snaží propojovat různá pracoviště a fakulty, a hledat tak originální řešení. Interní agentura podporuje také specifický studentský výzkum a vědecké konference a v rámci programu rektora pak studentské časopisy a vynikající diplomové práce.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Její hlavní náplní je ale pomoc vědcům. Aktuálně tak činí prostřednictvím programu podpory zvýšení kvality vynikající výsledků, který pomáhá v dotažení publikování jejich výsledků v prestižních časopisech, přes podporu přípravy mezinárodních grantů, financováním individuálních projektů hraničního výzkumu, jejichž řešitelé mají šanci získat v budoucnu například grant Evropské výzkumné rady (ERC), a v poslední době také 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lastRenderedPageBreak/>
        <w:t>prostřednictvím </w:t>
      </w:r>
      <w:hyperlink r:id="rId9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 xml:space="preserve">MUNI </w:t>
        </w:r>
        <w:proofErr w:type="spellStart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Award</w:t>
        </w:r>
        <w:proofErr w:type="spellEnd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 xml:space="preserve"> in Science and </w:t>
        </w:r>
        <w:proofErr w:type="spellStart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Humanities</w:t>
        </w:r>
        <w:proofErr w:type="spellEnd"/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který láká na Masarykovu univerzitu špičkové vědce.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Už od startu GAMU funguje také podpora mezioborových výzkumných projektů, která se především snaží propojovat různá pracoviště a fakulty, a hledat tak originální řešení. Týmy mohou získat na svůj projekt až pět milionů korun na maximálně tři roky.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 „Za sedm let muselo na 80 zapojených hodnotitelů zvážit 176 návrhů projektů, z nichž 30 nakonec podporu získalo,“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uvedl prorektor pro výzkum </w:t>
      </w:r>
      <w:hyperlink r:id="rId10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Petr Dvořák</w:t>
        </w:r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při červnovém představení výsledků čtyř mezioborových projektů v rámci závěrečné hodnotící konference GAMU.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Mezi prezentované projekty patřil výzkum vedený Fakultou sociálních studií MU nazvaný „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Rusko v kategoriích přítel vs. Nepřítel: česká reflexe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“, dále studie na téma 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„Vliv kartografické vizualizace na úspěšnost řešení praktických a výukových prostorových úloh“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koordinované Pedagogickou fakultou MU, potom „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Analýza gastrointestinálního </w:t>
      </w:r>
      <w:proofErr w:type="spellStart"/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mikrobiomu</w:t>
      </w:r>
      <w:proofErr w:type="spellEnd"/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 u pacientů s běžnou variabilní imunodeficiencí“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vedená Lékařskou fakultou MU a na konec Fakultou informatiky MU řízený projekt na vizualizaci proteinových komplexů.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Jako nejlepší z nich vyhodnotila komise projekt věnující se vztahům Česka a Ruska, který získal nejlepší známku A. Zbylé tři projekty dostaly známku B.</w:t>
      </w:r>
    </w:p>
    <w:p w:rsidR="00135E86" w:rsidRPr="00135E86" w:rsidRDefault="00135E86" w:rsidP="00135E86">
      <w:pPr>
        <w:shd w:val="clear" w:color="auto" w:fill="FFFFFF"/>
        <w:spacing w:before="300" w:after="75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Rusko versus Česko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Studii vztahů s Ruskem, na níž se podíleli odborníci z Fakulty sociálních studií, Filozofické fakulty a Ekonomicko-správní fakulty MU i Akademie věd ČR, představil politolog </w:t>
      </w:r>
      <w:hyperlink r:id="rId11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 xml:space="preserve">Jan </w:t>
        </w:r>
        <w:proofErr w:type="spellStart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Holzer</w:t>
        </w:r>
        <w:proofErr w:type="spellEnd"/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Zabývali se aktuálními bezpečnostními rozměry česko-ruských vztahů z různých pohledů.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„Snažili jsme se o aplikaci konceptu hybridního konfliktu na tento vztah, což je aktuální záležitost, kdy se změnila strategie, jak útočit na druhé v rámci mezinárodních vztahů. V této otázce se všichni soustředí na to, jak to dělají vnější aktéři, ale podle nás spočívá úspěšnost hybridních strategií v tom, na koho jsou namířené, zda je na druhé straně cílový aktér, který takovým aktivitám naslouchá. Česká republika je v tomto smyslu výborný příklad, protože tady publikum pro ruskou kampaň existuje z mnoha historických, jazykových, ekonomických i dalších důvodů,“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uvedl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Holzer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 několika výstupů projekt vyzdvihl dvě knihy, z nichž první věnovaná militantnímu pravicovému extremismu v Rusku </w:t>
      </w:r>
      <w:hyperlink r:id="rId12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 xml:space="preserve">vyšla loni v britském nakladatelství </w:t>
        </w:r>
        <w:proofErr w:type="spellStart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Routledge</w:t>
        </w:r>
        <w:proofErr w:type="spellEnd"/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a letos se připravuje u dalšího prestižního britského nakladatelství titul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 „Ve stínu Ruska: Česká republika a malé středoevropské země.“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Závěry v ní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Holzer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shrnul tak, že potenciál Ruska pohybovat se na mezinárodním poli a mít tam nějaký vliv je dán především tím, jak silná či slabá je v daném tématu druhá strana.</w:t>
      </w:r>
    </w:p>
    <w:p w:rsidR="00135E86" w:rsidRPr="00135E86" w:rsidRDefault="00135E86" w:rsidP="00135E86">
      <w:pPr>
        <w:shd w:val="clear" w:color="auto" w:fill="FFFFFF"/>
        <w:spacing w:before="300" w:after="75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Jak se spojují proteiny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Téma mezinárodních vztahů vystřídal projekt, který se také věnoval interakci, ale na úrovni molekul. Představila jej </w:t>
      </w:r>
      <w:hyperlink r:id="rId13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Barbora Kozlíková</w:t>
        </w:r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z Fakulty informatiky MU, šlo o společnou práci s přírodovědci. Jejím hlavním cílem bylo vytvořit nástroj pro prostorovou vizualizaci proteinových komplexů a především míst, kde spolu dané proteiny interagují, což může pomoci v návrzích průmyslově či medicínsky využitelných komplexů.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„Dnes slouží odborníkům desítky výpočetních systémů, které předpovídají, jak mohou být proteiny vůči sobě navzájem postavené a jak mohou interagovat. Jejich problém je, že mohou produkovat desítky až stovky možných řešení, které pak musí vědci postupně prověřit, zda jsou biochemicky relevantní,“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přiblížila řešený problém Kozlíková.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lastRenderedPageBreak/>
        <w:t>Právě toto zdlouhavé zkoumání chtěli odborníci obejít, a vytvořili tak volně dostupný nástroj nazvaný </w:t>
      </w:r>
      <w:hyperlink r:id="rId14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COZOID</w:t>
        </w:r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(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COntact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ZOne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IDentifier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for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visual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analysis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of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protein-protein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interactions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), který prozkoumává velké sady možných interakcí, jednoduše z nich vybírá relevantní spojení a umožňuje sledovat přímo místo, kde se sledované proteiny propojují.</w:t>
      </w:r>
    </w:p>
    <w:p w:rsidR="00135E86" w:rsidRPr="00135E86" w:rsidRDefault="00135E86" w:rsidP="00135E86">
      <w:pPr>
        <w:shd w:val="clear" w:color="auto" w:fill="FFFFFF"/>
        <w:spacing w:before="300" w:after="75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Kartografie ve 3D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Trojrozměrným zobrazováním a jeho interpretací se zabýval třetí projekt, který představili </w:t>
      </w:r>
      <w:hyperlink r:id="rId15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Hana Svatoňová</w:t>
        </w:r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za Pedagogickou fakultu MU a </w:t>
      </w:r>
      <w:hyperlink r:id="rId16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Petr Kubíček</w:t>
        </w:r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za Přírodovědeckou fakultu MU. Podíleli se na něm také odborníci z Fakulty informatiky a Filozofické fakulty MU a společně se zabývali otázkou, jak stále více využívané 3D zobrazování a jeho různé varianty ovlivňují například orientaci v prostoru či odhadování vzdáleností a dalších rozměrů. Vzhledem k využívání různých metod pro sledování interakce testovaných lidí s úkoly vyvinuli také nové nástroje pro sledování například pohybu očí.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„Věnovali jsme se vnímání prostoru člověkem ve 3D prostředí, odlišnostem při sledování 3D obrázku ve 2D, při sledování trojrozměrného prostředí za pomoci polarizačních brýlí a pak ve virtuální realitě. Ve spolupráci se školami jsme řešili také to, kde může mít nějaký přínos využití virtuální reality,“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přiblížil práci týmu Kubíček.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Mezi sérii studií patřila například simulace evakuace z budovy, při níž jedna skupina nastudovala standardní evakuační plán a druhá se orientovala podle virtuální prohlídky evakuační cesty. Rozdíl v úspěšnosti sice nebyl nijak velký, ale obě skupiny odlišně interagovaly s okolím a vytvořily si zcela jinou představu. Ta první měla dobrou kontextovou představu o délce trasy a kolikrát například musí zahnout, ale neuměla popsat prostor, druhá skupina si naopak pamatovala různé orientační body v budově.</w:t>
      </w:r>
    </w:p>
    <w:p w:rsidR="00135E86" w:rsidRPr="00135E86" w:rsidRDefault="00135E86" w:rsidP="00135E86">
      <w:pPr>
        <w:shd w:val="clear" w:color="auto" w:fill="FFFFFF"/>
        <w:spacing w:before="300" w:after="75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Vliv </w:t>
      </w:r>
      <w:proofErr w:type="spellStart"/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mikrobiomu</w:t>
      </w:r>
      <w:proofErr w:type="spellEnd"/>
      <w:r w:rsidRPr="00135E86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 na imunitu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Poslední hodnocený projekt se věnoval studiu gastrointestinálního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mikrobiomu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u pacientů s běžnou variabilní imunodeficiencí, na němž se podíleli vědci z Lékařské fakulty MU, Fakulty informatiky MU a institutu CEITEC.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Pacienti s touto diagnózou mají nízkou hladinu některých protilátek v krvi a jsou náchylní k různým infekcím. Příčiny onemocnění nejsou známé, ale kromě genetických vlivů se na jejím rozvoji podílí i vnější prostředí.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Mikrobiom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pak představuje soubor mikroorganismů v těle, které člověka ovlivňují. Kromě toho, že se podílí na metabolismu organismu, bojuje také s patogeny a stimuluje imunitní systém.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Odborníci se proto chtěli podívat na rozdíly v </w:t>
      </w:r>
      <w:proofErr w:type="spellStart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mikrobiomu</w:t>
      </w:r>
      <w:proofErr w:type="spellEnd"/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trávicí soustavy nemocných a zdravých lidí a dívali se na zastoupení nejen jednotlivých druhů bakterií, ale také na jejich souhrnný genom a produkty jejich metabolismu.</w:t>
      </w: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 „Zjistili jsme, že pacienti mají jen malé odlišnosti v bakteriálním složení </w:t>
      </w:r>
      <w:proofErr w:type="spellStart"/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mikrobiomu</w:t>
      </w:r>
      <w:proofErr w:type="spellEnd"/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, ale ten obsahuje více unikátních genů, což znamená výrazné funkční změny a produkci odlišných metabolitů,“</w:t>
      </w: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vysvětlil vedoucí projektu </w:t>
      </w:r>
      <w:hyperlink r:id="rId17" w:tgtFrame="_blank" w:history="1"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 xml:space="preserve">David </w:t>
        </w:r>
        <w:proofErr w:type="spellStart"/>
        <w:r w:rsidRPr="00135E86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Šmajs</w:t>
        </w:r>
        <w:proofErr w:type="spellEnd"/>
      </w:hyperlink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135E86" w:rsidRPr="00135E86" w:rsidRDefault="00135E86" w:rsidP="00135E8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135E86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Zdroj: </w:t>
      </w:r>
      <w:hyperlink r:id="rId18" w:tgtFrame="_blank" w:history="1">
        <w:r w:rsidRPr="00135E86">
          <w:rPr>
            <w:rFonts w:ascii="Arial" w:eastAsia="Times New Roman" w:hAnsi="Arial" w:cs="Arial"/>
            <w:i/>
            <w:iCs/>
            <w:color w:val="DA243D"/>
            <w:sz w:val="23"/>
            <w:szCs w:val="23"/>
            <w:lang w:eastAsia="cs-CZ"/>
          </w:rPr>
          <w:t>Masarykova univerzita</w:t>
        </w:r>
      </w:hyperlink>
    </w:p>
    <w:p w:rsidR="00172937" w:rsidRDefault="00172937"/>
    <w:sectPr w:rsidR="001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6"/>
    <w:rsid w:val="00135E86"/>
    <w:rsid w:val="001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F883"/>
  <w15:chartTrackingRefBased/>
  <w15:docId w15:val="{9665F810-F34D-4A7F-A8A4-6E10AC9E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35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5E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5E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temdatecreated">
    <w:name w:val="itemdatecreated"/>
    <w:basedOn w:val="Standardnpsmoodstavce"/>
    <w:rsid w:val="00135E86"/>
  </w:style>
  <w:style w:type="character" w:styleId="Hypertextovodkaz">
    <w:name w:val="Hyperlink"/>
    <w:basedOn w:val="Standardnpsmoodstavce"/>
    <w:uiPriority w:val="99"/>
    <w:semiHidden/>
    <w:unhideWhenUsed/>
    <w:rsid w:val="00135E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3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uni.cz/lide/60850-barbora-kozlikova" TargetMode="External"/><Relationship Id="rId18" Type="http://schemas.openxmlformats.org/officeDocument/2006/relationships/hyperlink" Target="https://www.em.muni.cz/veda-a-vyzkum/11848-od-spojovani-proteinu-po-cesko-ruske-vztahy-grantova-agentura-muni-uz-7-let-podporuje-vyzku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routledge.com/Militant-Right-Wing-Extremism-in-Putins-Russia-Legacies-Forms-and/Mares-Larys-Holzer/p/book/9781138592513" TargetMode="External"/><Relationship Id="rId17" Type="http://schemas.openxmlformats.org/officeDocument/2006/relationships/hyperlink" Target="https://www.muni.cz/lide/1116-david-smaj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ni.cz/lide/23168-petr-kubic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edavyzkum.cz/mailto/component?link=214dd48ab1ed2f00353cf70f413a20db9123b3b5" TargetMode="External"/><Relationship Id="rId11" Type="http://schemas.openxmlformats.org/officeDocument/2006/relationships/hyperlink" Target="https://www.muni.cz/lide/2329-jan-holzer" TargetMode="External"/><Relationship Id="rId5" Type="http://schemas.openxmlformats.org/officeDocument/2006/relationships/hyperlink" Target="https://vedavyzkum.cz/z-domova/z-domova/grantova-agentura-muni-podporuje-vyzkum-uz-7-let/print" TargetMode="External"/><Relationship Id="rId15" Type="http://schemas.openxmlformats.org/officeDocument/2006/relationships/hyperlink" Target="https://www.muni.cz/lide/39149-hana-svatonova" TargetMode="External"/><Relationship Id="rId10" Type="http://schemas.openxmlformats.org/officeDocument/2006/relationships/hyperlink" Target="https://www.muni.cz/lide/47260-petr-dvora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edavyzkum.cz/z-domova/z-domova/grantova-agentura-muni-podporuje-vyzkum-uz-7-let" TargetMode="External"/><Relationship Id="rId9" Type="http://schemas.openxmlformats.org/officeDocument/2006/relationships/hyperlink" Target="https://gamu.muni.cz/mash" TargetMode="External"/><Relationship Id="rId14" Type="http://schemas.openxmlformats.org/officeDocument/2006/relationships/hyperlink" Target="http://decibel.fi.muni.cz/cozoi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2020-01-29T17:36:00Z</dcterms:created>
  <dcterms:modified xsi:type="dcterms:W3CDTF">2020-01-29T17:38:00Z</dcterms:modified>
</cp:coreProperties>
</file>