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7" w:rsidRDefault="00552876">
      <w:r>
        <w:rPr>
          <w:rFonts w:ascii="Verdana" w:hAnsi="Verdana"/>
          <w:color w:val="000000"/>
          <w:sz w:val="18"/>
          <w:szCs w:val="18"/>
        </w:rPr>
        <w:t>Učebnice rozebírá pracovní právo v jeho teoretické i aplikační rovině, zahrnuje všechny tři složky zahrnované do předmětu pracovního práva (zaměstnanost, individuální pracovní právo a kolektivní pracovní právo), zahrnuje rovněž i unijní úpravu některých otázek, spadajících do pracovního práva.</w:t>
      </w:r>
      <w:bookmarkStart w:id="0" w:name="_GoBack"/>
      <w:bookmarkEnd w:id="0"/>
    </w:p>
    <w:sectPr w:rsidR="00B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6"/>
    <w:rsid w:val="00552876"/>
    <w:rsid w:val="00B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Maťašová</dc:creator>
  <cp:lastModifiedBy>Zdeňka Maťašová</cp:lastModifiedBy>
  <cp:revision>1</cp:revision>
  <dcterms:created xsi:type="dcterms:W3CDTF">2015-11-23T11:29:00Z</dcterms:created>
  <dcterms:modified xsi:type="dcterms:W3CDTF">2015-11-23T11:35:00Z</dcterms:modified>
</cp:coreProperties>
</file>