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ED67" w14:textId="77777777" w:rsidR="007D3327" w:rsidRPr="007D3327" w:rsidRDefault="007D3327" w:rsidP="007402D9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380B4868" w14:textId="77777777" w:rsidR="006B2FBA" w:rsidRPr="007312C5" w:rsidRDefault="007312C5" w:rsidP="007402D9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cs-CZ"/>
        </w:rPr>
      </w:pPr>
      <w:r w:rsidRPr="007312C5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>P</w:t>
      </w:r>
      <w:r w:rsidR="006B2FBA" w:rsidRPr="007312C5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 xml:space="preserve">rovozní řád </w:t>
      </w:r>
      <w:r w:rsidR="00982734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>parkoviště v</w:t>
      </w:r>
      <w:r w:rsidR="006B2FBA" w:rsidRPr="007312C5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 xml:space="preserve"> </w:t>
      </w:r>
      <w:r w:rsidRPr="007312C5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>areálu</w:t>
      </w:r>
      <w:r w:rsidR="006B2FBA" w:rsidRPr="007312C5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 xml:space="preserve"> Botanická 68a</w:t>
      </w:r>
    </w:p>
    <w:p w14:paraId="23E59C45" w14:textId="77777777" w:rsidR="007402D9" w:rsidRDefault="007402D9" w:rsidP="007402D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AA8B86A" w14:textId="77777777" w:rsidR="0086698C" w:rsidRDefault="0086698C" w:rsidP="007402D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5B7A0EF" w14:textId="77777777" w:rsidR="0086698C" w:rsidRPr="0086698C" w:rsidRDefault="0086698C" w:rsidP="0086698C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86698C">
        <w:rPr>
          <w:rFonts w:ascii="Calibri" w:eastAsia="Times New Roman" w:hAnsi="Calibri" w:cs="Calibri"/>
          <w:b/>
          <w:sz w:val="24"/>
          <w:szCs w:val="24"/>
          <w:lang w:eastAsia="cs-CZ"/>
        </w:rPr>
        <w:t>OBECNÁ USTANOVENÍ</w:t>
      </w:r>
    </w:p>
    <w:p w14:paraId="20A5D648" w14:textId="77777777" w:rsidR="0086698C" w:rsidRDefault="0086698C" w:rsidP="007402D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51A3989" w14:textId="77777777" w:rsidR="006B06AA" w:rsidRPr="00C811E8" w:rsidRDefault="006B2FBA" w:rsidP="007D3327">
      <w:pPr>
        <w:spacing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 xml:space="preserve">Tento provozní řád (dále jen </w:t>
      </w:r>
      <w:r w:rsidR="00B76930" w:rsidRPr="00C811E8">
        <w:rPr>
          <w:rFonts w:ascii="Calibri" w:eastAsia="Times New Roman" w:hAnsi="Calibri" w:cs="Calibri"/>
          <w:lang w:eastAsia="cs-CZ"/>
        </w:rPr>
        <w:t>ř</w:t>
      </w:r>
      <w:r w:rsidRPr="00C811E8">
        <w:rPr>
          <w:rFonts w:ascii="Calibri" w:eastAsia="Times New Roman" w:hAnsi="Calibri" w:cs="Calibri"/>
          <w:lang w:eastAsia="cs-CZ"/>
        </w:rPr>
        <w:t>ád) upravuje podmínky pro užívání parkovacích stání</w:t>
      </w:r>
      <w:r w:rsidR="004F7E5D" w:rsidRPr="00C811E8">
        <w:rPr>
          <w:rFonts w:ascii="Calibri" w:eastAsia="Times New Roman" w:hAnsi="Calibri" w:cs="Calibri"/>
          <w:lang w:eastAsia="cs-CZ"/>
        </w:rPr>
        <w:t xml:space="preserve"> (dále jen parkoviště) </w:t>
      </w:r>
      <w:r w:rsidRPr="00C811E8">
        <w:rPr>
          <w:rFonts w:ascii="Calibri" w:eastAsia="Times New Roman" w:hAnsi="Calibri" w:cs="Calibri"/>
          <w:lang w:eastAsia="cs-CZ"/>
        </w:rPr>
        <w:t>v</w:t>
      </w:r>
      <w:r w:rsidR="006B06AA" w:rsidRPr="00C811E8">
        <w:rPr>
          <w:rFonts w:ascii="Calibri" w:eastAsia="Times New Roman" w:hAnsi="Calibri" w:cs="Calibri"/>
          <w:lang w:eastAsia="cs-CZ"/>
        </w:rPr>
        <w:t> </w:t>
      </w:r>
      <w:r w:rsidR="00066656" w:rsidRPr="00C811E8">
        <w:rPr>
          <w:rFonts w:ascii="Calibri" w:eastAsia="Times New Roman" w:hAnsi="Calibri" w:cs="Calibri"/>
          <w:lang w:eastAsia="cs-CZ"/>
        </w:rPr>
        <w:t>areálu</w:t>
      </w:r>
      <w:r w:rsidRPr="00C811E8">
        <w:rPr>
          <w:rFonts w:ascii="Calibri" w:eastAsia="Times New Roman" w:hAnsi="Calibri" w:cs="Calibri"/>
          <w:lang w:eastAsia="cs-CZ"/>
        </w:rPr>
        <w:t xml:space="preserve"> Botanická 68a. Vlastníci a provozovatelé</w:t>
      </w:r>
      <w:r w:rsidR="006B06AA" w:rsidRPr="00C811E8">
        <w:rPr>
          <w:rFonts w:ascii="Calibri" w:eastAsia="Times New Roman" w:hAnsi="Calibri" w:cs="Calibri"/>
          <w:lang w:eastAsia="cs-CZ"/>
        </w:rPr>
        <w:t xml:space="preserve"> vozidel zaparkováním vozidla </w:t>
      </w:r>
      <w:r w:rsidR="00195B46" w:rsidRPr="00C811E8">
        <w:rPr>
          <w:rFonts w:ascii="Calibri" w:eastAsia="Times New Roman" w:hAnsi="Calibri" w:cs="Calibri"/>
          <w:lang w:eastAsia="cs-CZ"/>
        </w:rPr>
        <w:t xml:space="preserve">na </w:t>
      </w:r>
      <w:r w:rsidR="00A238DC" w:rsidRPr="00C811E8">
        <w:rPr>
          <w:rFonts w:ascii="Calibri" w:eastAsia="Times New Roman" w:hAnsi="Calibri" w:cs="Calibri"/>
          <w:lang w:eastAsia="cs-CZ"/>
        </w:rPr>
        <w:t>parkovišti</w:t>
      </w:r>
      <w:r w:rsidR="006B06AA" w:rsidRPr="00C811E8">
        <w:rPr>
          <w:rFonts w:ascii="Calibri" w:eastAsia="Times New Roman" w:hAnsi="Calibri" w:cs="Calibri"/>
          <w:lang w:eastAsia="cs-CZ"/>
        </w:rPr>
        <w:t xml:space="preserve"> souhlasí s </w:t>
      </w:r>
      <w:r w:rsidRPr="00C811E8">
        <w:rPr>
          <w:rFonts w:ascii="Calibri" w:eastAsia="Times New Roman" w:hAnsi="Calibri" w:cs="Calibri"/>
          <w:lang w:eastAsia="cs-CZ"/>
        </w:rPr>
        <w:t>Řádem a zavazují se jej dodržovat</w:t>
      </w:r>
      <w:r w:rsidR="007402D9" w:rsidRPr="00C811E8">
        <w:rPr>
          <w:rFonts w:ascii="Calibri" w:eastAsia="Times New Roman" w:hAnsi="Calibri" w:cs="Calibri"/>
          <w:lang w:eastAsia="cs-CZ"/>
        </w:rPr>
        <w:t>.</w:t>
      </w:r>
    </w:p>
    <w:p w14:paraId="2A1E0B25" w14:textId="77777777" w:rsidR="004F7E5D" w:rsidRPr="00C811E8" w:rsidRDefault="00195B46" w:rsidP="007D3327">
      <w:pPr>
        <w:spacing w:after="60" w:line="240" w:lineRule="auto"/>
        <w:jc w:val="both"/>
      </w:pPr>
      <w:r w:rsidRPr="00C811E8">
        <w:t xml:space="preserve">Na </w:t>
      </w:r>
      <w:r w:rsidR="004F7E5D" w:rsidRPr="00C811E8">
        <w:t xml:space="preserve">parkovišti </w:t>
      </w:r>
      <w:r w:rsidRPr="00C811E8">
        <w:t>platí ustanovení zákona č. 361/2000 Sb., o silničním provozu, záko</w:t>
      </w:r>
      <w:r w:rsidR="00A238DC" w:rsidRPr="00C811E8">
        <w:t>na č. </w:t>
      </w:r>
      <w:r w:rsidRPr="00C811E8">
        <w:t xml:space="preserve">13/1997, o </w:t>
      </w:r>
      <w:r w:rsidR="007402D9" w:rsidRPr="00C811E8">
        <w:t>pozemních komunikacích, spolu s </w:t>
      </w:r>
      <w:r w:rsidRPr="00C811E8">
        <w:t>vyhláškou č. 30/2001 Sb., o pravidlech provozu na pozemních komunikacích a další právní předpisy související s automobilovou dopravou.</w:t>
      </w:r>
      <w:r w:rsidR="004F7E5D" w:rsidRPr="00C811E8">
        <w:t xml:space="preserve"> Rychlost automobilů po celé ploše </w:t>
      </w:r>
      <w:r w:rsidR="00A238DC" w:rsidRPr="00C811E8">
        <w:t>p</w:t>
      </w:r>
      <w:r w:rsidR="004F7E5D" w:rsidRPr="00C811E8">
        <w:t>arkoviště je omezena na max. 10 km/hod.</w:t>
      </w:r>
    </w:p>
    <w:p w14:paraId="5D9E6421" w14:textId="77777777" w:rsidR="006B2FBA" w:rsidRPr="00C811E8" w:rsidRDefault="006B2FBA" w:rsidP="007D3327">
      <w:pPr>
        <w:spacing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 xml:space="preserve">Vlastník </w:t>
      </w:r>
      <w:r w:rsidR="00A238DC" w:rsidRPr="00C811E8">
        <w:rPr>
          <w:rFonts w:ascii="Calibri" w:eastAsia="Times New Roman" w:hAnsi="Calibri" w:cs="Calibri"/>
          <w:lang w:eastAsia="cs-CZ"/>
        </w:rPr>
        <w:t>areálu</w:t>
      </w:r>
      <w:r w:rsidRPr="00C811E8">
        <w:rPr>
          <w:rFonts w:ascii="Calibri" w:eastAsia="Times New Roman" w:hAnsi="Calibri" w:cs="Calibri"/>
          <w:lang w:eastAsia="cs-CZ"/>
        </w:rPr>
        <w:t xml:space="preserve">, MU Brno, ani jeho provozovatel a správce neodpovídá za ztrátu nebo poškození vozidel, která používají či jsou zaparkována </w:t>
      </w:r>
      <w:r w:rsidR="00BE3D71" w:rsidRPr="00C811E8">
        <w:rPr>
          <w:rFonts w:ascii="Calibri" w:eastAsia="Times New Roman" w:hAnsi="Calibri" w:cs="Calibri"/>
          <w:lang w:eastAsia="cs-CZ"/>
        </w:rPr>
        <w:t xml:space="preserve">na </w:t>
      </w:r>
      <w:r w:rsidR="00A238DC" w:rsidRPr="00C811E8">
        <w:rPr>
          <w:rFonts w:ascii="Calibri" w:eastAsia="Times New Roman" w:hAnsi="Calibri" w:cs="Calibri"/>
          <w:lang w:eastAsia="cs-CZ"/>
        </w:rPr>
        <w:t>parkovišti</w:t>
      </w:r>
      <w:r w:rsidRPr="00C811E8">
        <w:rPr>
          <w:rFonts w:ascii="Calibri" w:eastAsia="Times New Roman" w:hAnsi="Calibri" w:cs="Calibri"/>
          <w:lang w:eastAsia="cs-CZ"/>
        </w:rPr>
        <w:t>, jejich přís</w:t>
      </w:r>
      <w:r w:rsidR="00195B46" w:rsidRPr="00C811E8">
        <w:rPr>
          <w:rFonts w:ascii="Calibri" w:eastAsia="Times New Roman" w:hAnsi="Calibri" w:cs="Calibri"/>
          <w:lang w:eastAsia="cs-CZ"/>
        </w:rPr>
        <w:t>lušenství či věcí, které jsou v </w:t>
      </w:r>
      <w:r w:rsidRPr="00C811E8">
        <w:rPr>
          <w:rFonts w:ascii="Calibri" w:eastAsia="Times New Roman" w:hAnsi="Calibri" w:cs="Calibri"/>
          <w:lang w:eastAsia="cs-CZ"/>
        </w:rPr>
        <w:t>nich uloženy. Každý řidič i provozovatel vozidla je sám odpovědný za veškerá rizika ztráty a poškození vozidel (a jejich obsahu), která jsou zde zaparkována, a rovněž z</w:t>
      </w:r>
      <w:r w:rsidR="007402D9" w:rsidRPr="00C811E8">
        <w:rPr>
          <w:rFonts w:ascii="Calibri" w:eastAsia="Times New Roman" w:hAnsi="Calibri" w:cs="Calibri"/>
          <w:lang w:eastAsia="cs-CZ"/>
        </w:rPr>
        <w:t>a všechny jiné ztráty a škody s </w:t>
      </w:r>
      <w:r w:rsidRPr="00C811E8">
        <w:rPr>
          <w:rFonts w:ascii="Calibri" w:eastAsia="Times New Roman" w:hAnsi="Calibri" w:cs="Calibri"/>
          <w:lang w:eastAsia="cs-CZ"/>
        </w:rPr>
        <w:t xml:space="preserve">tím spojené. Nikdo, kdo zaparkuje své vozidlo </w:t>
      </w:r>
      <w:r w:rsidR="00BE3D71" w:rsidRPr="00C811E8">
        <w:rPr>
          <w:rFonts w:ascii="Calibri" w:eastAsia="Times New Roman" w:hAnsi="Calibri" w:cs="Calibri"/>
          <w:lang w:eastAsia="cs-CZ"/>
        </w:rPr>
        <w:t>na</w:t>
      </w:r>
      <w:r w:rsidRPr="00C811E8">
        <w:rPr>
          <w:rFonts w:ascii="Calibri" w:eastAsia="Times New Roman" w:hAnsi="Calibri" w:cs="Calibri"/>
          <w:lang w:eastAsia="cs-CZ"/>
        </w:rPr>
        <w:t xml:space="preserve"> </w:t>
      </w:r>
      <w:r w:rsidR="00A238DC" w:rsidRPr="00C811E8">
        <w:rPr>
          <w:rFonts w:ascii="Calibri" w:eastAsia="Times New Roman" w:hAnsi="Calibri" w:cs="Calibri"/>
          <w:lang w:eastAsia="cs-CZ"/>
        </w:rPr>
        <w:t>parkovišti</w:t>
      </w:r>
      <w:r w:rsidRPr="00C811E8">
        <w:rPr>
          <w:rFonts w:ascii="Calibri" w:eastAsia="Times New Roman" w:hAnsi="Calibri" w:cs="Calibri"/>
          <w:lang w:eastAsia="cs-CZ"/>
        </w:rPr>
        <w:t xml:space="preserve">, není oprávněn se domnívat, že své vozidlo svěřil do úschovy </w:t>
      </w:r>
      <w:r w:rsidR="00BE3D71" w:rsidRPr="00C811E8">
        <w:rPr>
          <w:rFonts w:ascii="Calibri" w:eastAsia="Times New Roman" w:hAnsi="Calibri" w:cs="Calibri"/>
          <w:lang w:eastAsia="cs-CZ"/>
        </w:rPr>
        <w:t>v</w:t>
      </w:r>
      <w:r w:rsidRPr="00C811E8">
        <w:rPr>
          <w:rFonts w:ascii="Calibri" w:eastAsia="Times New Roman" w:hAnsi="Calibri" w:cs="Calibri"/>
          <w:lang w:eastAsia="cs-CZ"/>
        </w:rPr>
        <w:t xml:space="preserve">lastníkovi či </w:t>
      </w:r>
      <w:r w:rsidR="00BE3D71" w:rsidRPr="00C811E8">
        <w:rPr>
          <w:rFonts w:ascii="Calibri" w:eastAsia="Times New Roman" w:hAnsi="Calibri" w:cs="Calibri"/>
          <w:lang w:eastAsia="cs-CZ"/>
        </w:rPr>
        <w:t>s</w:t>
      </w:r>
      <w:r w:rsidRPr="00C811E8">
        <w:rPr>
          <w:rFonts w:ascii="Calibri" w:eastAsia="Times New Roman" w:hAnsi="Calibri" w:cs="Calibri"/>
          <w:lang w:eastAsia="cs-CZ"/>
        </w:rPr>
        <w:t xml:space="preserve">právci objektu. </w:t>
      </w:r>
      <w:r w:rsidR="00A238DC" w:rsidRPr="00C811E8">
        <w:rPr>
          <w:rFonts w:ascii="Calibri" w:eastAsia="Times New Roman" w:hAnsi="Calibri" w:cs="Calibri"/>
          <w:lang w:eastAsia="cs-CZ"/>
        </w:rPr>
        <w:t>Parkoviště není</w:t>
      </w:r>
      <w:r w:rsidRPr="00C811E8">
        <w:rPr>
          <w:rFonts w:ascii="Calibri" w:eastAsia="Times New Roman" w:hAnsi="Calibri" w:cs="Calibri"/>
          <w:lang w:eastAsia="cs-CZ"/>
        </w:rPr>
        <w:t xml:space="preserve"> hlídán</w:t>
      </w:r>
      <w:r w:rsidR="00A238DC" w:rsidRPr="00C811E8">
        <w:rPr>
          <w:rFonts w:ascii="Calibri" w:eastAsia="Times New Roman" w:hAnsi="Calibri" w:cs="Calibri"/>
          <w:lang w:eastAsia="cs-CZ"/>
        </w:rPr>
        <w:t>o</w:t>
      </w:r>
      <w:r w:rsidRPr="00C811E8">
        <w:rPr>
          <w:rFonts w:ascii="Calibri" w:eastAsia="Times New Roman" w:hAnsi="Calibri" w:cs="Calibri"/>
          <w:lang w:eastAsia="cs-CZ"/>
        </w:rPr>
        <w:t>, ale pouze monitorován</w:t>
      </w:r>
      <w:r w:rsidR="00A238DC" w:rsidRPr="00C811E8">
        <w:rPr>
          <w:rFonts w:ascii="Calibri" w:eastAsia="Times New Roman" w:hAnsi="Calibri" w:cs="Calibri"/>
          <w:lang w:eastAsia="cs-CZ"/>
        </w:rPr>
        <w:t>o</w:t>
      </w:r>
      <w:r w:rsidRPr="00C811E8">
        <w:rPr>
          <w:rFonts w:ascii="Calibri" w:eastAsia="Times New Roman" w:hAnsi="Calibri" w:cs="Calibri"/>
          <w:lang w:eastAsia="cs-CZ"/>
        </w:rPr>
        <w:t xml:space="preserve">, kdy toto monitorování nezakládá žádnou odpovědnost </w:t>
      </w:r>
      <w:r w:rsidR="007312C5" w:rsidRPr="00C811E8">
        <w:rPr>
          <w:rFonts w:ascii="Calibri" w:eastAsia="Times New Roman" w:hAnsi="Calibri" w:cs="Calibri"/>
          <w:lang w:eastAsia="cs-CZ"/>
        </w:rPr>
        <w:t>v</w:t>
      </w:r>
      <w:r w:rsidRPr="00C811E8">
        <w:rPr>
          <w:rFonts w:ascii="Calibri" w:eastAsia="Times New Roman" w:hAnsi="Calibri" w:cs="Calibri"/>
          <w:lang w:eastAsia="cs-CZ"/>
        </w:rPr>
        <w:t xml:space="preserve">lastníka ani </w:t>
      </w:r>
      <w:r w:rsidR="007312C5" w:rsidRPr="00C811E8">
        <w:rPr>
          <w:rFonts w:ascii="Calibri" w:eastAsia="Times New Roman" w:hAnsi="Calibri" w:cs="Calibri"/>
          <w:lang w:eastAsia="cs-CZ"/>
        </w:rPr>
        <w:t>s</w:t>
      </w:r>
      <w:r w:rsidRPr="00C811E8">
        <w:rPr>
          <w:rFonts w:ascii="Calibri" w:eastAsia="Times New Roman" w:hAnsi="Calibri" w:cs="Calibri"/>
          <w:lang w:eastAsia="cs-CZ"/>
        </w:rPr>
        <w:t xml:space="preserve">právce </w:t>
      </w:r>
      <w:r w:rsidR="007312C5" w:rsidRPr="00C811E8">
        <w:rPr>
          <w:rFonts w:ascii="Calibri" w:eastAsia="Times New Roman" w:hAnsi="Calibri" w:cs="Calibri"/>
          <w:lang w:eastAsia="cs-CZ"/>
        </w:rPr>
        <w:t xml:space="preserve">areálu </w:t>
      </w:r>
      <w:r w:rsidRPr="00C811E8">
        <w:rPr>
          <w:rFonts w:ascii="Calibri" w:eastAsia="Times New Roman" w:hAnsi="Calibri" w:cs="Calibri"/>
          <w:lang w:eastAsia="cs-CZ"/>
        </w:rPr>
        <w:t xml:space="preserve">za škodu na vozidlech, </w:t>
      </w:r>
      <w:r w:rsidR="007402D9" w:rsidRPr="00C811E8">
        <w:rPr>
          <w:rFonts w:ascii="Calibri" w:eastAsia="Times New Roman" w:hAnsi="Calibri" w:cs="Calibri"/>
          <w:lang w:eastAsia="cs-CZ"/>
        </w:rPr>
        <w:t>jejich příslušenstvích a věcí v </w:t>
      </w:r>
      <w:r w:rsidRPr="00C811E8">
        <w:rPr>
          <w:rFonts w:ascii="Calibri" w:eastAsia="Times New Roman" w:hAnsi="Calibri" w:cs="Calibri"/>
          <w:lang w:eastAsia="cs-CZ"/>
        </w:rPr>
        <w:t>nich umístěných. Monitorování je v</w:t>
      </w:r>
      <w:r w:rsidR="00CF6923" w:rsidRPr="00C811E8">
        <w:rPr>
          <w:rFonts w:ascii="Calibri" w:eastAsia="Times New Roman" w:hAnsi="Calibri" w:cs="Calibri"/>
          <w:lang w:eastAsia="cs-CZ"/>
        </w:rPr>
        <w:t> </w:t>
      </w:r>
      <w:r w:rsidRPr="00C811E8">
        <w:rPr>
          <w:rFonts w:ascii="Calibri" w:eastAsia="Times New Roman" w:hAnsi="Calibri" w:cs="Calibri"/>
          <w:lang w:eastAsia="cs-CZ"/>
        </w:rPr>
        <w:t>souladu se zákonem o ochraně osobní</w:t>
      </w:r>
      <w:r w:rsidR="00195B46" w:rsidRPr="00C811E8">
        <w:rPr>
          <w:rFonts w:ascii="Calibri" w:eastAsia="Times New Roman" w:hAnsi="Calibri" w:cs="Calibri"/>
          <w:lang w:eastAsia="cs-CZ"/>
        </w:rPr>
        <w:t>ch údajů, zákon č. 101/2000 Sb.</w:t>
      </w:r>
    </w:p>
    <w:p w14:paraId="20743017" w14:textId="77777777" w:rsidR="00195B46" w:rsidRPr="00C811E8" w:rsidRDefault="00DD272F" w:rsidP="007D3327">
      <w:pPr>
        <w:spacing w:after="60" w:line="240" w:lineRule="auto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 xml:space="preserve">Uživatelé parkoviště jsou pro </w:t>
      </w:r>
      <w:r w:rsidR="00CF6923" w:rsidRPr="00C811E8">
        <w:rPr>
          <w:rFonts w:ascii="Calibri" w:eastAsia="Times New Roman" w:hAnsi="Calibri" w:cs="Calibri"/>
          <w:lang w:eastAsia="cs-CZ"/>
        </w:rPr>
        <w:t>ovládání závor</w:t>
      </w:r>
      <w:r w:rsidRPr="00C811E8">
        <w:rPr>
          <w:rFonts w:ascii="Calibri" w:eastAsia="Times New Roman" w:hAnsi="Calibri" w:cs="Calibri"/>
          <w:lang w:eastAsia="cs-CZ"/>
        </w:rPr>
        <w:t xml:space="preserve">ového systému povinni </w:t>
      </w:r>
      <w:r w:rsidR="00CF6923" w:rsidRPr="00C811E8">
        <w:rPr>
          <w:rFonts w:ascii="Calibri" w:eastAsia="Times New Roman" w:hAnsi="Calibri" w:cs="Calibri"/>
          <w:lang w:eastAsia="cs-CZ"/>
        </w:rPr>
        <w:t>používa</w:t>
      </w:r>
      <w:r w:rsidRPr="00C811E8">
        <w:rPr>
          <w:rFonts w:ascii="Calibri" w:eastAsia="Times New Roman" w:hAnsi="Calibri" w:cs="Calibri"/>
          <w:lang w:eastAsia="cs-CZ"/>
        </w:rPr>
        <w:t>t</w:t>
      </w:r>
      <w:r w:rsidR="00CF6923" w:rsidRPr="00C811E8">
        <w:rPr>
          <w:rFonts w:ascii="Calibri" w:eastAsia="Times New Roman" w:hAnsi="Calibri" w:cs="Calibri"/>
          <w:lang w:eastAsia="cs-CZ"/>
        </w:rPr>
        <w:t xml:space="preserve"> vý</w:t>
      </w:r>
      <w:r w:rsidR="004A6976" w:rsidRPr="00C811E8">
        <w:rPr>
          <w:rFonts w:ascii="Calibri" w:eastAsia="Times New Roman" w:hAnsi="Calibri" w:cs="Calibri"/>
          <w:lang w:eastAsia="cs-CZ"/>
        </w:rPr>
        <w:t xml:space="preserve">hradně své zaměstnanecké karty. </w:t>
      </w:r>
      <w:r w:rsidR="00B76930" w:rsidRPr="00C811E8">
        <w:rPr>
          <w:rFonts w:ascii="Calibri" w:eastAsia="Times New Roman" w:hAnsi="Calibri" w:cs="Calibri"/>
          <w:lang w:eastAsia="cs-CZ"/>
        </w:rPr>
        <w:t>R</w:t>
      </w:r>
      <w:r w:rsidR="004A6976" w:rsidRPr="00C811E8">
        <w:rPr>
          <w:rFonts w:ascii="Calibri" w:eastAsia="Times New Roman" w:hAnsi="Calibri" w:cs="Calibri"/>
          <w:lang w:eastAsia="cs-CZ"/>
        </w:rPr>
        <w:t>ecep</w:t>
      </w:r>
      <w:r w:rsidR="00B76930" w:rsidRPr="00C811E8">
        <w:rPr>
          <w:rFonts w:ascii="Calibri" w:eastAsia="Times New Roman" w:hAnsi="Calibri" w:cs="Calibri"/>
          <w:lang w:eastAsia="cs-CZ"/>
        </w:rPr>
        <w:t>ční služba není oprávněna</w:t>
      </w:r>
      <w:r w:rsidR="004A6976" w:rsidRPr="00C811E8">
        <w:rPr>
          <w:rFonts w:ascii="Calibri" w:eastAsia="Times New Roman" w:hAnsi="Calibri" w:cs="Calibri"/>
          <w:lang w:eastAsia="cs-CZ"/>
        </w:rPr>
        <w:t xml:space="preserve"> umož</w:t>
      </w:r>
      <w:r w:rsidR="00B76930" w:rsidRPr="00C811E8">
        <w:rPr>
          <w:rFonts w:ascii="Calibri" w:eastAsia="Times New Roman" w:hAnsi="Calibri" w:cs="Calibri"/>
          <w:lang w:eastAsia="cs-CZ"/>
        </w:rPr>
        <w:t>ňovat</w:t>
      </w:r>
      <w:r w:rsidR="004A6976" w:rsidRPr="00C811E8">
        <w:rPr>
          <w:rFonts w:ascii="Calibri" w:eastAsia="Times New Roman" w:hAnsi="Calibri" w:cs="Calibri"/>
          <w:lang w:eastAsia="cs-CZ"/>
        </w:rPr>
        <w:t xml:space="preserve"> </w:t>
      </w:r>
      <w:r w:rsidR="003D49A3" w:rsidRPr="00C811E8">
        <w:rPr>
          <w:rFonts w:ascii="Calibri" w:eastAsia="Times New Roman" w:hAnsi="Calibri" w:cs="Calibri"/>
          <w:lang w:eastAsia="cs-CZ"/>
        </w:rPr>
        <w:t>vjezd/</w:t>
      </w:r>
      <w:r w:rsidR="004A6976" w:rsidRPr="00C811E8">
        <w:rPr>
          <w:rFonts w:ascii="Calibri" w:eastAsia="Times New Roman" w:hAnsi="Calibri" w:cs="Calibri"/>
          <w:lang w:eastAsia="cs-CZ"/>
        </w:rPr>
        <w:t>výjezd vozidlům zaměstnanců</w:t>
      </w:r>
      <w:r w:rsidR="003D49A3" w:rsidRPr="00C811E8">
        <w:rPr>
          <w:rFonts w:ascii="Calibri" w:eastAsia="Times New Roman" w:hAnsi="Calibri" w:cs="Calibri"/>
          <w:lang w:eastAsia="cs-CZ"/>
        </w:rPr>
        <w:t xml:space="preserve"> na</w:t>
      </w:r>
      <w:r w:rsidR="004A6976" w:rsidRPr="00C811E8">
        <w:rPr>
          <w:rFonts w:ascii="Calibri" w:eastAsia="Times New Roman" w:hAnsi="Calibri" w:cs="Calibri"/>
          <w:lang w:eastAsia="cs-CZ"/>
        </w:rPr>
        <w:t>/z parkoviště.</w:t>
      </w:r>
    </w:p>
    <w:p w14:paraId="24659DA0" w14:textId="77777777" w:rsidR="00CF6923" w:rsidRPr="00C811E8" w:rsidRDefault="00CF6923" w:rsidP="00CF6923">
      <w:pPr>
        <w:spacing w:line="240" w:lineRule="auto"/>
        <w:jc w:val="both"/>
        <w:rPr>
          <w:rFonts w:cs="Garamond"/>
        </w:rPr>
      </w:pPr>
      <w:r w:rsidRPr="00C811E8">
        <w:rPr>
          <w:rFonts w:cs="Garamond"/>
        </w:rPr>
        <w:t xml:space="preserve">Uživatelé jsou povinni informovat </w:t>
      </w:r>
      <w:r w:rsidR="008D0DF3" w:rsidRPr="00C811E8">
        <w:rPr>
          <w:rFonts w:cs="Garamond"/>
        </w:rPr>
        <w:t>recepční službu</w:t>
      </w:r>
      <w:r w:rsidRPr="00C811E8">
        <w:rPr>
          <w:rFonts w:cs="Garamond"/>
        </w:rPr>
        <w:t xml:space="preserve"> o všech mimořádných událostech </w:t>
      </w:r>
      <w:r w:rsidR="00A238DC" w:rsidRPr="00C811E8">
        <w:rPr>
          <w:rFonts w:cs="Garamond"/>
        </w:rPr>
        <w:t>na</w:t>
      </w:r>
      <w:r w:rsidRPr="00C811E8">
        <w:rPr>
          <w:rFonts w:cs="Garamond"/>
        </w:rPr>
        <w:t xml:space="preserve"> parkovišti (dopravní nehody, zranění, porucha vjezdové / výjezdové závory apod.).</w:t>
      </w:r>
    </w:p>
    <w:p w14:paraId="695CD099" w14:textId="77777777" w:rsidR="00F1345C" w:rsidRPr="00C811E8" w:rsidRDefault="007312C5" w:rsidP="00982734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C811E8">
        <w:rPr>
          <w:rFonts w:ascii="Calibri" w:eastAsia="Times New Roman" w:hAnsi="Calibri" w:cs="Calibri"/>
          <w:b/>
          <w:bCs/>
          <w:lang w:eastAsia="cs-CZ"/>
        </w:rPr>
        <w:t xml:space="preserve">Na </w:t>
      </w:r>
      <w:r w:rsidR="00982734" w:rsidRPr="00C811E8">
        <w:rPr>
          <w:rFonts w:ascii="Calibri" w:eastAsia="Times New Roman" w:hAnsi="Calibri" w:cs="Calibri"/>
          <w:b/>
          <w:bCs/>
          <w:lang w:eastAsia="cs-CZ"/>
        </w:rPr>
        <w:t>parkovišti</w:t>
      </w:r>
      <w:r w:rsidRPr="00C811E8">
        <w:rPr>
          <w:rFonts w:ascii="Calibri" w:eastAsia="Times New Roman" w:hAnsi="Calibri" w:cs="Calibri"/>
          <w:b/>
          <w:bCs/>
          <w:lang w:eastAsia="cs-CZ"/>
        </w:rPr>
        <w:t xml:space="preserve"> je zakázáno:</w:t>
      </w:r>
    </w:p>
    <w:p w14:paraId="28BB76BE" w14:textId="49F78F7B" w:rsidR="006B06AA" w:rsidRPr="00C811E8" w:rsidRDefault="006B2FBA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>Parkov</w:t>
      </w:r>
      <w:r w:rsidR="00982734" w:rsidRPr="00C811E8">
        <w:rPr>
          <w:rFonts w:ascii="Calibri" w:eastAsia="Times New Roman" w:hAnsi="Calibri" w:cs="Calibri"/>
          <w:lang w:eastAsia="cs-CZ"/>
        </w:rPr>
        <w:t>ání</w:t>
      </w:r>
      <w:r w:rsidRPr="00C811E8">
        <w:rPr>
          <w:rFonts w:ascii="Calibri" w:eastAsia="Times New Roman" w:hAnsi="Calibri" w:cs="Calibri"/>
          <w:lang w:eastAsia="cs-CZ"/>
        </w:rPr>
        <w:t xml:space="preserve"> na jiných </w:t>
      </w:r>
      <w:r w:rsidR="006B06AA" w:rsidRPr="00C811E8">
        <w:rPr>
          <w:rFonts w:ascii="Calibri" w:eastAsia="Times New Roman" w:hAnsi="Calibri" w:cs="Calibri"/>
          <w:lang w:eastAsia="cs-CZ"/>
        </w:rPr>
        <w:t>než k</w:t>
      </w:r>
      <w:r w:rsidR="00A238DC" w:rsidRPr="00C811E8">
        <w:rPr>
          <w:rFonts w:ascii="Calibri" w:eastAsia="Times New Roman" w:hAnsi="Calibri" w:cs="Calibri"/>
          <w:lang w:eastAsia="cs-CZ"/>
        </w:rPr>
        <w:t> </w:t>
      </w:r>
      <w:r w:rsidR="006B06AA" w:rsidRPr="00C811E8">
        <w:rPr>
          <w:rFonts w:ascii="Calibri" w:eastAsia="Times New Roman" w:hAnsi="Calibri" w:cs="Calibri"/>
          <w:lang w:eastAsia="cs-CZ"/>
        </w:rPr>
        <w:t>tomu určených místech.</w:t>
      </w:r>
      <w:r w:rsidR="00CF6923" w:rsidRPr="00C811E8">
        <w:rPr>
          <w:rFonts w:ascii="Calibri" w:eastAsia="Times New Roman" w:hAnsi="Calibri" w:cs="Calibri"/>
          <w:lang w:eastAsia="cs-CZ"/>
        </w:rPr>
        <w:t xml:space="preserve"> </w:t>
      </w:r>
      <w:r w:rsidR="00CF6923" w:rsidRPr="00C811E8">
        <w:t xml:space="preserve">Vozidla překážející provozu na </w:t>
      </w:r>
      <w:r w:rsidR="00A238DC" w:rsidRPr="00C811E8">
        <w:t>p</w:t>
      </w:r>
      <w:r w:rsidR="00CF6923" w:rsidRPr="00C811E8">
        <w:t xml:space="preserve">arkovišti budou na náklady majitelů těchto vozidel odtažena z prostoru </w:t>
      </w:r>
      <w:r w:rsidR="00A238DC" w:rsidRPr="00C811E8">
        <w:t>p</w:t>
      </w:r>
      <w:r w:rsidR="00CF6923" w:rsidRPr="00C811E8">
        <w:t>arkoviště.</w:t>
      </w:r>
    </w:p>
    <w:p w14:paraId="3AC725D9" w14:textId="77777777" w:rsidR="006B06AA" w:rsidRPr="00C811E8" w:rsidRDefault="006B2FBA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 xml:space="preserve">Vnášení a manipulace s nebezpečnými a škodlivými látkami. </w:t>
      </w:r>
    </w:p>
    <w:p w14:paraId="0503D2F9" w14:textId="77777777" w:rsidR="006B06AA" w:rsidRPr="00C811E8" w:rsidRDefault="006B2FBA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 xml:space="preserve">Doplňování pohonných hmot či manipulace s nimi. </w:t>
      </w:r>
    </w:p>
    <w:p w14:paraId="7EC14576" w14:textId="77777777" w:rsidR="006B06AA" w:rsidRPr="00C811E8" w:rsidRDefault="006B2FBA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>Sklado</w:t>
      </w:r>
      <w:r w:rsidR="00CF6923" w:rsidRPr="00C811E8">
        <w:rPr>
          <w:rFonts w:ascii="Calibri" w:eastAsia="Times New Roman" w:hAnsi="Calibri" w:cs="Calibri"/>
          <w:lang w:eastAsia="cs-CZ"/>
        </w:rPr>
        <w:t>vání odpadu či jiné nakládání s </w:t>
      </w:r>
      <w:r w:rsidRPr="00C811E8">
        <w:rPr>
          <w:rFonts w:ascii="Calibri" w:eastAsia="Times New Roman" w:hAnsi="Calibri" w:cs="Calibri"/>
          <w:lang w:eastAsia="cs-CZ"/>
        </w:rPr>
        <w:t xml:space="preserve">odpadem, zejména pak odpadu obsahujícího olej nebo hořlavé látky. </w:t>
      </w:r>
    </w:p>
    <w:p w14:paraId="5792CA1C" w14:textId="77777777" w:rsidR="006B06AA" w:rsidRPr="00C811E8" w:rsidRDefault="006B2FBA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 xml:space="preserve">Skladování jakýchkoliv látek či věcí s výjimkou vyhrazených míst. </w:t>
      </w:r>
    </w:p>
    <w:p w14:paraId="356072F5" w14:textId="55A53729" w:rsidR="00066656" w:rsidRPr="00C811E8" w:rsidRDefault="007312C5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cs="Garamond"/>
        </w:rPr>
        <w:t>Provádě</w:t>
      </w:r>
      <w:r w:rsidR="00982734" w:rsidRPr="00C811E8">
        <w:rPr>
          <w:rFonts w:cs="Garamond"/>
        </w:rPr>
        <w:t>ní</w:t>
      </w:r>
      <w:r w:rsidRPr="00C811E8">
        <w:rPr>
          <w:rFonts w:cs="Garamond"/>
        </w:rPr>
        <w:t xml:space="preserve"> údržb</w:t>
      </w:r>
      <w:r w:rsidR="00982734" w:rsidRPr="00C811E8">
        <w:rPr>
          <w:rFonts w:cs="Garamond"/>
        </w:rPr>
        <w:t>y</w:t>
      </w:r>
      <w:r w:rsidRPr="00C811E8">
        <w:rPr>
          <w:rFonts w:cs="Garamond"/>
        </w:rPr>
        <w:t xml:space="preserve"> a opravy vozidel, </w:t>
      </w:r>
      <w:r w:rsidR="004A6976" w:rsidRPr="00C811E8">
        <w:rPr>
          <w:rFonts w:cs="Garamond"/>
        </w:rPr>
        <w:t>včetně kontroly hladiny elektrolytu v akumulátorových bateriích vozidel</w:t>
      </w:r>
      <w:r w:rsidRPr="00C811E8">
        <w:rPr>
          <w:rFonts w:cs="Garamond"/>
        </w:rPr>
        <w:t>.</w:t>
      </w:r>
    </w:p>
    <w:p w14:paraId="5026F23A" w14:textId="77777777" w:rsidR="00CF6923" w:rsidRPr="00C811E8" w:rsidRDefault="00CF6923" w:rsidP="00CF692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cs="Garamond"/>
        </w:rPr>
        <w:t>M</w:t>
      </w:r>
      <w:r w:rsidR="00982734" w:rsidRPr="00C811E8">
        <w:rPr>
          <w:rFonts w:cs="Garamond"/>
        </w:rPr>
        <w:t>ytí</w:t>
      </w:r>
      <w:r w:rsidRPr="00C811E8">
        <w:rPr>
          <w:rFonts w:cs="Garamond"/>
        </w:rPr>
        <w:t xml:space="preserve"> nebo či</w:t>
      </w:r>
      <w:r w:rsidR="00982734" w:rsidRPr="00C811E8">
        <w:rPr>
          <w:rFonts w:cs="Garamond"/>
        </w:rPr>
        <w:t>štění</w:t>
      </w:r>
      <w:r w:rsidRPr="00C811E8">
        <w:rPr>
          <w:rFonts w:cs="Garamond"/>
        </w:rPr>
        <w:t xml:space="preserve"> vnitř</w:t>
      </w:r>
      <w:r w:rsidR="00982734" w:rsidRPr="00C811E8">
        <w:rPr>
          <w:rFonts w:cs="Garamond"/>
        </w:rPr>
        <w:t>ku</w:t>
      </w:r>
      <w:r w:rsidRPr="00C811E8">
        <w:rPr>
          <w:rFonts w:cs="Garamond"/>
        </w:rPr>
        <w:t xml:space="preserve"> vozidla, karosérie a motor</w:t>
      </w:r>
      <w:r w:rsidR="00982734" w:rsidRPr="00C811E8">
        <w:rPr>
          <w:rFonts w:cs="Garamond"/>
        </w:rPr>
        <w:t>ů</w:t>
      </w:r>
      <w:r w:rsidRPr="00C811E8">
        <w:rPr>
          <w:rFonts w:cs="Garamond"/>
        </w:rPr>
        <w:t xml:space="preserve"> parkujících vozidel.</w:t>
      </w:r>
    </w:p>
    <w:p w14:paraId="01277104" w14:textId="3E41FAA2" w:rsidR="006B06AA" w:rsidRPr="00C811E8" w:rsidRDefault="006B2FBA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>Parkování vozidel bez řádné registrační značky.</w:t>
      </w:r>
    </w:p>
    <w:p w14:paraId="6127670A" w14:textId="3923C94B" w:rsidR="006B06AA" w:rsidRDefault="006B2FBA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>Parkování vozidel s unikajícími provozními kapalinami (olej, chladicí kapalina atd.).</w:t>
      </w:r>
    </w:p>
    <w:p w14:paraId="2CEE2095" w14:textId="773E3294" w:rsidR="002F6EE0" w:rsidRPr="00C811E8" w:rsidRDefault="002F6EE0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Parkování vozidel vykazujících nadměrnou kouřivost.</w:t>
      </w:r>
    </w:p>
    <w:p w14:paraId="3FA8DA81" w14:textId="77777777" w:rsidR="00066656" w:rsidRPr="00C811E8" w:rsidRDefault="00982734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cs="Garamond"/>
        </w:rPr>
        <w:t>Jakéko</w:t>
      </w:r>
      <w:r w:rsidR="00066656" w:rsidRPr="00C811E8">
        <w:rPr>
          <w:rFonts w:cs="Garamond"/>
        </w:rPr>
        <w:t>liv znečišťov</w:t>
      </w:r>
      <w:r w:rsidRPr="00C811E8">
        <w:rPr>
          <w:rFonts w:cs="Garamond"/>
        </w:rPr>
        <w:t>ání</w:t>
      </w:r>
      <w:r w:rsidR="00066656" w:rsidRPr="00C811E8">
        <w:rPr>
          <w:rFonts w:cs="Garamond"/>
        </w:rPr>
        <w:t xml:space="preserve"> </w:t>
      </w:r>
      <w:r w:rsidRPr="00C811E8">
        <w:rPr>
          <w:rFonts w:cs="Garamond"/>
        </w:rPr>
        <w:t>parkoviště nedopalky cigaret, blátem z </w:t>
      </w:r>
      <w:r w:rsidR="00066656" w:rsidRPr="00C811E8">
        <w:rPr>
          <w:rFonts w:cs="Garamond"/>
        </w:rPr>
        <w:t>vozidel, výkaly či odpadky.</w:t>
      </w:r>
    </w:p>
    <w:p w14:paraId="4BD34D12" w14:textId="77777777" w:rsidR="00CF6923" w:rsidRPr="00C811E8" w:rsidRDefault="00CF6923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t>Poškozov</w:t>
      </w:r>
      <w:r w:rsidR="00982734" w:rsidRPr="00C811E8">
        <w:t>ání</w:t>
      </w:r>
      <w:r w:rsidRPr="00C811E8">
        <w:t xml:space="preserve"> </w:t>
      </w:r>
      <w:r w:rsidR="00434B59" w:rsidRPr="00C811E8">
        <w:t>p</w:t>
      </w:r>
      <w:r w:rsidRPr="00C811E8">
        <w:t xml:space="preserve">arkoviště a zařízení provozovatele na </w:t>
      </w:r>
      <w:r w:rsidR="00434B59" w:rsidRPr="00C811E8">
        <w:t>p</w:t>
      </w:r>
      <w:r w:rsidRPr="00C811E8">
        <w:t>arkovišti instalovaná.</w:t>
      </w:r>
    </w:p>
    <w:p w14:paraId="04408CF3" w14:textId="77777777" w:rsidR="00ED1B06" w:rsidRPr="00C811E8" w:rsidRDefault="00ED1B06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 w:rsidRPr="00C811E8">
        <w:t>Jezdit na kolech, koloběžkách, kolečkových bruslích, skateboardech či na jiných prostředcích (např. motokárách).</w:t>
      </w:r>
    </w:p>
    <w:p w14:paraId="3B6BFED9" w14:textId="77777777" w:rsidR="006B06AA" w:rsidRPr="00C811E8" w:rsidRDefault="006B2FBA" w:rsidP="0006665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>Ponechávání jakýchkoliv věcí, zejména cenných ve vozidlech, na vozidlech či v</w:t>
      </w:r>
      <w:r w:rsidR="004A6976" w:rsidRPr="00C811E8">
        <w:rPr>
          <w:rFonts w:ascii="Calibri" w:eastAsia="Times New Roman" w:hAnsi="Calibri" w:cs="Calibri"/>
          <w:lang w:eastAsia="cs-CZ"/>
        </w:rPr>
        <w:t> jejich okolí.</w:t>
      </w:r>
    </w:p>
    <w:p w14:paraId="391CA9FE" w14:textId="77777777" w:rsidR="006B2FBA" w:rsidRPr="003D49A3" w:rsidRDefault="00982734" w:rsidP="00CF6923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0" w:color="auto"/>
        </w:pBdr>
        <w:spacing w:before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D49A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DLOUHODOBÉ PARKOVÁNÍ VOZIDEL JE </w:t>
      </w:r>
      <w:r w:rsidR="00F1345C" w:rsidRPr="003D49A3">
        <w:rPr>
          <w:rFonts w:ascii="Calibri" w:eastAsia="Times New Roman" w:hAnsi="Calibri" w:cs="Calibri"/>
          <w:b/>
          <w:sz w:val="24"/>
          <w:szCs w:val="24"/>
          <w:lang w:eastAsia="cs-CZ"/>
        </w:rPr>
        <w:t>ZAK</w:t>
      </w:r>
      <w:r w:rsidRPr="003D49A3">
        <w:rPr>
          <w:rFonts w:ascii="Calibri" w:eastAsia="Times New Roman" w:hAnsi="Calibri" w:cs="Calibri"/>
          <w:b/>
          <w:sz w:val="24"/>
          <w:szCs w:val="24"/>
          <w:lang w:eastAsia="cs-CZ"/>
        </w:rPr>
        <w:t>ÁZÁNO</w:t>
      </w:r>
      <w:r w:rsidR="00F1345C" w:rsidRPr="003D49A3">
        <w:rPr>
          <w:rFonts w:ascii="Calibri" w:eastAsia="Times New Roman" w:hAnsi="Calibri" w:cs="Calibri"/>
          <w:b/>
          <w:sz w:val="24"/>
          <w:szCs w:val="24"/>
          <w:lang w:eastAsia="cs-CZ"/>
        </w:rPr>
        <w:t>!</w:t>
      </w:r>
    </w:p>
    <w:p w14:paraId="1BB242FA" w14:textId="77777777" w:rsidR="006B06AA" w:rsidRPr="00C811E8" w:rsidRDefault="006B2FBA" w:rsidP="00066656">
      <w:pPr>
        <w:keepNext/>
        <w:spacing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C811E8">
        <w:rPr>
          <w:rFonts w:ascii="Calibri" w:eastAsia="Times New Roman" w:hAnsi="Calibri" w:cs="Calibri"/>
          <w:b/>
          <w:bCs/>
          <w:lang w:eastAsia="cs-CZ"/>
        </w:rPr>
        <w:lastRenderedPageBreak/>
        <w:t xml:space="preserve">Povinnosti uživatelů </w:t>
      </w:r>
      <w:r w:rsidR="00982734" w:rsidRPr="00C811E8">
        <w:rPr>
          <w:rFonts w:ascii="Calibri" w:eastAsia="Times New Roman" w:hAnsi="Calibri" w:cs="Calibri"/>
          <w:b/>
          <w:bCs/>
          <w:lang w:eastAsia="cs-CZ"/>
        </w:rPr>
        <w:t>parkoviště</w:t>
      </w:r>
    </w:p>
    <w:p w14:paraId="20C03229" w14:textId="77777777" w:rsidR="006B06AA" w:rsidRPr="00C811E8" w:rsidRDefault="006B2FBA" w:rsidP="0006665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 xml:space="preserve">Neomezovat a neohrožovat ostatní uživatele </w:t>
      </w:r>
      <w:r w:rsidR="00434B59" w:rsidRPr="00C811E8">
        <w:rPr>
          <w:rFonts w:ascii="Calibri" w:eastAsia="Times New Roman" w:hAnsi="Calibri" w:cs="Calibri"/>
          <w:lang w:eastAsia="cs-CZ"/>
        </w:rPr>
        <w:t>parkoviště</w:t>
      </w:r>
      <w:r w:rsidR="006B06AA" w:rsidRPr="00C811E8">
        <w:rPr>
          <w:rFonts w:ascii="Calibri" w:eastAsia="Times New Roman" w:hAnsi="Calibri" w:cs="Calibri"/>
          <w:lang w:eastAsia="cs-CZ"/>
        </w:rPr>
        <w:t xml:space="preserve"> ani jiné osoby.</w:t>
      </w:r>
    </w:p>
    <w:p w14:paraId="0851115C" w14:textId="77777777" w:rsidR="006B06AA" w:rsidRPr="00C811E8" w:rsidRDefault="006B2FBA" w:rsidP="0006665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 xml:space="preserve">Počínat si tak, aby nevznikala ani nehrozila škoda na zdraví či majetku. </w:t>
      </w:r>
    </w:p>
    <w:p w14:paraId="2913AE52" w14:textId="77777777" w:rsidR="006B06AA" w:rsidRPr="00C811E8" w:rsidRDefault="006B2FBA" w:rsidP="0006665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 xml:space="preserve">Neznečišťovat prostor </w:t>
      </w:r>
      <w:r w:rsidR="00434B59" w:rsidRPr="00C811E8">
        <w:rPr>
          <w:rFonts w:ascii="Calibri" w:eastAsia="Times New Roman" w:hAnsi="Calibri" w:cs="Calibri"/>
          <w:lang w:eastAsia="cs-CZ"/>
        </w:rPr>
        <w:t>parkoviště</w:t>
      </w:r>
      <w:r w:rsidR="00CF6923" w:rsidRPr="00C811E8">
        <w:rPr>
          <w:rFonts w:ascii="Calibri" w:eastAsia="Times New Roman" w:hAnsi="Calibri" w:cs="Calibri"/>
          <w:lang w:eastAsia="cs-CZ"/>
        </w:rPr>
        <w:t>.</w:t>
      </w:r>
    </w:p>
    <w:p w14:paraId="73134698" w14:textId="77777777" w:rsidR="006B06AA" w:rsidRPr="00C811E8" w:rsidRDefault="006B2FBA" w:rsidP="0006665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>Motor vozidla vypnout ihned po jeho zaparkování a nastarto</w:t>
      </w:r>
      <w:r w:rsidR="006B06AA" w:rsidRPr="00C811E8">
        <w:rPr>
          <w:rFonts w:ascii="Calibri" w:eastAsia="Times New Roman" w:hAnsi="Calibri" w:cs="Calibri"/>
          <w:lang w:eastAsia="cs-CZ"/>
        </w:rPr>
        <w:t>vat pouze těsně před odjezdem z </w:t>
      </w:r>
      <w:r w:rsidR="00ED1B06" w:rsidRPr="00C811E8">
        <w:rPr>
          <w:rFonts w:ascii="Calibri" w:eastAsia="Times New Roman" w:hAnsi="Calibri" w:cs="Calibri"/>
          <w:lang w:eastAsia="cs-CZ"/>
        </w:rPr>
        <w:t>místa parkování.</w:t>
      </w:r>
    </w:p>
    <w:p w14:paraId="45882802" w14:textId="77777777" w:rsidR="006B06AA" w:rsidRPr="00C811E8" w:rsidRDefault="006B2FBA" w:rsidP="0006665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>Parkovat tak, aby zaparkované vozidlo nepřesahovalo daný vyhrazený parko</w:t>
      </w:r>
      <w:r w:rsidR="00ED1B06" w:rsidRPr="00C811E8">
        <w:rPr>
          <w:rFonts w:ascii="Calibri" w:eastAsia="Times New Roman" w:hAnsi="Calibri" w:cs="Calibri"/>
          <w:lang w:eastAsia="cs-CZ"/>
        </w:rPr>
        <w:t>vací prostor pro jedno vozidlo.</w:t>
      </w:r>
    </w:p>
    <w:p w14:paraId="1373B90F" w14:textId="77777777" w:rsidR="006B06AA" w:rsidRPr="00C811E8" w:rsidRDefault="006B2FBA" w:rsidP="0006665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 xml:space="preserve">Nezdržovat se v prostoru </w:t>
      </w:r>
      <w:r w:rsidR="00982734" w:rsidRPr="00C811E8">
        <w:rPr>
          <w:rFonts w:ascii="Calibri" w:eastAsia="Times New Roman" w:hAnsi="Calibri" w:cs="Calibri"/>
          <w:lang w:eastAsia="cs-CZ"/>
        </w:rPr>
        <w:t>parkoviště déle, než je nezbytně nutné</w:t>
      </w:r>
      <w:r w:rsidR="00ED1B06" w:rsidRPr="00C811E8">
        <w:rPr>
          <w:rFonts w:ascii="Calibri" w:eastAsia="Times New Roman" w:hAnsi="Calibri" w:cs="Calibri"/>
          <w:lang w:eastAsia="cs-CZ"/>
        </w:rPr>
        <w:t>.</w:t>
      </w:r>
    </w:p>
    <w:p w14:paraId="598F303E" w14:textId="77777777" w:rsidR="006B06AA" w:rsidRPr="00C811E8" w:rsidRDefault="006B2FBA" w:rsidP="0006665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>Neponecháv</w:t>
      </w:r>
      <w:r w:rsidR="00ED1B06" w:rsidRPr="00C811E8">
        <w:rPr>
          <w:rFonts w:ascii="Calibri" w:eastAsia="Times New Roman" w:hAnsi="Calibri" w:cs="Calibri"/>
          <w:lang w:eastAsia="cs-CZ"/>
        </w:rPr>
        <w:t>at ve vozidlech děti a zvířata.</w:t>
      </w:r>
    </w:p>
    <w:p w14:paraId="653A926A" w14:textId="77777777" w:rsidR="006B06AA" w:rsidRPr="00C811E8" w:rsidRDefault="006B2FBA" w:rsidP="0006665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 xml:space="preserve">Při </w:t>
      </w:r>
      <w:r w:rsidR="00ED1B06" w:rsidRPr="00C811E8">
        <w:rPr>
          <w:rFonts w:ascii="Calibri" w:eastAsia="Times New Roman" w:hAnsi="Calibri" w:cs="Calibri"/>
          <w:lang w:eastAsia="cs-CZ"/>
        </w:rPr>
        <w:t>pohybu</w:t>
      </w:r>
      <w:r w:rsidRPr="00C811E8">
        <w:rPr>
          <w:rFonts w:ascii="Calibri" w:eastAsia="Times New Roman" w:hAnsi="Calibri" w:cs="Calibri"/>
          <w:lang w:eastAsia="cs-CZ"/>
        </w:rPr>
        <w:t xml:space="preserve"> </w:t>
      </w:r>
      <w:r w:rsidR="00ED1B06" w:rsidRPr="00C811E8">
        <w:rPr>
          <w:rFonts w:ascii="Calibri" w:eastAsia="Times New Roman" w:hAnsi="Calibri" w:cs="Calibri"/>
          <w:lang w:eastAsia="cs-CZ"/>
        </w:rPr>
        <w:t xml:space="preserve">na parkovišti </w:t>
      </w:r>
      <w:r w:rsidR="001221B1" w:rsidRPr="00C811E8">
        <w:rPr>
          <w:rFonts w:ascii="Calibri" w:eastAsia="Times New Roman" w:hAnsi="Calibri" w:cs="Calibri"/>
          <w:lang w:eastAsia="cs-CZ"/>
        </w:rPr>
        <w:t>se chovat obezřetně a dbát zvýšené opatrnosti s ohledem na provoz motorových vozidel.</w:t>
      </w:r>
    </w:p>
    <w:p w14:paraId="130FC8D3" w14:textId="77777777" w:rsidR="006B2FBA" w:rsidRPr="00C811E8" w:rsidRDefault="006B2FBA" w:rsidP="0098273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C811E8">
        <w:rPr>
          <w:rFonts w:ascii="Calibri" w:eastAsia="Times New Roman" w:hAnsi="Calibri" w:cs="Calibri"/>
          <w:lang w:eastAsia="cs-CZ"/>
        </w:rPr>
        <w:t>Dospělí doprovázející děti jsou o</w:t>
      </w:r>
      <w:r w:rsidR="006B06AA" w:rsidRPr="00C811E8">
        <w:rPr>
          <w:rFonts w:ascii="Calibri" w:eastAsia="Times New Roman" w:hAnsi="Calibri" w:cs="Calibri"/>
          <w:lang w:eastAsia="cs-CZ"/>
        </w:rPr>
        <w:t xml:space="preserve">dpovědni za jejich bezpečnost </w:t>
      </w:r>
      <w:r w:rsidR="00982734" w:rsidRPr="00C811E8">
        <w:rPr>
          <w:rFonts w:ascii="Calibri" w:eastAsia="Times New Roman" w:hAnsi="Calibri" w:cs="Calibri"/>
          <w:lang w:eastAsia="cs-CZ"/>
        </w:rPr>
        <w:t>na parkovišti</w:t>
      </w:r>
      <w:r w:rsidR="00ED1B06" w:rsidRPr="00C811E8">
        <w:rPr>
          <w:rFonts w:ascii="Calibri" w:eastAsia="Times New Roman" w:hAnsi="Calibri" w:cs="Calibri"/>
          <w:lang w:eastAsia="cs-CZ"/>
        </w:rPr>
        <w:t>.</w:t>
      </w:r>
    </w:p>
    <w:p w14:paraId="5F97F1BC" w14:textId="77777777" w:rsidR="00982734" w:rsidRPr="00C811E8" w:rsidRDefault="00982734" w:rsidP="00982734">
      <w:pPr>
        <w:spacing w:after="0" w:line="240" w:lineRule="auto"/>
        <w:rPr>
          <w:b/>
        </w:rPr>
      </w:pPr>
    </w:p>
    <w:p w14:paraId="6321A425" w14:textId="77777777" w:rsidR="0086698C" w:rsidRPr="00C811E8" w:rsidRDefault="0086698C" w:rsidP="00982734">
      <w:pPr>
        <w:spacing w:after="0" w:line="240" w:lineRule="auto"/>
        <w:rPr>
          <w:b/>
        </w:rPr>
      </w:pPr>
    </w:p>
    <w:p w14:paraId="1CA2FA08" w14:textId="77777777" w:rsidR="0086698C" w:rsidRPr="00C811E8" w:rsidRDefault="0086698C" w:rsidP="0086698C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caps/>
          <w:lang w:eastAsia="cs-CZ"/>
        </w:rPr>
      </w:pPr>
      <w:r w:rsidRPr="00C811E8">
        <w:rPr>
          <w:b/>
          <w:caps/>
        </w:rPr>
        <w:t>Speciální ustanovení pro parkování v podzemních garážích</w:t>
      </w:r>
    </w:p>
    <w:p w14:paraId="335ECF89" w14:textId="77777777" w:rsidR="00982734" w:rsidRPr="00C811E8" w:rsidRDefault="00982734" w:rsidP="00982734">
      <w:pPr>
        <w:spacing w:after="0" w:line="240" w:lineRule="auto"/>
        <w:rPr>
          <w:b/>
        </w:rPr>
      </w:pPr>
    </w:p>
    <w:p w14:paraId="70D0E261" w14:textId="69C3269B" w:rsidR="00EF4571" w:rsidRPr="00307149" w:rsidRDefault="00EF4571" w:rsidP="00434B59">
      <w:pPr>
        <w:spacing w:line="240" w:lineRule="auto"/>
        <w:jc w:val="both"/>
      </w:pPr>
      <w:r w:rsidRPr="00307149">
        <w:t xml:space="preserve">Pro zaměstnance fakulty jsou vyhrazena bíle očíslovaná parkovací stání. </w:t>
      </w:r>
      <w:r w:rsidR="00307149" w:rsidRPr="00307149">
        <w:t>Žlutě očíslovaná parkovací stání slouží nájemcům CSP.</w:t>
      </w:r>
    </w:p>
    <w:p w14:paraId="4F829762" w14:textId="4D1B8E40" w:rsidR="00307149" w:rsidRPr="00307149" w:rsidRDefault="00CF6923" w:rsidP="00434B59">
      <w:pPr>
        <w:spacing w:line="240" w:lineRule="auto"/>
        <w:jc w:val="both"/>
      </w:pPr>
      <w:r w:rsidRPr="00307149">
        <w:t xml:space="preserve">Roleta u vjezdu do </w:t>
      </w:r>
      <w:r w:rsidR="00434B59" w:rsidRPr="00307149">
        <w:t xml:space="preserve">podzemních </w:t>
      </w:r>
      <w:r w:rsidRPr="00307149">
        <w:t xml:space="preserve">garáží </w:t>
      </w:r>
      <w:r w:rsidR="00434B59" w:rsidRPr="00307149">
        <w:t>je vytažena v </w:t>
      </w:r>
      <w:r w:rsidRPr="00307149">
        <w:t xml:space="preserve">pracovní dny od 5.30 </w:t>
      </w:r>
      <w:r w:rsidR="00434B59" w:rsidRPr="00307149">
        <w:t xml:space="preserve">hodin </w:t>
      </w:r>
      <w:r w:rsidRPr="00307149">
        <w:t>do 20.00</w:t>
      </w:r>
      <w:r w:rsidR="00434B59" w:rsidRPr="00307149">
        <w:t xml:space="preserve"> hodin</w:t>
      </w:r>
      <w:r w:rsidRPr="00307149">
        <w:t>. Mimo tuto dobu j</w:t>
      </w:r>
      <w:r w:rsidR="00307149" w:rsidRPr="00307149">
        <w:t>sou</w:t>
      </w:r>
      <w:r w:rsidRPr="00307149">
        <w:t xml:space="preserve"> </w:t>
      </w:r>
      <w:r w:rsidR="00307149" w:rsidRPr="00307149">
        <w:t>pro parkování zaměstnanců součástí MU s úvazkem ve výši alespoň 0,5, jejichž pracoviště je umístěno v budově, určena parkovací stání za budovou B.</w:t>
      </w:r>
    </w:p>
    <w:p w14:paraId="574C9150" w14:textId="60C5C02E" w:rsidR="00CF6923" w:rsidRPr="00C811E8" w:rsidRDefault="00307149" w:rsidP="00434B59">
      <w:pPr>
        <w:spacing w:line="240" w:lineRule="auto"/>
        <w:jc w:val="both"/>
      </w:pPr>
      <w:r w:rsidRPr="00C92307">
        <w:t xml:space="preserve">Nájemcům CSP je </w:t>
      </w:r>
      <w:r w:rsidR="00C92307" w:rsidRPr="00C92307">
        <w:t xml:space="preserve">vjezd do podzemních garáží umožněn bez omezení za těchto podmínek: </w:t>
      </w:r>
      <w:r w:rsidR="00CF6923" w:rsidRPr="00C92307">
        <w:t xml:space="preserve">pro vjezd do </w:t>
      </w:r>
      <w:r w:rsidR="00434B59" w:rsidRPr="00C92307">
        <w:t xml:space="preserve">podzemních </w:t>
      </w:r>
      <w:r w:rsidR="00CF6923" w:rsidRPr="00C92307">
        <w:t xml:space="preserve">garáží </w:t>
      </w:r>
      <w:r w:rsidR="00C92307" w:rsidRPr="00C92307">
        <w:t xml:space="preserve">je nutné </w:t>
      </w:r>
      <w:r w:rsidR="00CF6923" w:rsidRPr="00C92307">
        <w:t xml:space="preserve">nejprve zazvonit u sloupku při vjezdu na rampu, ohlásit se jménem recepčnímu, který roletu vytáhne a poté si </w:t>
      </w:r>
      <w:r w:rsidR="003A494D" w:rsidRPr="00C92307">
        <w:t>osoba</w:t>
      </w:r>
      <w:r w:rsidR="00434B59" w:rsidRPr="00C92307">
        <w:t xml:space="preserve"> žádající o vjezd do garáží vlastní </w:t>
      </w:r>
      <w:r w:rsidR="00C92307" w:rsidRPr="00C92307">
        <w:t xml:space="preserve">čipovou </w:t>
      </w:r>
      <w:r w:rsidR="00434B59" w:rsidRPr="00C92307">
        <w:t>kartou zvedne</w:t>
      </w:r>
      <w:r w:rsidR="00CF6923" w:rsidRPr="00C92307">
        <w:t xml:space="preserve"> závoru. Při výjezdu obdobně </w:t>
      </w:r>
      <w:r w:rsidR="00434B59" w:rsidRPr="00C92307">
        <w:t>–</w:t>
      </w:r>
      <w:r w:rsidR="00CF6923" w:rsidRPr="00C92307">
        <w:t xml:space="preserve"> nejprve</w:t>
      </w:r>
      <w:r w:rsidR="00434B59" w:rsidRPr="00C92307">
        <w:t xml:space="preserve"> je nutné na recepci požádat</w:t>
      </w:r>
      <w:r w:rsidR="00CF6923" w:rsidRPr="00C92307">
        <w:t xml:space="preserve"> pracovníky recepce, aby roletu vytáhli, poté </w:t>
      </w:r>
      <w:r w:rsidR="00434B59" w:rsidRPr="00C92307">
        <w:t>parkující opustí</w:t>
      </w:r>
      <w:r w:rsidR="00CF6923" w:rsidRPr="00C92307">
        <w:t xml:space="preserve"> garáž</w:t>
      </w:r>
      <w:r w:rsidR="00434B59" w:rsidRPr="00C92307">
        <w:t xml:space="preserve">, </w:t>
      </w:r>
      <w:r w:rsidR="00CF6923" w:rsidRPr="00C92307">
        <w:t xml:space="preserve">opět za použití vlastní </w:t>
      </w:r>
      <w:r w:rsidR="00C92307" w:rsidRPr="00C92307">
        <w:t>čipové</w:t>
      </w:r>
      <w:r w:rsidR="00434B59" w:rsidRPr="00C92307">
        <w:t xml:space="preserve"> karty k </w:t>
      </w:r>
      <w:r w:rsidR="00CF6923" w:rsidRPr="00C92307">
        <w:t>ovládání závory.</w:t>
      </w:r>
    </w:p>
    <w:p w14:paraId="2F6F7C09" w14:textId="77777777" w:rsidR="004A6976" w:rsidRPr="00C811E8" w:rsidRDefault="004A6976" w:rsidP="00434B59">
      <w:pPr>
        <w:spacing w:line="240" w:lineRule="auto"/>
        <w:jc w:val="both"/>
      </w:pPr>
    </w:p>
    <w:p w14:paraId="62F6342B" w14:textId="77777777" w:rsidR="003D49A3" w:rsidRPr="00B76930" w:rsidRDefault="004A6976" w:rsidP="003D49A3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0" w:line="240" w:lineRule="auto"/>
        <w:jc w:val="center"/>
        <w:rPr>
          <w:rFonts w:cs="Garamond"/>
          <w:b/>
          <w:caps/>
          <w:sz w:val="24"/>
          <w:szCs w:val="24"/>
        </w:rPr>
      </w:pPr>
      <w:r w:rsidRPr="00B76930">
        <w:rPr>
          <w:rFonts w:cs="Garamond"/>
          <w:b/>
          <w:caps/>
          <w:sz w:val="24"/>
          <w:szCs w:val="24"/>
        </w:rPr>
        <w:t>Do podzemn</w:t>
      </w:r>
      <w:r w:rsidR="003D49A3" w:rsidRPr="00B76930">
        <w:rPr>
          <w:rFonts w:cs="Garamond"/>
          <w:b/>
          <w:caps/>
          <w:sz w:val="24"/>
          <w:szCs w:val="24"/>
        </w:rPr>
        <w:t>ího parkoviště je zakázán vjezd</w:t>
      </w:r>
    </w:p>
    <w:p w14:paraId="1A3C39BA" w14:textId="77777777" w:rsidR="00CF6923" w:rsidRPr="00B76930" w:rsidRDefault="004A6976" w:rsidP="004A6976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240" w:lineRule="auto"/>
        <w:jc w:val="center"/>
        <w:rPr>
          <w:rFonts w:cs="Garamond"/>
          <w:b/>
          <w:caps/>
          <w:sz w:val="24"/>
          <w:szCs w:val="24"/>
        </w:rPr>
      </w:pPr>
      <w:r w:rsidRPr="00B76930">
        <w:rPr>
          <w:rFonts w:cs="Garamond"/>
          <w:b/>
          <w:caps/>
          <w:sz w:val="24"/>
          <w:szCs w:val="24"/>
        </w:rPr>
        <w:t>vozidlům s alternativním pohonem (L</w:t>
      </w:r>
      <w:r w:rsidR="00CF6923" w:rsidRPr="00B76930">
        <w:rPr>
          <w:rFonts w:cs="Garamond"/>
          <w:b/>
          <w:caps/>
          <w:sz w:val="24"/>
          <w:szCs w:val="24"/>
        </w:rPr>
        <w:t>PG</w:t>
      </w:r>
      <w:r w:rsidRPr="00B76930">
        <w:rPr>
          <w:rFonts w:cs="Garamond"/>
          <w:b/>
          <w:caps/>
          <w:sz w:val="24"/>
          <w:szCs w:val="24"/>
        </w:rPr>
        <w:t>, CNG)</w:t>
      </w:r>
      <w:r w:rsidR="003D49A3" w:rsidRPr="00B76930">
        <w:rPr>
          <w:rFonts w:cs="Garamond"/>
          <w:b/>
          <w:caps/>
          <w:sz w:val="24"/>
          <w:szCs w:val="24"/>
        </w:rPr>
        <w:t>!</w:t>
      </w:r>
    </w:p>
    <w:p w14:paraId="137F61D3" w14:textId="77777777" w:rsidR="004A6976" w:rsidRDefault="004A6976" w:rsidP="00DD272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8D8998C" w14:textId="77777777" w:rsidR="003D49A3" w:rsidRPr="00B76930" w:rsidRDefault="00982734" w:rsidP="003D49A3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0" w:line="240" w:lineRule="auto"/>
        <w:jc w:val="center"/>
        <w:rPr>
          <w:rFonts w:cs="Garamond"/>
          <w:b/>
          <w:caps/>
          <w:sz w:val="24"/>
          <w:szCs w:val="24"/>
        </w:rPr>
      </w:pPr>
      <w:r w:rsidRPr="00B76930">
        <w:rPr>
          <w:rFonts w:cs="Garamond"/>
          <w:b/>
          <w:caps/>
          <w:sz w:val="24"/>
          <w:szCs w:val="24"/>
        </w:rPr>
        <w:t>V prostor</w:t>
      </w:r>
      <w:r w:rsidR="003D49A3" w:rsidRPr="00B76930">
        <w:rPr>
          <w:rFonts w:cs="Garamond"/>
          <w:b/>
          <w:caps/>
          <w:sz w:val="24"/>
          <w:szCs w:val="24"/>
        </w:rPr>
        <w:t>u podzemních garáží je zakázáno</w:t>
      </w:r>
    </w:p>
    <w:p w14:paraId="488744AF" w14:textId="77777777" w:rsidR="00DD272F" w:rsidRPr="00B76930" w:rsidRDefault="00982734" w:rsidP="004A6976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0" w:color="auto"/>
        </w:pBdr>
        <w:spacing w:line="240" w:lineRule="auto"/>
        <w:jc w:val="center"/>
        <w:rPr>
          <w:rFonts w:cs="Garamond"/>
          <w:b/>
          <w:caps/>
          <w:sz w:val="24"/>
          <w:szCs w:val="24"/>
        </w:rPr>
      </w:pPr>
      <w:r w:rsidRPr="00B76930">
        <w:rPr>
          <w:rFonts w:cs="Garamond"/>
          <w:b/>
          <w:caps/>
          <w:sz w:val="24"/>
          <w:szCs w:val="24"/>
        </w:rPr>
        <w:t>k</w:t>
      </w:r>
      <w:r w:rsidR="00DD272F" w:rsidRPr="00B76930">
        <w:rPr>
          <w:rFonts w:cs="Garamond"/>
          <w:b/>
          <w:caps/>
          <w:sz w:val="24"/>
          <w:szCs w:val="24"/>
        </w:rPr>
        <w:t>ouření či manipulace s</w:t>
      </w:r>
      <w:r w:rsidR="004A6976" w:rsidRPr="00B76930">
        <w:rPr>
          <w:rFonts w:cs="Garamond"/>
          <w:b/>
          <w:caps/>
          <w:sz w:val="24"/>
          <w:szCs w:val="24"/>
        </w:rPr>
        <w:t> </w:t>
      </w:r>
      <w:r w:rsidR="003D49A3" w:rsidRPr="00B76930">
        <w:rPr>
          <w:rFonts w:cs="Garamond"/>
          <w:b/>
          <w:caps/>
          <w:sz w:val="24"/>
          <w:szCs w:val="24"/>
        </w:rPr>
        <w:t>otevřeným ohněm!</w:t>
      </w:r>
    </w:p>
    <w:p w14:paraId="0862C997" w14:textId="77777777" w:rsidR="00CF6923" w:rsidRDefault="00CF6923" w:rsidP="004A6976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0DC5B6E" w14:textId="77777777" w:rsidR="004E6CC9" w:rsidRDefault="004E6CC9" w:rsidP="004E6CC9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0" w:line="240" w:lineRule="auto"/>
        <w:jc w:val="center"/>
        <w:rPr>
          <w:rFonts w:cs="Garamond"/>
          <w:b/>
          <w:caps/>
          <w:sz w:val="24"/>
          <w:szCs w:val="24"/>
        </w:rPr>
      </w:pPr>
      <w:r>
        <w:rPr>
          <w:rFonts w:cs="Garamond"/>
          <w:b/>
          <w:caps/>
          <w:sz w:val="24"/>
          <w:szCs w:val="24"/>
        </w:rPr>
        <w:t xml:space="preserve">POHYB CHODCŮ na Vjezdové/Výjezdové rampě </w:t>
      </w:r>
    </w:p>
    <w:p w14:paraId="30AC5FEE" w14:textId="77777777" w:rsidR="004E6CC9" w:rsidRPr="00B76930" w:rsidRDefault="004E6CC9" w:rsidP="004E6CC9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0" w:line="240" w:lineRule="auto"/>
        <w:jc w:val="center"/>
        <w:rPr>
          <w:rFonts w:cs="Garamond"/>
          <w:b/>
          <w:caps/>
          <w:sz w:val="24"/>
          <w:szCs w:val="24"/>
        </w:rPr>
      </w:pPr>
      <w:r>
        <w:rPr>
          <w:rFonts w:cs="Garamond"/>
          <w:b/>
          <w:caps/>
          <w:sz w:val="24"/>
          <w:szCs w:val="24"/>
        </w:rPr>
        <w:t xml:space="preserve">do/Z </w:t>
      </w:r>
      <w:r w:rsidRPr="00B76930">
        <w:rPr>
          <w:rFonts w:cs="Garamond"/>
          <w:b/>
          <w:caps/>
          <w:sz w:val="24"/>
          <w:szCs w:val="24"/>
        </w:rPr>
        <w:t>podzemního parkoviště je zakázán</w:t>
      </w:r>
      <w:r>
        <w:rPr>
          <w:rFonts w:cs="Garamond"/>
          <w:b/>
          <w:caps/>
          <w:sz w:val="24"/>
          <w:szCs w:val="24"/>
        </w:rPr>
        <w:t>!</w:t>
      </w:r>
    </w:p>
    <w:p w14:paraId="5FE9068D" w14:textId="7636F387" w:rsidR="004E6CC9" w:rsidRDefault="004E6CC9" w:rsidP="004A6976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E778122" w14:textId="77777777" w:rsidR="002F6EE0" w:rsidRDefault="002F6EE0" w:rsidP="002F6EE0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0" w:line="240" w:lineRule="auto"/>
        <w:jc w:val="center"/>
        <w:rPr>
          <w:rFonts w:cs="Garamond"/>
          <w:b/>
          <w:caps/>
          <w:sz w:val="24"/>
          <w:szCs w:val="24"/>
        </w:rPr>
      </w:pPr>
      <w:r>
        <w:rPr>
          <w:rFonts w:cs="Garamond"/>
          <w:b/>
          <w:caps/>
          <w:sz w:val="24"/>
          <w:szCs w:val="24"/>
        </w:rPr>
        <w:t xml:space="preserve">Zákaz dobíjení dopravních prostředků s elektrickým pohonem </w:t>
      </w:r>
    </w:p>
    <w:p w14:paraId="7F885F7B" w14:textId="410AC826" w:rsidR="002F6EE0" w:rsidRPr="00B76930" w:rsidRDefault="002F6EE0" w:rsidP="002F6EE0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0" w:line="240" w:lineRule="auto"/>
        <w:jc w:val="center"/>
        <w:rPr>
          <w:rFonts w:cs="Garamond"/>
          <w:b/>
          <w:caps/>
          <w:sz w:val="24"/>
          <w:szCs w:val="24"/>
        </w:rPr>
      </w:pPr>
      <w:r>
        <w:rPr>
          <w:rFonts w:cs="Garamond"/>
          <w:b/>
          <w:caps/>
          <w:sz w:val="24"/>
          <w:szCs w:val="24"/>
        </w:rPr>
        <w:t>z elektrické instalace budovy bez povolení tajemníka FI!</w:t>
      </w:r>
    </w:p>
    <w:p w14:paraId="3529719D" w14:textId="77777777" w:rsidR="002F6EE0" w:rsidRPr="00982734" w:rsidRDefault="002F6EE0" w:rsidP="004A6976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2F6EE0" w:rsidRPr="00982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6A249" w14:textId="77777777" w:rsidR="002D1F15" w:rsidRDefault="002D1F15" w:rsidP="00DB7EF2">
      <w:pPr>
        <w:spacing w:after="0" w:line="240" w:lineRule="auto"/>
      </w:pPr>
      <w:r>
        <w:separator/>
      </w:r>
    </w:p>
  </w:endnote>
  <w:endnote w:type="continuationSeparator" w:id="0">
    <w:p w14:paraId="273925C9" w14:textId="77777777" w:rsidR="002D1F15" w:rsidRDefault="002D1F15" w:rsidP="00DB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6B6C" w14:textId="77777777" w:rsidR="00B02F63" w:rsidRDefault="00B02F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6105590"/>
      <w:docPartObj>
        <w:docPartGallery w:val="Page Numbers (Bottom of Page)"/>
        <w:docPartUnique/>
      </w:docPartObj>
    </w:sdtPr>
    <w:sdtEndPr/>
    <w:sdtContent>
      <w:p w14:paraId="799EFCEB" w14:textId="41F5230F" w:rsidR="00DB7EF2" w:rsidRDefault="00DB7E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D0">
          <w:rPr>
            <w:noProof/>
          </w:rPr>
          <w:t>2</w:t>
        </w:r>
        <w:r>
          <w:fldChar w:fldCharType="end"/>
        </w:r>
      </w:p>
    </w:sdtContent>
  </w:sdt>
  <w:p w14:paraId="6359B389" w14:textId="77777777" w:rsidR="00DB7EF2" w:rsidRDefault="00DB7E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7CF3" w14:textId="77777777" w:rsidR="00B02F63" w:rsidRDefault="00B02F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89FF8" w14:textId="77777777" w:rsidR="002D1F15" w:rsidRDefault="002D1F15" w:rsidP="00DB7EF2">
      <w:pPr>
        <w:spacing w:after="0" w:line="240" w:lineRule="auto"/>
      </w:pPr>
      <w:r>
        <w:separator/>
      </w:r>
    </w:p>
  </w:footnote>
  <w:footnote w:type="continuationSeparator" w:id="0">
    <w:p w14:paraId="56395A78" w14:textId="77777777" w:rsidR="002D1F15" w:rsidRDefault="002D1F15" w:rsidP="00DB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0A69" w14:textId="77777777" w:rsidR="00B02F63" w:rsidRDefault="00B02F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F2AD" w14:textId="77777777" w:rsidR="003D49A3" w:rsidRPr="00B02F63" w:rsidRDefault="00E231BB">
    <w:pPr>
      <w:pStyle w:val="Zhlav"/>
      <w:rPr>
        <w:sz w:val="20"/>
        <w:szCs w:val="20"/>
      </w:rPr>
    </w:pPr>
    <w:r w:rsidRPr="00B02F63">
      <w:rPr>
        <w:sz w:val="20"/>
        <w:szCs w:val="20"/>
      </w:rPr>
      <w:t>Provozní řád areálu Botanická 68</w:t>
    </w:r>
    <w:r w:rsidR="007D3327" w:rsidRPr="00B02F63">
      <w:rPr>
        <w:sz w:val="20"/>
        <w:szCs w:val="20"/>
      </w:rPr>
      <w:t>a</w:t>
    </w:r>
  </w:p>
  <w:p w14:paraId="3187B1D0" w14:textId="77777777" w:rsidR="00E231BB" w:rsidRPr="00B02F63" w:rsidRDefault="00E231BB">
    <w:pPr>
      <w:pStyle w:val="Zhlav"/>
      <w:rPr>
        <w:sz w:val="20"/>
        <w:szCs w:val="20"/>
      </w:rPr>
    </w:pPr>
    <w:r w:rsidRPr="00B02F63">
      <w:rPr>
        <w:sz w:val="20"/>
        <w:szCs w:val="20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FD90" w14:textId="77777777" w:rsidR="00B02F63" w:rsidRDefault="00B02F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23174"/>
    <w:multiLevelType w:val="hybridMultilevel"/>
    <w:tmpl w:val="BAFA9CEA"/>
    <w:lvl w:ilvl="0" w:tplc="B060C5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51038"/>
    <w:multiLevelType w:val="hybridMultilevel"/>
    <w:tmpl w:val="BDE6D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78E9"/>
    <w:multiLevelType w:val="hybridMultilevel"/>
    <w:tmpl w:val="3ECA59E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A14F6A"/>
    <w:multiLevelType w:val="hybridMultilevel"/>
    <w:tmpl w:val="9386FBCC"/>
    <w:lvl w:ilvl="0" w:tplc="BF04B5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7228"/>
    <w:multiLevelType w:val="hybridMultilevel"/>
    <w:tmpl w:val="AFC83986"/>
    <w:lvl w:ilvl="0" w:tplc="BF04B5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976EC"/>
    <w:multiLevelType w:val="hybridMultilevel"/>
    <w:tmpl w:val="143801E0"/>
    <w:lvl w:ilvl="0" w:tplc="BF04B5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BE2"/>
    <w:multiLevelType w:val="hybridMultilevel"/>
    <w:tmpl w:val="BBC865D6"/>
    <w:lvl w:ilvl="0" w:tplc="52EC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70007"/>
    <w:multiLevelType w:val="hybridMultilevel"/>
    <w:tmpl w:val="7586191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6F09B4C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BA"/>
    <w:rsid w:val="00007ED0"/>
    <w:rsid w:val="0004015C"/>
    <w:rsid w:val="00066656"/>
    <w:rsid w:val="000A1FD9"/>
    <w:rsid w:val="001221B1"/>
    <w:rsid w:val="00195B46"/>
    <w:rsid w:val="002D1F15"/>
    <w:rsid w:val="002F244B"/>
    <w:rsid w:val="002F6EE0"/>
    <w:rsid w:val="00307149"/>
    <w:rsid w:val="00311707"/>
    <w:rsid w:val="0037114F"/>
    <w:rsid w:val="003A494D"/>
    <w:rsid w:val="003D49A3"/>
    <w:rsid w:val="00434B59"/>
    <w:rsid w:val="00451A09"/>
    <w:rsid w:val="00466C75"/>
    <w:rsid w:val="004A6976"/>
    <w:rsid w:val="004E6CC9"/>
    <w:rsid w:val="004F7E5D"/>
    <w:rsid w:val="00534597"/>
    <w:rsid w:val="005F102E"/>
    <w:rsid w:val="00674C48"/>
    <w:rsid w:val="006B06AA"/>
    <w:rsid w:val="006B2FBA"/>
    <w:rsid w:val="007312C5"/>
    <w:rsid w:val="007402D9"/>
    <w:rsid w:val="00750438"/>
    <w:rsid w:val="00765707"/>
    <w:rsid w:val="007D3327"/>
    <w:rsid w:val="0082159E"/>
    <w:rsid w:val="0086698C"/>
    <w:rsid w:val="008877B4"/>
    <w:rsid w:val="008D0DF3"/>
    <w:rsid w:val="00982734"/>
    <w:rsid w:val="009877D2"/>
    <w:rsid w:val="009B72F6"/>
    <w:rsid w:val="00A238DC"/>
    <w:rsid w:val="00B02F63"/>
    <w:rsid w:val="00B76930"/>
    <w:rsid w:val="00BE3D71"/>
    <w:rsid w:val="00C073D7"/>
    <w:rsid w:val="00C349A4"/>
    <w:rsid w:val="00C478FA"/>
    <w:rsid w:val="00C77B7F"/>
    <w:rsid w:val="00C811E8"/>
    <w:rsid w:val="00C92307"/>
    <w:rsid w:val="00CF6923"/>
    <w:rsid w:val="00D148C6"/>
    <w:rsid w:val="00DB7EF2"/>
    <w:rsid w:val="00DD272F"/>
    <w:rsid w:val="00E231BB"/>
    <w:rsid w:val="00E31071"/>
    <w:rsid w:val="00E96548"/>
    <w:rsid w:val="00ED1B06"/>
    <w:rsid w:val="00EE0BB7"/>
    <w:rsid w:val="00EF4571"/>
    <w:rsid w:val="00F1345C"/>
    <w:rsid w:val="00F80B99"/>
    <w:rsid w:val="00F9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A658"/>
  <w15:docId w15:val="{501EBCFF-0407-4AF9-BA17-97649F4D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159E"/>
  </w:style>
  <w:style w:type="paragraph" w:styleId="Nadpis1">
    <w:name w:val="heading 1"/>
    <w:basedOn w:val="Normln"/>
    <w:next w:val="Normln"/>
    <w:link w:val="Nadpis1Char"/>
    <w:uiPriority w:val="9"/>
    <w:qFormat/>
    <w:rsid w:val="00821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1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1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15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15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15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15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15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15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1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1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15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15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15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15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15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15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15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15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15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1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215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215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159E"/>
    <w:rPr>
      <w:b/>
      <w:bCs/>
    </w:rPr>
  </w:style>
  <w:style w:type="character" w:styleId="Zdraznn">
    <w:name w:val="Emphasis"/>
    <w:basedOn w:val="Standardnpsmoodstavce"/>
    <w:uiPriority w:val="20"/>
    <w:qFormat/>
    <w:rsid w:val="0082159E"/>
    <w:rPr>
      <w:i/>
      <w:iCs/>
    </w:rPr>
  </w:style>
  <w:style w:type="paragraph" w:styleId="Bezmezer">
    <w:name w:val="No Spacing"/>
    <w:uiPriority w:val="1"/>
    <w:qFormat/>
    <w:rsid w:val="0082159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159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159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159E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15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159E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159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159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159E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159E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159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159E"/>
    <w:pPr>
      <w:outlineLvl w:val="9"/>
    </w:pPr>
  </w:style>
  <w:style w:type="paragraph" w:customStyle="1" w:styleId="datum">
    <w:name w:val="datum"/>
    <w:basedOn w:val="Normln"/>
    <w:rsid w:val="006B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B2FBA"/>
  </w:style>
  <w:style w:type="paragraph" w:styleId="Zhlav">
    <w:name w:val="header"/>
    <w:basedOn w:val="Normln"/>
    <w:link w:val="ZhlavChar"/>
    <w:uiPriority w:val="99"/>
    <w:unhideWhenUsed/>
    <w:rsid w:val="00DB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EF2"/>
  </w:style>
  <w:style w:type="paragraph" w:styleId="Zpat">
    <w:name w:val="footer"/>
    <w:basedOn w:val="Normln"/>
    <w:link w:val="ZpatChar"/>
    <w:uiPriority w:val="99"/>
    <w:unhideWhenUsed/>
    <w:rsid w:val="00DB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EF2"/>
  </w:style>
  <w:style w:type="character" w:styleId="Odkaznakoment">
    <w:name w:val="annotation reference"/>
    <w:basedOn w:val="Standardnpsmoodstavce"/>
    <w:uiPriority w:val="99"/>
    <w:semiHidden/>
    <w:unhideWhenUsed/>
    <w:rsid w:val="00C34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9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9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9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91C7-2764-4839-901E-7C3BC2BD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Hudec</dc:creator>
  <cp:lastModifiedBy>Lenka Bartošková</cp:lastModifiedBy>
  <cp:revision>8</cp:revision>
  <cp:lastPrinted>2020-08-31T05:00:00Z</cp:lastPrinted>
  <dcterms:created xsi:type="dcterms:W3CDTF">2020-08-29T08:12:00Z</dcterms:created>
  <dcterms:modified xsi:type="dcterms:W3CDTF">2020-09-28T09:59:00Z</dcterms:modified>
</cp:coreProperties>
</file>