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F4" w:rsidRPr="00126E62" w:rsidRDefault="0079541B" w:rsidP="000B63F4">
      <w:pPr>
        <w:spacing w:after="120"/>
        <w:jc w:val="center"/>
        <w:rPr>
          <w:rFonts w:ascii="Cambria" w:hAnsi="Cambria"/>
          <w:smallCaps/>
          <w:sz w:val="28"/>
          <w:szCs w:val="22"/>
          <w:lang w:val="en-US"/>
        </w:rPr>
      </w:pPr>
      <w:r w:rsidRPr="00126E62">
        <w:rPr>
          <w:rFonts w:ascii="Cambria" w:hAnsi="Cambria"/>
          <w:smallCaps/>
          <w:sz w:val="28"/>
          <w:szCs w:val="22"/>
          <w:lang w:val="en-US"/>
        </w:rPr>
        <w:t>Changi</w:t>
      </w:r>
      <w:bookmarkStart w:id="0" w:name="_GoBack"/>
      <w:bookmarkEnd w:id="0"/>
      <w:r w:rsidRPr="00126E62">
        <w:rPr>
          <w:rFonts w:ascii="Cambria" w:hAnsi="Cambria"/>
          <w:smallCaps/>
          <w:sz w:val="28"/>
          <w:szCs w:val="22"/>
          <w:lang w:val="en-US"/>
        </w:rPr>
        <w:t xml:space="preserve">ng </w:t>
      </w:r>
      <w:r w:rsidR="000B63F4" w:rsidRPr="00126E62">
        <w:rPr>
          <w:rFonts w:ascii="Cambria" w:hAnsi="Cambria"/>
          <w:smallCaps/>
          <w:sz w:val="28"/>
          <w:szCs w:val="22"/>
          <w:lang w:val="en-US"/>
        </w:rPr>
        <w:t>Identities</w:t>
      </w:r>
      <w:r w:rsidRPr="00126E62">
        <w:rPr>
          <w:rFonts w:ascii="Cambria" w:hAnsi="Cambria"/>
          <w:smallCaps/>
          <w:sz w:val="28"/>
          <w:szCs w:val="22"/>
          <w:lang w:val="en-US"/>
        </w:rPr>
        <w:t xml:space="preserve"> in Post-Cold War Central Europe</w:t>
      </w:r>
    </w:p>
    <w:p w:rsidR="000B63F4" w:rsidRPr="00CF7A7D" w:rsidRDefault="000B63F4" w:rsidP="000B63F4">
      <w:pPr>
        <w:pStyle w:val="C"/>
        <w:rPr>
          <w:rFonts w:ascii="Cambria" w:hAnsi="Cambria"/>
          <w:b w:val="0"/>
          <w:sz w:val="22"/>
          <w:szCs w:val="22"/>
          <w:lang w:val="en-US"/>
        </w:rPr>
      </w:pPr>
      <w:r w:rsidRPr="00CF7A7D">
        <w:rPr>
          <w:rFonts w:ascii="Cambria" w:hAnsi="Cambria"/>
          <w:b w:val="0"/>
          <w:sz w:val="22"/>
          <w:szCs w:val="22"/>
          <w:lang w:val="en-US"/>
        </w:rPr>
        <w:t>Spring 20</w:t>
      </w:r>
      <w:r w:rsidR="007C2680" w:rsidRPr="00CF7A7D">
        <w:rPr>
          <w:rFonts w:ascii="Cambria" w:hAnsi="Cambria"/>
          <w:b w:val="0"/>
          <w:sz w:val="22"/>
          <w:szCs w:val="22"/>
          <w:lang w:val="en-US"/>
        </w:rPr>
        <w:t>1</w:t>
      </w:r>
      <w:r w:rsidR="00190C98">
        <w:rPr>
          <w:rFonts w:ascii="Cambria" w:hAnsi="Cambria"/>
          <w:b w:val="0"/>
          <w:sz w:val="22"/>
          <w:szCs w:val="22"/>
          <w:lang w:val="en-US"/>
        </w:rPr>
        <w:t>4</w:t>
      </w:r>
    </w:p>
    <w:p w:rsidR="000B63F4" w:rsidRPr="00CF7A7D" w:rsidRDefault="000B63F4" w:rsidP="000B63F4">
      <w:pPr>
        <w:pStyle w:val="C"/>
        <w:rPr>
          <w:rFonts w:ascii="Cambria" w:hAnsi="Cambria"/>
          <w:b w:val="0"/>
          <w:sz w:val="22"/>
          <w:szCs w:val="22"/>
          <w:lang w:val="en-US"/>
        </w:rPr>
      </w:pPr>
      <w:r w:rsidRPr="00CF7A7D">
        <w:rPr>
          <w:rFonts w:ascii="Cambria" w:hAnsi="Cambria"/>
          <w:b w:val="0"/>
          <w:sz w:val="22"/>
          <w:szCs w:val="22"/>
          <w:lang w:val="en-US"/>
        </w:rPr>
        <w:t>Masaryk University in Brno</w:t>
      </w:r>
    </w:p>
    <w:p w:rsidR="003C7899" w:rsidRPr="0079541B" w:rsidRDefault="003C7899" w:rsidP="00B67D5F">
      <w:pPr>
        <w:pStyle w:val="C"/>
        <w:jc w:val="both"/>
        <w:rPr>
          <w:rFonts w:ascii="Cambria" w:hAnsi="Cambria"/>
          <w:b w:val="0"/>
          <w:sz w:val="22"/>
          <w:szCs w:val="22"/>
          <w:lang w:val="en-US"/>
        </w:rPr>
      </w:pPr>
    </w:p>
    <w:p w:rsidR="009F47A9" w:rsidRPr="0079541B" w:rsidRDefault="003C7899" w:rsidP="00B67D5F">
      <w:pPr>
        <w:jc w:val="both"/>
        <w:rPr>
          <w:rFonts w:ascii="Cambria" w:hAnsi="Cambria"/>
          <w:sz w:val="22"/>
          <w:szCs w:val="22"/>
          <w:lang w:val="en-US"/>
        </w:rPr>
      </w:pPr>
      <w:r w:rsidRPr="0079541B">
        <w:rPr>
          <w:rFonts w:ascii="Cambria" w:hAnsi="Cambria"/>
          <w:sz w:val="22"/>
          <w:szCs w:val="22"/>
          <w:lang w:val="en-US"/>
        </w:rPr>
        <w:t>Th</w:t>
      </w:r>
      <w:r w:rsidR="009F47A9" w:rsidRPr="0079541B">
        <w:rPr>
          <w:rFonts w:ascii="Cambria" w:hAnsi="Cambria"/>
          <w:sz w:val="22"/>
          <w:szCs w:val="22"/>
          <w:lang w:val="en-US"/>
        </w:rPr>
        <w:t>e</w:t>
      </w:r>
      <w:r w:rsidRPr="0079541B">
        <w:rPr>
          <w:rFonts w:ascii="Cambria" w:hAnsi="Cambria"/>
          <w:sz w:val="22"/>
          <w:szCs w:val="22"/>
          <w:lang w:val="en-US"/>
        </w:rPr>
        <w:t xml:space="preserve"> </w:t>
      </w:r>
      <w:r w:rsidR="00113761" w:rsidRPr="0079541B">
        <w:rPr>
          <w:rFonts w:ascii="Cambria" w:hAnsi="Cambria"/>
          <w:sz w:val="22"/>
          <w:szCs w:val="22"/>
          <w:lang w:val="en-US"/>
        </w:rPr>
        <w:t>seminar</w:t>
      </w:r>
      <w:r w:rsidRPr="0079541B">
        <w:rPr>
          <w:rFonts w:ascii="Cambria" w:hAnsi="Cambria"/>
          <w:sz w:val="22"/>
          <w:szCs w:val="22"/>
          <w:lang w:val="en-US"/>
        </w:rPr>
        <w:t xml:space="preserve"> </w:t>
      </w:r>
      <w:r w:rsidR="009F47A9" w:rsidRPr="0079541B">
        <w:rPr>
          <w:rFonts w:ascii="Cambria" w:hAnsi="Cambria"/>
          <w:sz w:val="22"/>
          <w:szCs w:val="22"/>
          <w:lang w:val="en-US"/>
        </w:rPr>
        <w:t>focuses on the cultural production and reproduction of identities in East-Central Europe, especially after the end of state-socialism</w:t>
      </w:r>
      <w:r w:rsidR="001D2049" w:rsidRPr="0079541B">
        <w:rPr>
          <w:rFonts w:ascii="Cambria" w:hAnsi="Cambria"/>
          <w:sz w:val="22"/>
          <w:szCs w:val="22"/>
          <w:lang w:val="en-US"/>
        </w:rPr>
        <w:t xml:space="preserve">, in order to </w:t>
      </w:r>
      <w:r w:rsidR="00985FE8" w:rsidRPr="0079541B">
        <w:rPr>
          <w:rFonts w:ascii="Cambria" w:hAnsi="Cambria"/>
          <w:sz w:val="22"/>
          <w:szCs w:val="22"/>
          <w:lang w:val="en-US"/>
        </w:rPr>
        <w:t>reveal</w:t>
      </w:r>
      <w:r w:rsidR="001D2049" w:rsidRPr="0079541B">
        <w:rPr>
          <w:rFonts w:ascii="Cambria" w:hAnsi="Cambria"/>
          <w:sz w:val="22"/>
          <w:szCs w:val="22"/>
          <w:lang w:val="en-US"/>
        </w:rPr>
        <w:t xml:space="preserve"> various cultural patterns of continuity and change</w:t>
      </w:r>
      <w:r w:rsidR="009F47A9" w:rsidRPr="0079541B">
        <w:rPr>
          <w:rFonts w:ascii="Cambria" w:hAnsi="Cambria"/>
          <w:sz w:val="22"/>
          <w:szCs w:val="22"/>
          <w:lang w:val="en-US"/>
        </w:rPr>
        <w:t>. The course starts with a</w:t>
      </w:r>
      <w:r w:rsidR="00CF7A7D">
        <w:rPr>
          <w:rFonts w:ascii="Cambria" w:hAnsi="Cambria"/>
          <w:sz w:val="22"/>
          <w:szCs w:val="22"/>
          <w:lang w:val="en-US"/>
        </w:rPr>
        <w:t xml:space="preserve"> brief</w:t>
      </w:r>
      <w:r w:rsidR="009F47A9" w:rsidRPr="0079541B">
        <w:rPr>
          <w:rFonts w:ascii="Cambria" w:hAnsi="Cambria"/>
          <w:sz w:val="22"/>
          <w:szCs w:val="22"/>
          <w:lang w:val="en-US"/>
        </w:rPr>
        <w:t xml:space="preserve"> overview of theoretical approaches and </w:t>
      </w:r>
      <w:r w:rsidR="00791491" w:rsidRPr="0079541B">
        <w:rPr>
          <w:rFonts w:ascii="Cambria" w:hAnsi="Cambria"/>
          <w:sz w:val="22"/>
          <w:szCs w:val="22"/>
          <w:lang w:val="en-US"/>
        </w:rPr>
        <w:t xml:space="preserve">historical legacies, and continues with the exploration of various forms of </w:t>
      </w:r>
      <w:r w:rsidR="001D2049" w:rsidRPr="0079541B">
        <w:rPr>
          <w:rFonts w:ascii="Cambria" w:hAnsi="Cambria"/>
          <w:sz w:val="22"/>
          <w:szCs w:val="22"/>
          <w:lang w:val="en-US"/>
        </w:rPr>
        <w:t xml:space="preserve">identities as they are presented and discussed in empirical case studies and ethnographic accounts. </w:t>
      </w:r>
    </w:p>
    <w:p w:rsidR="0005086F" w:rsidRPr="0079541B" w:rsidRDefault="0005086F" w:rsidP="00B67D5F">
      <w:pPr>
        <w:ind w:firstLine="708"/>
        <w:jc w:val="both"/>
        <w:rPr>
          <w:rFonts w:ascii="Cambria" w:hAnsi="Cambria"/>
          <w:sz w:val="22"/>
          <w:szCs w:val="22"/>
          <w:lang w:val="en-US"/>
        </w:rPr>
      </w:pPr>
      <w:r w:rsidRPr="0079541B">
        <w:rPr>
          <w:rFonts w:ascii="Cambria" w:hAnsi="Cambria"/>
          <w:sz w:val="22"/>
          <w:szCs w:val="22"/>
          <w:lang w:val="en-US"/>
        </w:rPr>
        <w:t xml:space="preserve">The format of the course is a combination of brief lectures and a </w:t>
      </w:r>
      <w:r w:rsidR="00985FE8" w:rsidRPr="0079541B">
        <w:rPr>
          <w:rFonts w:ascii="Cambria" w:hAnsi="Cambria"/>
          <w:sz w:val="22"/>
          <w:szCs w:val="22"/>
          <w:lang w:val="en-US"/>
        </w:rPr>
        <w:t>controlled</w:t>
      </w:r>
      <w:r w:rsidRPr="0079541B">
        <w:rPr>
          <w:rFonts w:ascii="Cambria" w:hAnsi="Cambria"/>
          <w:sz w:val="22"/>
          <w:szCs w:val="22"/>
          <w:lang w:val="en-US"/>
        </w:rPr>
        <w:t xml:space="preserve"> discussion of various assigned readings. The students </w:t>
      </w:r>
      <w:r w:rsidR="008D1E54" w:rsidRPr="0079541B">
        <w:rPr>
          <w:rFonts w:ascii="Cambria" w:hAnsi="Cambria"/>
          <w:sz w:val="22"/>
          <w:szCs w:val="22"/>
          <w:lang w:val="en-US"/>
        </w:rPr>
        <w:t xml:space="preserve">should </w:t>
      </w:r>
      <w:r w:rsidRPr="0079541B">
        <w:rPr>
          <w:rFonts w:ascii="Cambria" w:hAnsi="Cambria"/>
          <w:sz w:val="22"/>
          <w:szCs w:val="22"/>
          <w:lang w:val="en-US"/>
        </w:rPr>
        <w:t xml:space="preserve">be prepared to give concise presentations on </w:t>
      </w:r>
      <w:r w:rsidR="00A942BD" w:rsidRPr="0079541B">
        <w:rPr>
          <w:rFonts w:ascii="Cambria" w:hAnsi="Cambria"/>
          <w:sz w:val="22"/>
          <w:szCs w:val="22"/>
          <w:lang w:val="en-US"/>
        </w:rPr>
        <w:t xml:space="preserve">the readings during the class meetings and carry out </w:t>
      </w:r>
      <w:r w:rsidR="0090121D">
        <w:rPr>
          <w:rFonts w:ascii="Cambria" w:hAnsi="Cambria"/>
          <w:sz w:val="22"/>
          <w:szCs w:val="22"/>
          <w:lang w:val="en-US"/>
        </w:rPr>
        <w:t xml:space="preserve">focused </w:t>
      </w:r>
      <w:r w:rsidR="00A942BD" w:rsidRPr="0079541B">
        <w:rPr>
          <w:rFonts w:ascii="Cambria" w:hAnsi="Cambria"/>
          <w:sz w:val="22"/>
          <w:szCs w:val="22"/>
          <w:lang w:val="en-US"/>
        </w:rPr>
        <w:t>research tasks between them</w:t>
      </w:r>
      <w:r w:rsidRPr="0079541B">
        <w:rPr>
          <w:rFonts w:ascii="Cambria" w:hAnsi="Cambria"/>
          <w:sz w:val="22"/>
          <w:szCs w:val="22"/>
          <w:lang w:val="en-US"/>
        </w:rPr>
        <w:t xml:space="preserve">. The </w:t>
      </w:r>
      <w:r w:rsidR="00985FE8" w:rsidRPr="0079541B">
        <w:rPr>
          <w:rFonts w:ascii="Cambria" w:hAnsi="Cambria"/>
          <w:sz w:val="22"/>
          <w:szCs w:val="22"/>
          <w:lang w:val="en-US"/>
        </w:rPr>
        <w:t>class</w:t>
      </w:r>
      <w:r w:rsidRPr="0079541B">
        <w:rPr>
          <w:rFonts w:ascii="Cambria" w:hAnsi="Cambria"/>
          <w:sz w:val="22"/>
          <w:szCs w:val="22"/>
          <w:lang w:val="en-US"/>
        </w:rPr>
        <w:t xml:space="preserve"> </w:t>
      </w:r>
      <w:r w:rsidR="00985FE8" w:rsidRPr="0079541B">
        <w:rPr>
          <w:rFonts w:ascii="Cambria" w:hAnsi="Cambria"/>
          <w:sz w:val="22"/>
          <w:szCs w:val="22"/>
          <w:lang w:val="en-US"/>
        </w:rPr>
        <w:t>convenes</w:t>
      </w:r>
      <w:r w:rsidRPr="0079541B">
        <w:rPr>
          <w:rFonts w:ascii="Cambria" w:hAnsi="Cambria"/>
          <w:sz w:val="22"/>
          <w:szCs w:val="22"/>
          <w:lang w:val="en-US"/>
        </w:rPr>
        <w:t xml:space="preserve"> </w:t>
      </w:r>
      <w:r w:rsidR="009F47A9" w:rsidRPr="0079541B">
        <w:rPr>
          <w:rFonts w:ascii="Cambria" w:hAnsi="Cambria"/>
          <w:sz w:val="22"/>
          <w:szCs w:val="22"/>
          <w:lang w:val="en-US"/>
        </w:rPr>
        <w:t>on</w:t>
      </w:r>
      <w:r w:rsidR="00190C98">
        <w:rPr>
          <w:rFonts w:ascii="Cambria" w:hAnsi="Cambria"/>
          <w:sz w:val="22"/>
          <w:szCs w:val="22"/>
          <w:lang w:val="en-US"/>
        </w:rPr>
        <w:t xml:space="preserve"> the</w:t>
      </w:r>
      <w:r w:rsidR="009F47A9" w:rsidRPr="0079541B">
        <w:rPr>
          <w:rFonts w:ascii="Cambria" w:hAnsi="Cambria"/>
          <w:sz w:val="22"/>
          <w:szCs w:val="22"/>
          <w:lang w:val="en-US"/>
        </w:rPr>
        <w:t xml:space="preserve"> Thursdays</w:t>
      </w:r>
      <w:r w:rsidR="00190C98">
        <w:rPr>
          <w:rFonts w:ascii="Cambria" w:hAnsi="Cambria"/>
          <w:sz w:val="22"/>
          <w:szCs w:val="22"/>
          <w:lang w:val="en-US"/>
        </w:rPr>
        <w:t xml:space="preserve"> of March 6, March 13, March 27</w:t>
      </w:r>
      <w:r w:rsidR="0004373F">
        <w:rPr>
          <w:rFonts w:ascii="Cambria" w:hAnsi="Cambria"/>
          <w:sz w:val="22"/>
          <w:szCs w:val="22"/>
          <w:lang w:val="en-US"/>
        </w:rPr>
        <w:t>, April 3, April 17</w:t>
      </w:r>
      <w:r w:rsidR="00D870E0">
        <w:rPr>
          <w:rFonts w:ascii="Cambria" w:hAnsi="Cambria"/>
          <w:sz w:val="22"/>
          <w:szCs w:val="22"/>
          <w:lang w:val="en-US"/>
        </w:rPr>
        <w:t>, and April 24</w:t>
      </w:r>
      <w:r w:rsidR="009F47A9" w:rsidRPr="0079541B">
        <w:rPr>
          <w:rFonts w:ascii="Cambria" w:hAnsi="Cambria"/>
          <w:sz w:val="22"/>
          <w:szCs w:val="22"/>
          <w:lang w:val="en-US"/>
        </w:rPr>
        <w:t xml:space="preserve"> between 1</w:t>
      </w:r>
      <w:r w:rsidR="00D870E0">
        <w:rPr>
          <w:rFonts w:ascii="Cambria" w:hAnsi="Cambria"/>
          <w:sz w:val="22"/>
          <w:szCs w:val="22"/>
          <w:lang w:val="en-US"/>
        </w:rPr>
        <w:t>1</w:t>
      </w:r>
      <w:r w:rsidR="009F47A9" w:rsidRPr="0079541B">
        <w:rPr>
          <w:rFonts w:ascii="Cambria" w:hAnsi="Cambria"/>
          <w:sz w:val="22"/>
          <w:szCs w:val="22"/>
          <w:lang w:val="en-US"/>
        </w:rPr>
        <w:t>.</w:t>
      </w:r>
      <w:r w:rsidR="00D870E0">
        <w:rPr>
          <w:rFonts w:ascii="Cambria" w:hAnsi="Cambria"/>
          <w:sz w:val="22"/>
          <w:szCs w:val="22"/>
          <w:lang w:val="en-US"/>
        </w:rPr>
        <w:t>3</w:t>
      </w:r>
      <w:r w:rsidR="00126E62">
        <w:rPr>
          <w:rFonts w:ascii="Cambria" w:hAnsi="Cambria"/>
          <w:sz w:val="22"/>
          <w:szCs w:val="22"/>
          <w:lang w:val="en-US"/>
        </w:rPr>
        <w:t>0 and 1</w:t>
      </w:r>
      <w:r w:rsidR="00D870E0">
        <w:rPr>
          <w:rFonts w:ascii="Cambria" w:hAnsi="Cambria"/>
          <w:sz w:val="22"/>
          <w:szCs w:val="22"/>
          <w:lang w:val="en-US"/>
        </w:rPr>
        <w:t>4</w:t>
      </w:r>
      <w:r w:rsidR="009F47A9" w:rsidRPr="0079541B">
        <w:rPr>
          <w:rFonts w:ascii="Cambria" w:hAnsi="Cambria"/>
          <w:sz w:val="22"/>
          <w:szCs w:val="22"/>
          <w:lang w:val="en-US"/>
        </w:rPr>
        <w:t>.</w:t>
      </w:r>
      <w:r w:rsidR="00D870E0">
        <w:rPr>
          <w:rFonts w:ascii="Cambria" w:hAnsi="Cambria"/>
          <w:sz w:val="22"/>
          <w:szCs w:val="22"/>
          <w:lang w:val="en-US"/>
        </w:rPr>
        <w:t>45</w:t>
      </w:r>
      <w:r w:rsidR="00B106AB">
        <w:rPr>
          <w:rFonts w:ascii="Cambria" w:hAnsi="Cambria"/>
          <w:sz w:val="22"/>
          <w:szCs w:val="22"/>
          <w:lang w:val="en-US"/>
        </w:rPr>
        <w:t xml:space="preserve"> (that is, in a 2+1 week rhythm)</w:t>
      </w:r>
      <w:r w:rsidRPr="0079541B">
        <w:rPr>
          <w:rFonts w:ascii="Cambria" w:hAnsi="Cambria"/>
          <w:sz w:val="22"/>
          <w:szCs w:val="22"/>
          <w:lang w:val="en-US"/>
        </w:rPr>
        <w:t>.</w:t>
      </w:r>
      <w:r w:rsidR="00195672">
        <w:rPr>
          <w:rFonts w:ascii="Cambria" w:hAnsi="Cambria"/>
          <w:sz w:val="22"/>
          <w:szCs w:val="22"/>
          <w:lang w:val="en-US"/>
        </w:rPr>
        <w:t xml:space="preserve"> Please note that the enrollment of only those students will be considered</w:t>
      </w:r>
      <w:r w:rsidR="00B106AB">
        <w:rPr>
          <w:rFonts w:ascii="Cambria" w:hAnsi="Cambria"/>
          <w:sz w:val="22"/>
          <w:szCs w:val="22"/>
          <w:lang w:val="en-US"/>
        </w:rPr>
        <w:t xml:space="preserve"> final who are present in the first class session on March 6.</w:t>
      </w:r>
    </w:p>
    <w:p w:rsidR="0005086F" w:rsidRPr="0079541B" w:rsidRDefault="0005086F" w:rsidP="00EF07C1">
      <w:pPr>
        <w:rPr>
          <w:rFonts w:ascii="Cambria" w:hAnsi="Cambria"/>
          <w:sz w:val="22"/>
          <w:szCs w:val="22"/>
          <w:lang w:val="en-US"/>
        </w:rPr>
      </w:pPr>
    </w:p>
    <w:tbl>
      <w:tblPr>
        <w:tblW w:w="925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1418"/>
        <w:gridCol w:w="5919"/>
      </w:tblGrid>
      <w:tr w:rsidR="0005086F" w:rsidRPr="0079541B" w:rsidTr="00126E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shd w:val="pct10" w:color="000000" w:fill="FFFFFF"/>
            <w:vAlign w:val="center"/>
          </w:tcPr>
          <w:p w:rsidR="0005086F" w:rsidRPr="0079541B" w:rsidRDefault="0005086F" w:rsidP="00126E62">
            <w:pPr>
              <w:ind w:right="57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pct10" w:color="000000" w:fill="FFFFFF"/>
            <w:vAlign w:val="center"/>
          </w:tcPr>
          <w:p w:rsidR="0005086F" w:rsidRPr="0079541B" w:rsidRDefault="0005086F" w:rsidP="00541CCF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pct10" w:color="000000" w:fill="FFFFFF"/>
            <w:vAlign w:val="center"/>
          </w:tcPr>
          <w:p w:rsidR="0005086F" w:rsidRPr="0079541B" w:rsidRDefault="0005086F" w:rsidP="00541CCF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5919" w:type="dxa"/>
            <w:shd w:val="pct10" w:color="000000" w:fill="FFFFFF"/>
            <w:vAlign w:val="center"/>
          </w:tcPr>
          <w:p w:rsidR="0005086F" w:rsidRPr="0079541B" w:rsidRDefault="0005086F" w:rsidP="00541CCF">
            <w:pPr>
              <w:pStyle w:val="Nadpis6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4E0E44" w:rsidRPr="0079541B" w:rsidTr="00126E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vAlign w:val="center"/>
          </w:tcPr>
          <w:p w:rsidR="004E0E44" w:rsidRPr="0079541B" w:rsidRDefault="004E0E44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4E0E44" w:rsidRPr="0079541B" w:rsidRDefault="00D870E0" w:rsidP="007C2680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March 6</w:t>
            </w:r>
          </w:p>
        </w:tc>
        <w:tc>
          <w:tcPr>
            <w:tcW w:w="1418" w:type="dxa"/>
            <w:vAlign w:val="center"/>
          </w:tcPr>
          <w:p w:rsidR="004E0E44" w:rsidRPr="0079541B" w:rsidRDefault="004E0E44" w:rsidP="00D870E0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 w:rsidR="00D870E0"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="00D870E0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0–1</w:t>
            </w:r>
            <w:r w:rsidR="00126E62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="00D870E0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vAlign w:val="center"/>
          </w:tcPr>
          <w:p w:rsidR="004E0E44" w:rsidRPr="0079541B" w:rsidRDefault="004E0E44" w:rsidP="00126E62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Introduction: cultural and political theories of identity</w:t>
            </w:r>
          </w:p>
        </w:tc>
      </w:tr>
      <w:tr w:rsidR="004E0E44" w:rsidRPr="0079541B" w:rsidTr="00CF7A7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tcBorders>
              <w:bottom w:val="double" w:sz="4" w:space="0" w:color="A6A6A6"/>
            </w:tcBorders>
            <w:vAlign w:val="center"/>
          </w:tcPr>
          <w:p w:rsidR="004E0E44" w:rsidRPr="0079541B" w:rsidRDefault="004E0E44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bottom w:val="double" w:sz="4" w:space="0" w:color="A6A6A6"/>
            </w:tcBorders>
            <w:vAlign w:val="center"/>
          </w:tcPr>
          <w:p w:rsidR="004E0E44" w:rsidRPr="0079541B" w:rsidRDefault="00D870E0" w:rsidP="007C2680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March 6</w:t>
            </w:r>
          </w:p>
        </w:tc>
        <w:tc>
          <w:tcPr>
            <w:tcW w:w="1418" w:type="dxa"/>
            <w:tcBorders>
              <w:bottom w:val="double" w:sz="4" w:space="0" w:color="A6A6A6"/>
            </w:tcBorders>
            <w:vAlign w:val="center"/>
          </w:tcPr>
          <w:p w:rsidR="004E0E44" w:rsidRPr="0079541B" w:rsidRDefault="00126E62" w:rsidP="00195672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 w:rsidR="00195672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="004E0E44"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="00195672"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  <w:r w:rsidR="004E0E44" w:rsidRPr="0079541B">
              <w:rPr>
                <w:rFonts w:ascii="Cambria" w:hAnsi="Cambria"/>
                <w:sz w:val="22"/>
                <w:szCs w:val="22"/>
                <w:lang w:val="en-US"/>
              </w:rPr>
              <w:t>–1</w:t>
            </w:r>
            <w:r w:rsidR="00195672">
              <w:rPr>
                <w:rFonts w:ascii="Cambria" w:hAnsi="Cambria"/>
                <w:sz w:val="22"/>
                <w:szCs w:val="22"/>
                <w:lang w:val="en-US"/>
              </w:rPr>
              <w:t>4</w:t>
            </w:r>
            <w:r w:rsidR="004E0E44"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 w:rsidR="00195672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="004E0E44"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tcBorders>
              <w:bottom w:val="double" w:sz="4" w:space="0" w:color="A6A6A6"/>
            </w:tcBorders>
            <w:vAlign w:val="center"/>
          </w:tcPr>
          <w:p w:rsidR="004E0E44" w:rsidRPr="0079541B" w:rsidRDefault="00EF07C1" w:rsidP="00126E62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C</w:t>
            </w:r>
            <w:r w:rsidR="004E0E44" w:rsidRPr="0079541B">
              <w:rPr>
                <w:rFonts w:ascii="Cambria" w:hAnsi="Cambria"/>
                <w:sz w:val="22"/>
                <w:szCs w:val="22"/>
                <w:lang w:val="en-US"/>
              </w:rPr>
              <w:t>ultural geographies of East-Central Europe</w:t>
            </w:r>
          </w:p>
        </w:tc>
      </w:tr>
      <w:tr w:rsidR="00195672" w:rsidRPr="0079541B" w:rsidTr="00CF7A7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D870E0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 xml:space="preserve">March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0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6248E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Nationalism and national minorities</w:t>
            </w:r>
          </w:p>
        </w:tc>
      </w:tr>
      <w:tr w:rsidR="00195672" w:rsidRPr="0079541B" w:rsidTr="00CF7A7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7C2680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 xml:space="preserve">March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8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13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4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126E62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R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ace and ethnicity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: ascribed and adopted identities</w:t>
            </w:r>
          </w:p>
        </w:tc>
      </w:tr>
      <w:tr w:rsidR="00195672" w:rsidRPr="0079541B" w:rsidTr="00126E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195672" w:rsidRPr="0079541B" w:rsidRDefault="00195672" w:rsidP="004E0E44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March 27</w:t>
            </w:r>
          </w:p>
        </w:tc>
        <w:tc>
          <w:tcPr>
            <w:tcW w:w="1418" w:type="dxa"/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0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vAlign w:val="center"/>
          </w:tcPr>
          <w:p w:rsidR="00195672" w:rsidRPr="0079541B" w:rsidRDefault="00195672" w:rsidP="00326D1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History, m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emory and forgetting: reworking identities</w:t>
            </w:r>
          </w:p>
          <w:p w:rsidR="00195672" w:rsidRPr="0079541B" w:rsidRDefault="00195672" w:rsidP="006248E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195672" w:rsidRPr="0079541B" w:rsidTr="00CF7A7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4E0E44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March 2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13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4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6248E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Religious revival and emerging fundamentalism</w:t>
            </w:r>
          </w:p>
        </w:tc>
      </w:tr>
      <w:tr w:rsidR="00195672" w:rsidRPr="0079541B" w:rsidTr="00CF7A7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7C2680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 xml:space="preserve">April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0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6248E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Citizenship: exclusion and inclusion</w:t>
            </w:r>
          </w:p>
        </w:tc>
      </w:tr>
      <w:tr w:rsidR="00195672" w:rsidRPr="0079541B" w:rsidTr="00CF7A7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8</w:t>
            </w:r>
          </w:p>
        </w:tc>
        <w:tc>
          <w:tcPr>
            <w:tcW w:w="1417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D870E0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 xml:space="preserve">April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13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4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6248E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Property, personhood, and community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: selves and identities</w:t>
            </w:r>
          </w:p>
        </w:tc>
      </w:tr>
      <w:tr w:rsidR="00195672" w:rsidRPr="0079541B" w:rsidTr="00CF7A7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9</w:t>
            </w:r>
          </w:p>
        </w:tc>
        <w:tc>
          <w:tcPr>
            <w:tcW w:w="1417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4E0E44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 xml:space="preserve">April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17</w:t>
            </w:r>
          </w:p>
        </w:tc>
        <w:tc>
          <w:tcPr>
            <w:tcW w:w="1418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0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6248E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Class cultures: vocational identity, flexibility, and mobility</w:t>
            </w:r>
          </w:p>
        </w:tc>
      </w:tr>
      <w:tr w:rsidR="00195672" w:rsidRPr="0079541B" w:rsidTr="00CF7A7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417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4E0E44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 xml:space="preserve">April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17</w:t>
            </w:r>
          </w:p>
        </w:tc>
        <w:tc>
          <w:tcPr>
            <w:tcW w:w="1418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13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4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tcBorders>
              <w:bottom w:val="double" w:sz="4" w:space="0" w:color="A6A6A6"/>
            </w:tcBorders>
            <w:vAlign w:val="center"/>
          </w:tcPr>
          <w:p w:rsidR="00195672" w:rsidRPr="0079541B" w:rsidRDefault="00195672" w:rsidP="006248E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L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eisure, consumption, and situational identit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ies</w:t>
            </w:r>
          </w:p>
        </w:tc>
      </w:tr>
      <w:tr w:rsidR="00195672" w:rsidRPr="0079541B" w:rsidTr="00CF7A7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541CCF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April 24</w:t>
            </w:r>
          </w:p>
        </w:tc>
        <w:tc>
          <w:tcPr>
            <w:tcW w:w="1418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0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tcBorders>
              <w:top w:val="double" w:sz="4" w:space="0" w:color="A6A6A6"/>
            </w:tcBorders>
            <w:vAlign w:val="center"/>
          </w:tcPr>
          <w:p w:rsidR="00195672" w:rsidRPr="0079541B" w:rsidRDefault="00195672" w:rsidP="006248E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Gendered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 xml:space="preserve"> and generation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al identities</w:t>
            </w:r>
          </w:p>
        </w:tc>
      </w:tr>
      <w:tr w:rsidR="00195672" w:rsidRPr="0079541B" w:rsidTr="00126E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vAlign w:val="center"/>
          </w:tcPr>
          <w:p w:rsidR="00195672" w:rsidRPr="0079541B" w:rsidRDefault="00195672" w:rsidP="00126E62">
            <w:pPr>
              <w:ind w:right="57"/>
              <w:jc w:val="right"/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 w:rsidR="00195672" w:rsidRPr="0079541B" w:rsidRDefault="00195672" w:rsidP="00CF7A7D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April 24</w:t>
            </w:r>
          </w:p>
        </w:tc>
        <w:tc>
          <w:tcPr>
            <w:tcW w:w="1418" w:type="dxa"/>
            <w:vAlign w:val="center"/>
          </w:tcPr>
          <w:p w:rsidR="00195672" w:rsidRPr="0079541B" w:rsidRDefault="00195672" w:rsidP="00FD04D4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13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–1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4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.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>0</w:t>
            </w:r>
          </w:p>
        </w:tc>
        <w:tc>
          <w:tcPr>
            <w:tcW w:w="5919" w:type="dxa"/>
            <w:vAlign w:val="center"/>
          </w:tcPr>
          <w:p w:rsidR="00195672" w:rsidRPr="0079541B" w:rsidRDefault="00195672" w:rsidP="006248EB">
            <w:pPr>
              <w:ind w:left="57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Rethinking</w:t>
            </w: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 xml:space="preserve"> the family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: feminism and anti-feminism</w:t>
            </w:r>
          </w:p>
        </w:tc>
      </w:tr>
      <w:tr w:rsidR="00326D1B" w:rsidRPr="0079541B" w:rsidTr="00126E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shd w:val="pct10" w:color="000000" w:fill="FFFFFF"/>
            <w:vAlign w:val="center"/>
          </w:tcPr>
          <w:p w:rsidR="00326D1B" w:rsidRPr="0079541B" w:rsidRDefault="00326D1B" w:rsidP="00126E62">
            <w:pPr>
              <w:ind w:right="57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pct10" w:color="000000" w:fill="FFFFFF"/>
            <w:vAlign w:val="center"/>
          </w:tcPr>
          <w:p w:rsidR="00326D1B" w:rsidRPr="0079541B" w:rsidRDefault="00326D1B" w:rsidP="00195672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sz w:val="22"/>
                <w:szCs w:val="22"/>
                <w:lang w:val="en-US"/>
              </w:rPr>
              <w:t xml:space="preserve">May </w:t>
            </w:r>
            <w:r w:rsidR="00195672">
              <w:rPr>
                <w:rFonts w:ascii="Cambria" w:hAnsi="Cambria"/>
                <w:sz w:val="22"/>
                <w:szCs w:val="22"/>
                <w:lang w:val="en-US"/>
              </w:rPr>
              <w:t>15</w:t>
            </w:r>
          </w:p>
        </w:tc>
        <w:tc>
          <w:tcPr>
            <w:tcW w:w="1418" w:type="dxa"/>
            <w:shd w:val="pct10" w:color="000000" w:fill="FFFFFF"/>
            <w:vAlign w:val="center"/>
          </w:tcPr>
          <w:p w:rsidR="00326D1B" w:rsidRPr="0079541B" w:rsidRDefault="00195672" w:rsidP="00195672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12:00</w:t>
            </w:r>
          </w:p>
        </w:tc>
        <w:tc>
          <w:tcPr>
            <w:tcW w:w="5919" w:type="dxa"/>
            <w:shd w:val="pct10" w:color="000000" w:fill="FFFFFF"/>
            <w:vAlign w:val="center"/>
          </w:tcPr>
          <w:p w:rsidR="00326D1B" w:rsidRPr="0079541B" w:rsidRDefault="00326D1B" w:rsidP="00126E62">
            <w:pPr>
              <w:ind w:left="57"/>
              <w:rPr>
                <w:rFonts w:ascii="Cambria" w:hAnsi="Cambria"/>
                <w:i/>
                <w:sz w:val="22"/>
                <w:szCs w:val="22"/>
                <w:lang w:val="en-US"/>
              </w:rPr>
            </w:pPr>
            <w:r w:rsidRPr="0079541B">
              <w:rPr>
                <w:rFonts w:ascii="Cambria" w:hAnsi="Cambria"/>
                <w:i/>
                <w:sz w:val="22"/>
                <w:szCs w:val="22"/>
                <w:lang w:val="en-US"/>
              </w:rPr>
              <w:t>Final papers due</w:t>
            </w:r>
          </w:p>
        </w:tc>
      </w:tr>
      <w:tr w:rsidR="00195672" w:rsidRPr="0079541B" w:rsidTr="001956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96" w:type="dxa"/>
            <w:shd w:val="clear" w:color="auto" w:fill="FFFFFF"/>
            <w:vAlign w:val="center"/>
          </w:tcPr>
          <w:p w:rsidR="00195672" w:rsidRPr="0079541B" w:rsidRDefault="00195672" w:rsidP="00126E62">
            <w:pPr>
              <w:ind w:right="57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95672" w:rsidRPr="0079541B" w:rsidRDefault="00195672" w:rsidP="00195672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May 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5672" w:rsidRPr="0079541B" w:rsidRDefault="00195672" w:rsidP="00195672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12:00</w:t>
            </w:r>
          </w:p>
        </w:tc>
        <w:tc>
          <w:tcPr>
            <w:tcW w:w="5919" w:type="dxa"/>
            <w:shd w:val="clear" w:color="auto" w:fill="FFFFFF"/>
            <w:vAlign w:val="center"/>
          </w:tcPr>
          <w:p w:rsidR="00195672" w:rsidRPr="0079541B" w:rsidRDefault="00195672" w:rsidP="00126E62">
            <w:pPr>
              <w:ind w:left="57"/>
              <w:rPr>
                <w:rFonts w:ascii="Cambria" w:hAnsi="Cambria"/>
                <w:i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US"/>
              </w:rPr>
              <w:t>Final grades are posted to the Information System</w:t>
            </w:r>
          </w:p>
        </w:tc>
      </w:tr>
    </w:tbl>
    <w:p w:rsidR="00EF07C1" w:rsidRDefault="00EF07C1" w:rsidP="000C17FA">
      <w:pPr>
        <w:jc w:val="both"/>
        <w:rPr>
          <w:rFonts w:ascii="Cambria" w:hAnsi="Cambria"/>
          <w:sz w:val="22"/>
          <w:szCs w:val="22"/>
          <w:lang w:val="en-US"/>
        </w:rPr>
      </w:pPr>
    </w:p>
    <w:p w:rsidR="003C7899" w:rsidRPr="001232E5" w:rsidRDefault="000C17FA" w:rsidP="000C17FA">
      <w:pPr>
        <w:jc w:val="both"/>
        <w:rPr>
          <w:rFonts w:ascii="Cambria" w:hAnsi="Cambria"/>
          <w:sz w:val="22"/>
          <w:szCs w:val="22"/>
          <w:lang w:val="en-US"/>
        </w:rPr>
      </w:pPr>
      <w:r w:rsidRPr="001232E5">
        <w:rPr>
          <w:rFonts w:ascii="Cambria" w:hAnsi="Cambria"/>
          <w:sz w:val="22"/>
          <w:szCs w:val="22"/>
          <w:lang w:val="en-US"/>
        </w:rPr>
        <w:t xml:space="preserve">The assigned readings are </w:t>
      </w:r>
      <w:r w:rsidR="0090121D">
        <w:rPr>
          <w:rFonts w:ascii="Cambria" w:hAnsi="Cambria"/>
          <w:sz w:val="22"/>
          <w:szCs w:val="22"/>
          <w:lang w:val="en-US"/>
        </w:rPr>
        <w:t xml:space="preserve">made </w:t>
      </w:r>
      <w:r w:rsidR="001232E5" w:rsidRPr="001232E5">
        <w:rPr>
          <w:rFonts w:ascii="Cambria" w:hAnsi="Cambria"/>
          <w:sz w:val="22"/>
          <w:szCs w:val="22"/>
          <w:lang w:val="en-US"/>
        </w:rPr>
        <w:t>available through the university information system (IS MU)</w:t>
      </w:r>
      <w:r w:rsidR="00126E62">
        <w:rPr>
          <w:rFonts w:ascii="Cambria" w:hAnsi="Cambria"/>
          <w:sz w:val="22"/>
          <w:szCs w:val="22"/>
          <w:lang w:val="en-US"/>
        </w:rPr>
        <w:t>.</w:t>
      </w:r>
      <w:r w:rsidRPr="001232E5">
        <w:rPr>
          <w:rFonts w:ascii="Cambria" w:hAnsi="Cambria"/>
          <w:sz w:val="22"/>
          <w:szCs w:val="22"/>
          <w:lang w:val="en-US"/>
        </w:rPr>
        <w:t xml:space="preserve"> </w:t>
      </w:r>
      <w:r w:rsidR="00126E62">
        <w:rPr>
          <w:rFonts w:ascii="Cambria" w:hAnsi="Cambria"/>
          <w:sz w:val="22"/>
          <w:szCs w:val="22"/>
          <w:lang w:val="en-US"/>
        </w:rPr>
        <w:t>H</w:t>
      </w:r>
      <w:r w:rsidRPr="001232E5">
        <w:rPr>
          <w:rFonts w:ascii="Cambria" w:hAnsi="Cambria"/>
          <w:sz w:val="22"/>
          <w:szCs w:val="22"/>
          <w:lang w:val="en-US"/>
        </w:rPr>
        <w:t xml:space="preserve">owever, thorough knowledge of additional </w:t>
      </w:r>
      <w:r w:rsidR="00985FE8" w:rsidRPr="001232E5">
        <w:rPr>
          <w:rFonts w:ascii="Cambria" w:hAnsi="Cambria"/>
          <w:sz w:val="22"/>
          <w:szCs w:val="22"/>
          <w:lang w:val="en-US"/>
        </w:rPr>
        <w:t>liter</w:t>
      </w:r>
      <w:r w:rsidR="00EF07C1" w:rsidRPr="001232E5">
        <w:rPr>
          <w:rFonts w:ascii="Cambria" w:hAnsi="Cambria"/>
          <w:sz w:val="22"/>
          <w:szCs w:val="22"/>
          <w:lang w:val="en-US"/>
        </w:rPr>
        <w:t>a</w:t>
      </w:r>
      <w:r w:rsidR="00985FE8" w:rsidRPr="001232E5">
        <w:rPr>
          <w:rFonts w:ascii="Cambria" w:hAnsi="Cambria"/>
          <w:sz w:val="22"/>
          <w:szCs w:val="22"/>
          <w:lang w:val="en-US"/>
        </w:rPr>
        <w:t>ture</w:t>
      </w:r>
      <w:r w:rsidRPr="001232E5">
        <w:rPr>
          <w:rFonts w:ascii="Cambria" w:hAnsi="Cambria"/>
          <w:sz w:val="22"/>
          <w:szCs w:val="22"/>
          <w:lang w:val="en-US"/>
        </w:rPr>
        <w:t xml:space="preserve"> might be required to complete the research tasks</w:t>
      </w:r>
      <w:r w:rsidR="0044037D" w:rsidRPr="001232E5">
        <w:rPr>
          <w:rFonts w:ascii="Cambria" w:hAnsi="Cambria"/>
          <w:sz w:val="22"/>
          <w:szCs w:val="22"/>
          <w:lang w:val="en-US"/>
        </w:rPr>
        <w:t>.</w:t>
      </w:r>
      <w:r w:rsidR="00A942BD" w:rsidRPr="001232E5">
        <w:rPr>
          <w:rFonts w:ascii="Cambria" w:hAnsi="Cambria"/>
          <w:sz w:val="22"/>
          <w:szCs w:val="22"/>
          <w:lang w:val="en-US"/>
        </w:rPr>
        <w:t xml:space="preserve"> The main source of case studies </w:t>
      </w:r>
      <w:r w:rsidR="00985FE8" w:rsidRPr="001232E5">
        <w:rPr>
          <w:rFonts w:ascii="Cambria" w:hAnsi="Cambria"/>
          <w:sz w:val="22"/>
          <w:szCs w:val="22"/>
          <w:lang w:val="en-US"/>
        </w:rPr>
        <w:t xml:space="preserve">and ethnographic accounts </w:t>
      </w:r>
      <w:r w:rsidR="00A942BD" w:rsidRPr="001232E5">
        <w:rPr>
          <w:rFonts w:ascii="Cambria" w:hAnsi="Cambria"/>
          <w:sz w:val="22"/>
          <w:szCs w:val="22"/>
          <w:lang w:val="en-US"/>
        </w:rPr>
        <w:t xml:space="preserve">are the following books: Katherine </w:t>
      </w:r>
      <w:proofErr w:type="spellStart"/>
      <w:r w:rsidR="00A942BD" w:rsidRPr="001232E5">
        <w:rPr>
          <w:rFonts w:ascii="Cambria" w:hAnsi="Cambria"/>
          <w:sz w:val="22"/>
          <w:szCs w:val="22"/>
          <w:lang w:val="en-US"/>
        </w:rPr>
        <w:t>Verdery</w:t>
      </w:r>
      <w:proofErr w:type="spellEnd"/>
      <w:r w:rsidR="00A942BD" w:rsidRPr="001232E5">
        <w:rPr>
          <w:rFonts w:ascii="Cambria" w:hAnsi="Cambria"/>
          <w:sz w:val="22"/>
          <w:szCs w:val="22"/>
          <w:lang w:val="en-US"/>
        </w:rPr>
        <w:t xml:space="preserve">, </w:t>
      </w:r>
      <w:r w:rsidR="00A942BD" w:rsidRPr="001232E5">
        <w:rPr>
          <w:rFonts w:ascii="Cambria" w:hAnsi="Cambria"/>
          <w:i/>
          <w:sz w:val="22"/>
          <w:szCs w:val="22"/>
          <w:lang w:val="en-US"/>
        </w:rPr>
        <w:t>What Was Socialism and What Comes Next</w:t>
      </w:r>
      <w:r w:rsidR="00A942BD" w:rsidRPr="001232E5">
        <w:rPr>
          <w:rFonts w:ascii="Cambria" w:hAnsi="Cambria"/>
          <w:sz w:val="22"/>
          <w:szCs w:val="22"/>
          <w:lang w:val="en-US"/>
        </w:rPr>
        <w:t xml:space="preserve"> (Princeton University Press, 1996); </w:t>
      </w:r>
      <w:r w:rsidR="001232E5" w:rsidRPr="001232E5">
        <w:rPr>
          <w:rFonts w:ascii="Cambria" w:hAnsi="Cambria" w:cs="Tunga"/>
          <w:sz w:val="22"/>
          <w:szCs w:val="22"/>
          <w:lang w:val="en-US"/>
        </w:rPr>
        <w:t xml:space="preserve">David D. </w:t>
      </w:r>
      <w:proofErr w:type="spellStart"/>
      <w:r w:rsidR="001232E5" w:rsidRPr="001232E5">
        <w:rPr>
          <w:rFonts w:ascii="Cambria" w:hAnsi="Cambria" w:cs="Tunga"/>
          <w:sz w:val="22"/>
          <w:szCs w:val="22"/>
          <w:lang w:val="en-US"/>
        </w:rPr>
        <w:t>Laitin</w:t>
      </w:r>
      <w:proofErr w:type="spellEnd"/>
      <w:r w:rsidR="001232E5" w:rsidRPr="001232E5">
        <w:rPr>
          <w:rFonts w:ascii="Cambria" w:hAnsi="Cambria" w:cs="Tunga"/>
          <w:sz w:val="22"/>
          <w:szCs w:val="22"/>
          <w:lang w:val="en-US"/>
        </w:rPr>
        <w:t xml:space="preserve">, </w:t>
      </w:r>
      <w:r w:rsidR="001232E5" w:rsidRPr="001232E5">
        <w:rPr>
          <w:rFonts w:ascii="Cambria" w:hAnsi="Cambria" w:cs="Tunga"/>
          <w:i/>
          <w:sz w:val="22"/>
          <w:szCs w:val="22"/>
          <w:lang w:val="en-US"/>
        </w:rPr>
        <w:t xml:space="preserve">Identity in Formation: The Russian-Speaking Populations in the Near Abroad </w:t>
      </w:r>
      <w:r w:rsidR="001232E5" w:rsidRPr="001232E5">
        <w:rPr>
          <w:rFonts w:ascii="Cambria" w:hAnsi="Cambria" w:cs="Tunga"/>
          <w:sz w:val="22"/>
          <w:szCs w:val="22"/>
          <w:lang w:val="en-US"/>
        </w:rPr>
        <w:t xml:space="preserve">(Cornell University Press, 1998); </w:t>
      </w:r>
      <w:r w:rsidR="00A942BD" w:rsidRPr="001232E5">
        <w:rPr>
          <w:rFonts w:ascii="Cambria" w:hAnsi="Cambria"/>
          <w:sz w:val="22"/>
          <w:szCs w:val="22"/>
          <w:lang w:val="en-US"/>
        </w:rPr>
        <w:t xml:space="preserve">Michael </w:t>
      </w:r>
      <w:proofErr w:type="spellStart"/>
      <w:r w:rsidR="00A942BD" w:rsidRPr="001232E5">
        <w:rPr>
          <w:rFonts w:ascii="Cambria" w:hAnsi="Cambria"/>
          <w:sz w:val="22"/>
          <w:szCs w:val="22"/>
          <w:lang w:val="en-US"/>
        </w:rPr>
        <w:t>Burawoy</w:t>
      </w:r>
      <w:proofErr w:type="spellEnd"/>
      <w:r w:rsidR="00A942BD" w:rsidRPr="001232E5">
        <w:rPr>
          <w:rFonts w:ascii="Cambria" w:hAnsi="Cambria"/>
          <w:sz w:val="22"/>
          <w:szCs w:val="22"/>
          <w:lang w:val="en-US"/>
        </w:rPr>
        <w:t xml:space="preserve"> and Katherine </w:t>
      </w:r>
      <w:proofErr w:type="spellStart"/>
      <w:r w:rsidR="00A942BD" w:rsidRPr="001232E5">
        <w:rPr>
          <w:rFonts w:ascii="Cambria" w:hAnsi="Cambria"/>
          <w:sz w:val="22"/>
          <w:szCs w:val="22"/>
          <w:lang w:val="en-US"/>
        </w:rPr>
        <w:t>Verdery</w:t>
      </w:r>
      <w:proofErr w:type="spellEnd"/>
      <w:r w:rsidR="00A942BD" w:rsidRPr="001232E5">
        <w:rPr>
          <w:rFonts w:ascii="Cambria" w:hAnsi="Cambria"/>
          <w:sz w:val="22"/>
          <w:szCs w:val="22"/>
          <w:lang w:val="en-US"/>
        </w:rPr>
        <w:t xml:space="preserve">, eds., </w:t>
      </w:r>
      <w:r w:rsidR="00A942BD" w:rsidRPr="001232E5">
        <w:rPr>
          <w:rFonts w:ascii="Cambria" w:hAnsi="Cambria"/>
          <w:i/>
          <w:sz w:val="22"/>
          <w:szCs w:val="22"/>
          <w:lang w:val="en-US"/>
        </w:rPr>
        <w:t>Uncertain Transition</w:t>
      </w:r>
      <w:r w:rsidR="00A942BD" w:rsidRPr="001232E5">
        <w:rPr>
          <w:rFonts w:ascii="Cambria" w:hAnsi="Cambria"/>
          <w:sz w:val="22"/>
          <w:szCs w:val="22"/>
          <w:lang w:val="en-US"/>
        </w:rPr>
        <w:t xml:space="preserve"> (</w:t>
      </w:r>
      <w:proofErr w:type="spellStart"/>
      <w:r w:rsidR="00A942BD" w:rsidRPr="001232E5">
        <w:rPr>
          <w:rFonts w:ascii="Cambria" w:hAnsi="Cambria"/>
          <w:sz w:val="22"/>
          <w:szCs w:val="22"/>
          <w:lang w:val="en-US"/>
        </w:rPr>
        <w:t>Rowman</w:t>
      </w:r>
      <w:proofErr w:type="spellEnd"/>
      <w:r w:rsidR="00A942BD" w:rsidRPr="001232E5">
        <w:rPr>
          <w:rFonts w:ascii="Cambria" w:hAnsi="Cambria"/>
          <w:sz w:val="22"/>
          <w:szCs w:val="22"/>
          <w:lang w:val="en-US"/>
        </w:rPr>
        <w:t xml:space="preserve"> and Littlefield, 1999); and Daphne </w:t>
      </w:r>
      <w:proofErr w:type="spellStart"/>
      <w:r w:rsidR="00A942BD" w:rsidRPr="001232E5">
        <w:rPr>
          <w:rFonts w:ascii="Cambria" w:hAnsi="Cambria"/>
          <w:sz w:val="22"/>
          <w:szCs w:val="22"/>
          <w:lang w:val="en-US"/>
        </w:rPr>
        <w:t>Berdahl</w:t>
      </w:r>
      <w:proofErr w:type="spellEnd"/>
      <w:r w:rsidR="00A942BD" w:rsidRPr="001232E5">
        <w:rPr>
          <w:rFonts w:ascii="Cambria" w:hAnsi="Cambria"/>
          <w:sz w:val="22"/>
          <w:szCs w:val="22"/>
          <w:lang w:val="en-US"/>
        </w:rPr>
        <w:t xml:space="preserve">, </w:t>
      </w:r>
      <w:proofErr w:type="spellStart"/>
      <w:r w:rsidR="00A942BD" w:rsidRPr="001232E5">
        <w:rPr>
          <w:rFonts w:ascii="Cambria" w:hAnsi="Cambria"/>
          <w:sz w:val="22"/>
          <w:szCs w:val="22"/>
          <w:lang w:val="en-US"/>
        </w:rPr>
        <w:t>Matti</w:t>
      </w:r>
      <w:proofErr w:type="spellEnd"/>
      <w:r w:rsidR="00A942BD" w:rsidRPr="001232E5">
        <w:rPr>
          <w:rFonts w:ascii="Cambria" w:hAnsi="Cambria"/>
          <w:sz w:val="22"/>
          <w:szCs w:val="22"/>
          <w:lang w:val="en-US"/>
        </w:rPr>
        <w:t xml:space="preserve"> Bunzl, and Martha </w:t>
      </w:r>
      <w:proofErr w:type="spellStart"/>
      <w:r w:rsidR="00A942BD" w:rsidRPr="001232E5">
        <w:rPr>
          <w:rFonts w:ascii="Cambria" w:hAnsi="Cambria"/>
          <w:sz w:val="22"/>
          <w:szCs w:val="22"/>
          <w:lang w:val="en-US"/>
        </w:rPr>
        <w:t>Lampland</w:t>
      </w:r>
      <w:proofErr w:type="spellEnd"/>
      <w:r w:rsidR="00A942BD" w:rsidRPr="001232E5">
        <w:rPr>
          <w:rFonts w:ascii="Cambria" w:hAnsi="Cambria"/>
          <w:sz w:val="22"/>
          <w:szCs w:val="22"/>
          <w:lang w:val="en-US"/>
        </w:rPr>
        <w:t xml:space="preserve">, eds., </w:t>
      </w:r>
      <w:r w:rsidR="00A942BD" w:rsidRPr="001232E5">
        <w:rPr>
          <w:rFonts w:ascii="Cambria" w:hAnsi="Cambria"/>
          <w:i/>
          <w:sz w:val="22"/>
          <w:szCs w:val="22"/>
          <w:lang w:val="en-US"/>
        </w:rPr>
        <w:t>Altering States</w:t>
      </w:r>
      <w:r w:rsidR="00A942BD" w:rsidRPr="001232E5">
        <w:rPr>
          <w:rFonts w:ascii="Cambria" w:hAnsi="Cambria"/>
          <w:sz w:val="22"/>
          <w:szCs w:val="22"/>
          <w:lang w:val="en-US"/>
        </w:rPr>
        <w:t xml:space="preserve"> (University of Michigan Press, 2000).</w:t>
      </w:r>
    </w:p>
    <w:p w:rsidR="003C7899" w:rsidRPr="0079541B" w:rsidRDefault="003C7899" w:rsidP="00793AA2">
      <w:pPr>
        <w:ind w:left="709" w:hanging="709"/>
        <w:rPr>
          <w:rFonts w:ascii="Cambria" w:hAnsi="Cambria"/>
          <w:sz w:val="22"/>
          <w:szCs w:val="22"/>
          <w:lang w:val="en-US"/>
        </w:rPr>
      </w:pPr>
    </w:p>
    <w:p w:rsidR="00A942BD" w:rsidRPr="0079541B" w:rsidRDefault="00A942BD" w:rsidP="00A942BD">
      <w:pPr>
        <w:jc w:val="both"/>
        <w:rPr>
          <w:rFonts w:ascii="Cambria" w:hAnsi="Cambria"/>
          <w:sz w:val="22"/>
          <w:szCs w:val="22"/>
          <w:lang w:val="en-US"/>
        </w:rPr>
      </w:pPr>
      <w:r w:rsidRPr="0079541B">
        <w:rPr>
          <w:rFonts w:ascii="Cambria" w:hAnsi="Cambria"/>
          <w:sz w:val="22"/>
          <w:szCs w:val="22"/>
          <w:lang w:val="en-US"/>
        </w:rPr>
        <w:t xml:space="preserve">The course grades will be based on written work and class attendance. </w:t>
      </w:r>
      <w:r w:rsidR="00985FE8" w:rsidRPr="0079541B">
        <w:rPr>
          <w:rFonts w:ascii="Cambria" w:hAnsi="Cambria"/>
          <w:sz w:val="22"/>
          <w:szCs w:val="22"/>
          <w:lang w:val="en-US"/>
        </w:rPr>
        <w:t>Active p</w:t>
      </w:r>
      <w:r w:rsidRPr="0079541B">
        <w:rPr>
          <w:rFonts w:ascii="Cambria" w:hAnsi="Cambria"/>
          <w:sz w:val="22"/>
          <w:szCs w:val="22"/>
          <w:lang w:val="en-US"/>
        </w:rPr>
        <w:t xml:space="preserve">articipation in the class discussions and </w:t>
      </w:r>
      <w:r w:rsidR="001232E5" w:rsidRPr="00FC24D2">
        <w:rPr>
          <w:rFonts w:ascii="Cambria" w:hAnsi="Cambria"/>
          <w:i/>
          <w:sz w:val="22"/>
          <w:szCs w:val="22"/>
          <w:lang w:val="en-US"/>
        </w:rPr>
        <w:t xml:space="preserve">in-class </w:t>
      </w:r>
      <w:r w:rsidRPr="00FC24D2">
        <w:rPr>
          <w:rFonts w:ascii="Cambria" w:hAnsi="Cambria"/>
          <w:i/>
          <w:sz w:val="22"/>
          <w:szCs w:val="22"/>
          <w:lang w:val="en-US"/>
        </w:rPr>
        <w:t>presentation</w:t>
      </w:r>
      <w:r w:rsidR="001232E5" w:rsidRPr="00FC24D2">
        <w:rPr>
          <w:rFonts w:ascii="Cambria" w:hAnsi="Cambria"/>
          <w:i/>
          <w:sz w:val="22"/>
          <w:szCs w:val="22"/>
          <w:lang w:val="en-US"/>
        </w:rPr>
        <w:t>s</w:t>
      </w:r>
      <w:r w:rsidRPr="0079541B">
        <w:rPr>
          <w:rFonts w:ascii="Cambria" w:hAnsi="Cambria"/>
          <w:sz w:val="22"/>
          <w:szCs w:val="22"/>
          <w:lang w:val="en-US"/>
        </w:rPr>
        <w:t xml:space="preserve"> based on the course readings will account for 30 percent</w:t>
      </w:r>
      <w:r w:rsidR="00985FE8" w:rsidRPr="0079541B">
        <w:rPr>
          <w:rFonts w:ascii="Cambria" w:hAnsi="Cambria"/>
          <w:sz w:val="22"/>
          <w:szCs w:val="22"/>
          <w:lang w:val="en-US"/>
        </w:rPr>
        <w:t xml:space="preserve">; </w:t>
      </w:r>
      <w:r w:rsidRPr="0079541B">
        <w:rPr>
          <w:rFonts w:ascii="Cambria" w:hAnsi="Cambria"/>
          <w:sz w:val="22"/>
          <w:szCs w:val="22"/>
          <w:lang w:val="en-US"/>
        </w:rPr>
        <w:t xml:space="preserve">the timely completion of </w:t>
      </w:r>
      <w:r w:rsidRPr="00FC24D2">
        <w:rPr>
          <w:rFonts w:ascii="Cambria" w:hAnsi="Cambria"/>
          <w:i/>
          <w:sz w:val="22"/>
          <w:szCs w:val="22"/>
          <w:lang w:val="en-US"/>
        </w:rPr>
        <w:t>brief research assignment</w:t>
      </w:r>
      <w:r w:rsidR="00BD5499">
        <w:rPr>
          <w:rFonts w:ascii="Cambria" w:hAnsi="Cambria"/>
          <w:i/>
          <w:sz w:val="22"/>
          <w:szCs w:val="22"/>
          <w:lang w:val="en-US"/>
        </w:rPr>
        <w:t>s</w:t>
      </w:r>
      <w:r w:rsidRPr="0079541B">
        <w:rPr>
          <w:rFonts w:ascii="Cambria" w:hAnsi="Cambria"/>
          <w:sz w:val="22"/>
          <w:szCs w:val="22"/>
          <w:lang w:val="en-US"/>
        </w:rPr>
        <w:t xml:space="preserve"> for 30 percent</w:t>
      </w:r>
      <w:r w:rsidR="00985FE8" w:rsidRPr="0079541B">
        <w:rPr>
          <w:rFonts w:ascii="Cambria" w:hAnsi="Cambria"/>
          <w:sz w:val="22"/>
          <w:szCs w:val="22"/>
          <w:lang w:val="en-US"/>
        </w:rPr>
        <w:t>;</w:t>
      </w:r>
      <w:r w:rsidRPr="0079541B">
        <w:rPr>
          <w:rFonts w:ascii="Cambria" w:hAnsi="Cambria"/>
          <w:sz w:val="22"/>
          <w:szCs w:val="22"/>
          <w:lang w:val="en-US"/>
        </w:rPr>
        <w:t xml:space="preserve"> and </w:t>
      </w:r>
      <w:r w:rsidR="00BD5499">
        <w:rPr>
          <w:rFonts w:ascii="Cambria" w:hAnsi="Cambria"/>
          <w:sz w:val="22"/>
          <w:szCs w:val="22"/>
          <w:lang w:val="en-US"/>
        </w:rPr>
        <w:t xml:space="preserve">writing a </w:t>
      </w:r>
      <w:r w:rsidR="00BD5499" w:rsidRPr="00FC24D2">
        <w:rPr>
          <w:rFonts w:ascii="Cambria" w:hAnsi="Cambria"/>
          <w:i/>
          <w:sz w:val="22"/>
          <w:szCs w:val="22"/>
          <w:lang w:val="en-US"/>
        </w:rPr>
        <w:t>final essay</w:t>
      </w:r>
      <w:r w:rsidR="00BD5499">
        <w:rPr>
          <w:rFonts w:ascii="Cambria" w:hAnsi="Cambria"/>
          <w:sz w:val="22"/>
          <w:szCs w:val="22"/>
          <w:lang w:val="en-US"/>
        </w:rPr>
        <w:t xml:space="preserve"> </w:t>
      </w:r>
      <w:r w:rsidRPr="0079541B">
        <w:rPr>
          <w:rFonts w:ascii="Cambria" w:hAnsi="Cambria"/>
          <w:sz w:val="22"/>
          <w:szCs w:val="22"/>
          <w:lang w:val="en-US"/>
        </w:rPr>
        <w:t xml:space="preserve">for 40 percent of the grade. </w:t>
      </w:r>
      <w:r w:rsidR="00BD5499">
        <w:rPr>
          <w:rFonts w:ascii="Cambria" w:hAnsi="Cambria"/>
          <w:sz w:val="22"/>
          <w:szCs w:val="22"/>
          <w:lang w:val="en-US"/>
        </w:rPr>
        <w:t>T</w:t>
      </w:r>
      <w:r w:rsidR="00970332">
        <w:rPr>
          <w:rFonts w:ascii="Cambria" w:hAnsi="Cambria"/>
          <w:sz w:val="22"/>
          <w:szCs w:val="22"/>
          <w:lang w:val="en-US"/>
        </w:rPr>
        <w:t>he</w:t>
      </w:r>
      <w:r w:rsidRPr="0079541B">
        <w:rPr>
          <w:rFonts w:ascii="Cambria" w:hAnsi="Cambria"/>
          <w:sz w:val="22"/>
          <w:szCs w:val="22"/>
          <w:lang w:val="en-US"/>
        </w:rPr>
        <w:t xml:space="preserve"> deadline </w:t>
      </w:r>
      <w:r w:rsidR="00BD5499">
        <w:rPr>
          <w:rFonts w:ascii="Cambria" w:hAnsi="Cambria"/>
          <w:sz w:val="22"/>
          <w:szCs w:val="22"/>
          <w:lang w:val="en-US"/>
        </w:rPr>
        <w:t xml:space="preserve">of submitting the final paper, in an electronic format, </w:t>
      </w:r>
      <w:r w:rsidRPr="0079541B">
        <w:rPr>
          <w:rFonts w:ascii="Cambria" w:hAnsi="Cambria"/>
          <w:sz w:val="22"/>
          <w:szCs w:val="22"/>
          <w:lang w:val="en-US"/>
        </w:rPr>
        <w:t xml:space="preserve">is at noon on </w:t>
      </w:r>
      <w:r w:rsidR="00CC5D38">
        <w:rPr>
          <w:rFonts w:ascii="Cambria" w:hAnsi="Cambria"/>
          <w:sz w:val="22"/>
          <w:szCs w:val="22"/>
          <w:lang w:val="en-US"/>
        </w:rPr>
        <w:t xml:space="preserve">Thursday, </w:t>
      </w:r>
      <w:r w:rsidRPr="0079541B">
        <w:rPr>
          <w:rFonts w:ascii="Cambria" w:hAnsi="Cambria"/>
          <w:sz w:val="22"/>
          <w:szCs w:val="22"/>
          <w:lang w:val="en-US"/>
        </w:rPr>
        <w:t xml:space="preserve">May </w:t>
      </w:r>
      <w:r w:rsidR="00B258B3">
        <w:rPr>
          <w:rFonts w:ascii="Cambria" w:hAnsi="Cambria"/>
          <w:sz w:val="22"/>
          <w:szCs w:val="22"/>
          <w:lang w:val="en-US"/>
        </w:rPr>
        <w:t>15</w:t>
      </w:r>
      <w:r w:rsidR="00286678">
        <w:rPr>
          <w:rFonts w:ascii="Cambria" w:hAnsi="Cambria"/>
          <w:sz w:val="22"/>
          <w:szCs w:val="22"/>
          <w:lang w:val="en-US"/>
        </w:rPr>
        <w:t>.</w:t>
      </w:r>
    </w:p>
    <w:p w:rsidR="00A942BD" w:rsidRDefault="00A942BD" w:rsidP="00A942BD">
      <w:pPr>
        <w:jc w:val="both"/>
        <w:rPr>
          <w:rFonts w:ascii="Cambria" w:hAnsi="Cambria"/>
          <w:sz w:val="22"/>
          <w:szCs w:val="22"/>
          <w:lang w:val="en-US"/>
        </w:rPr>
      </w:pPr>
    </w:p>
    <w:p w:rsidR="00FD04D4" w:rsidRPr="0079541B" w:rsidRDefault="00FD04D4" w:rsidP="00CE6AB5">
      <w:pPr>
        <w:ind w:left="709" w:hanging="709"/>
        <w:rPr>
          <w:rFonts w:ascii="Cambria" w:hAnsi="Cambria"/>
          <w:sz w:val="22"/>
          <w:szCs w:val="22"/>
          <w:lang w:val="en-US"/>
        </w:rPr>
      </w:pPr>
    </w:p>
    <w:p w:rsidR="003C7899" w:rsidRPr="00B658E4" w:rsidRDefault="003C7899" w:rsidP="00793AA2">
      <w:pPr>
        <w:ind w:left="709" w:hanging="709"/>
        <w:rPr>
          <w:rFonts w:ascii="Cambria" w:hAnsi="Cambria"/>
          <w:sz w:val="22"/>
          <w:szCs w:val="22"/>
          <w:lang w:val="en-US"/>
        </w:rPr>
      </w:pPr>
      <w:proofErr w:type="spellStart"/>
      <w:r w:rsidRPr="0079541B">
        <w:rPr>
          <w:rFonts w:ascii="Cambria" w:hAnsi="Cambria"/>
          <w:i/>
          <w:sz w:val="22"/>
          <w:szCs w:val="22"/>
          <w:lang w:val="en-US"/>
        </w:rPr>
        <w:t>Miklós</w:t>
      </w:r>
      <w:proofErr w:type="spellEnd"/>
      <w:r w:rsidRPr="0079541B">
        <w:rPr>
          <w:rFonts w:ascii="Cambria" w:hAnsi="Cambria"/>
          <w:i/>
          <w:sz w:val="22"/>
          <w:szCs w:val="22"/>
          <w:lang w:val="en-US"/>
        </w:rPr>
        <w:t xml:space="preserve"> </w:t>
      </w:r>
      <w:proofErr w:type="spellStart"/>
      <w:r w:rsidRPr="0079541B">
        <w:rPr>
          <w:rFonts w:ascii="Cambria" w:hAnsi="Cambria"/>
          <w:i/>
          <w:sz w:val="22"/>
          <w:szCs w:val="22"/>
          <w:lang w:val="en-US"/>
        </w:rPr>
        <w:t>Vörös</w:t>
      </w:r>
      <w:proofErr w:type="spellEnd"/>
    </w:p>
    <w:p w:rsidR="00195672" w:rsidRDefault="00CE6AB5" w:rsidP="00195672">
      <w:pPr>
        <w:ind w:left="709" w:hanging="709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miklos.voros@gmail.com</w:t>
      </w:r>
    </w:p>
    <w:sectPr w:rsidR="00195672" w:rsidSect="00195672">
      <w:pgSz w:w="11906" w:h="16838" w:code="9"/>
      <w:pgMar w:top="1247" w:right="124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CenturySchl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45FE"/>
    <w:multiLevelType w:val="hybridMultilevel"/>
    <w:tmpl w:val="03BC9382"/>
    <w:lvl w:ilvl="0" w:tplc="BD12FC7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B761F3"/>
    <w:multiLevelType w:val="hybridMultilevel"/>
    <w:tmpl w:val="AFF85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3E"/>
    <w:rsid w:val="0004373F"/>
    <w:rsid w:val="0005086F"/>
    <w:rsid w:val="000B63F4"/>
    <w:rsid w:val="000C17FA"/>
    <w:rsid w:val="00113761"/>
    <w:rsid w:val="001232E5"/>
    <w:rsid w:val="00126E62"/>
    <w:rsid w:val="001472B1"/>
    <w:rsid w:val="00162E9A"/>
    <w:rsid w:val="00190C98"/>
    <w:rsid w:val="00195672"/>
    <w:rsid w:val="001D2049"/>
    <w:rsid w:val="00212931"/>
    <w:rsid w:val="0027710F"/>
    <w:rsid w:val="00277363"/>
    <w:rsid w:val="00286678"/>
    <w:rsid w:val="002A103D"/>
    <w:rsid w:val="00326D1B"/>
    <w:rsid w:val="00333A3E"/>
    <w:rsid w:val="00346070"/>
    <w:rsid w:val="003A1695"/>
    <w:rsid w:val="003B60A8"/>
    <w:rsid w:val="003C7899"/>
    <w:rsid w:val="00405054"/>
    <w:rsid w:val="0044037D"/>
    <w:rsid w:val="004B365E"/>
    <w:rsid w:val="004B4203"/>
    <w:rsid w:val="004B53E8"/>
    <w:rsid w:val="004E0E44"/>
    <w:rsid w:val="00534ECF"/>
    <w:rsid w:val="00541CCF"/>
    <w:rsid w:val="00542DC8"/>
    <w:rsid w:val="00572FAC"/>
    <w:rsid w:val="005767C4"/>
    <w:rsid w:val="00587C3D"/>
    <w:rsid w:val="005B0303"/>
    <w:rsid w:val="00613462"/>
    <w:rsid w:val="006248EB"/>
    <w:rsid w:val="00697B1E"/>
    <w:rsid w:val="006B25ED"/>
    <w:rsid w:val="006B4E99"/>
    <w:rsid w:val="00704837"/>
    <w:rsid w:val="00791491"/>
    <w:rsid w:val="00793AA2"/>
    <w:rsid w:val="0079541B"/>
    <w:rsid w:val="007C2680"/>
    <w:rsid w:val="007E4B87"/>
    <w:rsid w:val="00811F49"/>
    <w:rsid w:val="008656DB"/>
    <w:rsid w:val="008D1E54"/>
    <w:rsid w:val="008F47F9"/>
    <w:rsid w:val="008F6210"/>
    <w:rsid w:val="0090121D"/>
    <w:rsid w:val="00970332"/>
    <w:rsid w:val="00981078"/>
    <w:rsid w:val="00982B67"/>
    <w:rsid w:val="00985FE8"/>
    <w:rsid w:val="009A3A43"/>
    <w:rsid w:val="009F2544"/>
    <w:rsid w:val="009F47A9"/>
    <w:rsid w:val="00A02A62"/>
    <w:rsid w:val="00A23E9E"/>
    <w:rsid w:val="00A942BD"/>
    <w:rsid w:val="00AB2F0E"/>
    <w:rsid w:val="00AB6285"/>
    <w:rsid w:val="00B106AB"/>
    <w:rsid w:val="00B258B3"/>
    <w:rsid w:val="00B30967"/>
    <w:rsid w:val="00B658E4"/>
    <w:rsid w:val="00B67D5F"/>
    <w:rsid w:val="00B91F98"/>
    <w:rsid w:val="00BC363C"/>
    <w:rsid w:val="00BD5499"/>
    <w:rsid w:val="00C06DFF"/>
    <w:rsid w:val="00C35102"/>
    <w:rsid w:val="00C55B0F"/>
    <w:rsid w:val="00C95AFB"/>
    <w:rsid w:val="00CC5D38"/>
    <w:rsid w:val="00CE6AB5"/>
    <w:rsid w:val="00CF7A7D"/>
    <w:rsid w:val="00D870E0"/>
    <w:rsid w:val="00E17454"/>
    <w:rsid w:val="00E21963"/>
    <w:rsid w:val="00E47FD4"/>
    <w:rsid w:val="00E54A6E"/>
    <w:rsid w:val="00E94799"/>
    <w:rsid w:val="00EA75B8"/>
    <w:rsid w:val="00EB7BCB"/>
    <w:rsid w:val="00EF07C1"/>
    <w:rsid w:val="00EF3134"/>
    <w:rsid w:val="00F5492F"/>
    <w:rsid w:val="00F9212A"/>
    <w:rsid w:val="00FA7499"/>
    <w:rsid w:val="00FC24D2"/>
    <w:rsid w:val="00FD04D4"/>
    <w:rsid w:val="00FD4120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hu-HU" w:eastAsia="hu-HU"/>
    </w:rPr>
  </w:style>
  <w:style w:type="paragraph" w:styleId="Nadpis6">
    <w:name w:val="heading 6"/>
    <w:basedOn w:val="Normln"/>
    <w:next w:val="Normln"/>
    <w:qFormat/>
    <w:rsid w:val="0005086F"/>
    <w:pPr>
      <w:keepNext/>
      <w:outlineLvl w:val="5"/>
    </w:pPr>
    <w:rPr>
      <w:i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C">
    <w:name w:val="C"/>
    <w:rsid w:val="003C7899"/>
    <w:pPr>
      <w:jc w:val="center"/>
    </w:pPr>
    <w:rPr>
      <w:rFonts w:ascii="NewCenturySchlbk" w:hAnsi="NewCenturySchlbk"/>
      <w:b/>
      <w:sz w:val="24"/>
      <w:lang w:val="hu-HU" w:eastAsia="hu-HU"/>
    </w:rPr>
  </w:style>
  <w:style w:type="character" w:styleId="Zvraznn">
    <w:name w:val="Emphasis"/>
    <w:basedOn w:val="Standardnpsmoodstavce"/>
    <w:qFormat/>
    <w:rsid w:val="00E2196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E6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hu-HU" w:eastAsia="hu-HU"/>
    </w:rPr>
  </w:style>
  <w:style w:type="paragraph" w:styleId="Nadpis6">
    <w:name w:val="heading 6"/>
    <w:basedOn w:val="Normln"/>
    <w:next w:val="Normln"/>
    <w:qFormat/>
    <w:rsid w:val="0005086F"/>
    <w:pPr>
      <w:keepNext/>
      <w:outlineLvl w:val="5"/>
    </w:pPr>
    <w:rPr>
      <w:i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C">
    <w:name w:val="C"/>
    <w:rsid w:val="003C7899"/>
    <w:pPr>
      <w:jc w:val="center"/>
    </w:pPr>
    <w:rPr>
      <w:rFonts w:ascii="NewCenturySchlbk" w:hAnsi="NewCenturySchlbk"/>
      <w:b/>
      <w:sz w:val="24"/>
      <w:lang w:val="hu-HU" w:eastAsia="hu-HU"/>
    </w:rPr>
  </w:style>
  <w:style w:type="character" w:styleId="Zvraznn">
    <w:name w:val="Emphasis"/>
    <w:basedOn w:val="Standardnpsmoodstavce"/>
    <w:qFormat/>
    <w:rsid w:val="00E2196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E6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CULTURAL ANTHROPOLOGY OF POST-SOCIALISM</vt:lpstr>
    </vt:vector>
  </TitlesOfParts>
  <Company>BKÁE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ANTHROPOLOGY OF POST-SOCIALISM</dc:title>
  <dc:creator>Voros Miklos</dc:creator>
  <cp:lastModifiedBy>Martin Vašek</cp:lastModifiedBy>
  <cp:revision>2</cp:revision>
  <cp:lastPrinted>2013-02-28T00:39:00Z</cp:lastPrinted>
  <dcterms:created xsi:type="dcterms:W3CDTF">2014-02-06T12:31:00Z</dcterms:created>
  <dcterms:modified xsi:type="dcterms:W3CDTF">2014-02-06T12:31:00Z</dcterms:modified>
</cp:coreProperties>
</file>