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9B0" w:rsidRDefault="00F849B0" w:rsidP="00652CDC">
      <w:pPr>
        <w:rPr>
          <w:b/>
          <w:sz w:val="32"/>
          <w:szCs w:val="32"/>
        </w:rPr>
      </w:pPr>
      <w:bookmarkStart w:id="0" w:name="_GoBack"/>
      <w:bookmarkEnd w:id="0"/>
      <w:r w:rsidRPr="00A829D7">
        <w:rPr>
          <w:b/>
          <w:sz w:val="32"/>
          <w:szCs w:val="32"/>
        </w:rPr>
        <w:t>POKUTY</w:t>
      </w:r>
    </w:p>
    <w:p w:rsidR="00652CDC" w:rsidRPr="00652CDC" w:rsidRDefault="00652CDC" w:rsidP="00652CDC">
      <w:pPr>
        <w:pStyle w:val="Zhlav"/>
        <w:rPr>
          <w:i/>
        </w:rPr>
      </w:pPr>
      <w:r w:rsidRPr="00652CDC">
        <w:rPr>
          <w:i/>
        </w:rPr>
        <w:t xml:space="preserve">Zpracoval: </w:t>
      </w:r>
    </w:p>
    <w:p w:rsidR="00652CDC" w:rsidRPr="00652CDC" w:rsidRDefault="00652CDC" w:rsidP="00652CDC">
      <w:pPr>
        <w:pStyle w:val="Zhlav"/>
        <w:rPr>
          <w:i/>
        </w:rPr>
      </w:pPr>
      <w:r w:rsidRPr="00652CDC">
        <w:rPr>
          <w:i/>
        </w:rPr>
        <w:t>Mgr. Libor Holý (</w:t>
      </w:r>
      <w:smartTag w:uri="urn:schemas-microsoft-com:office:smarttags" w:element="PersonName">
        <w:r w:rsidRPr="00652CDC">
          <w:rPr>
            <w:i/>
          </w:rPr>
          <w:t>l.holy@mail.muni.cz</w:t>
        </w:r>
      </w:smartTag>
      <w:r w:rsidRPr="00652CDC">
        <w:rPr>
          <w:i/>
        </w:rPr>
        <w:t>)</w:t>
      </w:r>
    </w:p>
    <w:p w:rsidR="00220448" w:rsidRDefault="00220448" w:rsidP="00652CDC"/>
    <w:p w:rsidR="00F16737" w:rsidRDefault="00F16737" w:rsidP="00220448">
      <w:pPr>
        <w:spacing w:before="120" w:after="120"/>
        <w:ind w:firstLine="357"/>
        <w:jc w:val="both"/>
      </w:pPr>
      <w:r>
        <w:t xml:space="preserve">V běžném životě se může každý setkat se situací, ve které bude </w:t>
      </w:r>
      <w:r w:rsidR="00CE6882">
        <w:t>postaven před povinnost</w:t>
      </w:r>
      <w:r>
        <w:t xml:space="preserve"> uhradit</w:t>
      </w:r>
      <w:r w:rsidR="00CE6882">
        <w:t xml:space="preserve"> nějakou</w:t>
      </w:r>
      <w:r>
        <w:t xml:space="preserve"> pokutu. Abychom lépe porozuměli takové povinnosti, je nejprve nutné si pokutu </w:t>
      </w:r>
      <w:r w:rsidR="00CE6882">
        <w:t xml:space="preserve">v obecné rovině </w:t>
      </w:r>
      <w:r>
        <w:t>rozdělit a dále definovat. V českém právním řádu známe dvě hlavní kategorie pokut, a to pokut</w:t>
      </w:r>
      <w:r w:rsidR="00F0495A">
        <w:t>y</w:t>
      </w:r>
      <w:r>
        <w:t xml:space="preserve"> veřejnoprávní a soukromoprávní. </w:t>
      </w:r>
      <w:r w:rsidR="00F0495A">
        <w:t xml:space="preserve">Jejich společným jmenovatelem je </w:t>
      </w:r>
      <w:r w:rsidR="008D47EB">
        <w:t>ta skutečnost</w:t>
      </w:r>
      <w:r w:rsidR="00F0495A">
        <w:t>, že vždy jde o</w:t>
      </w:r>
      <w:r w:rsidR="008D47EB">
        <w:t xml:space="preserve"> nějaký</w:t>
      </w:r>
      <w:r w:rsidR="00F0495A">
        <w:t xml:space="preserve"> finanční postih za porušení nějaké povinnosti. </w:t>
      </w:r>
      <w:r w:rsidR="00CE6882">
        <w:t>Rozlišovacím</w:t>
      </w:r>
      <w:r w:rsidR="00F0495A">
        <w:t xml:space="preserve"> znakem, dle kterého můžeme pokuty označit jako veřejnoprávní či jako soukromoprávní, je</w:t>
      </w:r>
      <w:r w:rsidR="00BF3F34">
        <w:t xml:space="preserve"> </w:t>
      </w:r>
      <w:r w:rsidR="008D47EB">
        <w:t xml:space="preserve">pak </w:t>
      </w:r>
      <w:r w:rsidR="00BF3F34">
        <w:t>zejména</w:t>
      </w:r>
      <w:r w:rsidR="00F0495A">
        <w:t xml:space="preserve"> charakter porušené povinnosti a </w:t>
      </w:r>
      <w:r w:rsidR="008D47EB">
        <w:t>subjekt</w:t>
      </w:r>
      <w:r w:rsidR="00F0495A">
        <w:t>, které</w:t>
      </w:r>
      <w:r w:rsidR="003B26EF">
        <w:t>mu</w:t>
      </w:r>
      <w:r w:rsidR="00F0495A">
        <w:t xml:space="preserve"> </w:t>
      </w:r>
      <w:r w:rsidR="008D47EB">
        <w:t>výtěžek z uhrazené pokuty</w:t>
      </w:r>
      <w:r w:rsidR="00F0495A">
        <w:t xml:space="preserve"> náleží. </w:t>
      </w:r>
    </w:p>
    <w:p w:rsidR="00F0495A" w:rsidRDefault="00F0495A" w:rsidP="00F0495A">
      <w:pPr>
        <w:spacing w:before="120" w:after="120"/>
        <w:jc w:val="both"/>
      </w:pPr>
    </w:p>
    <w:p w:rsidR="00F16737" w:rsidRPr="0051057F" w:rsidRDefault="00F16737" w:rsidP="00F16737">
      <w:pPr>
        <w:spacing w:before="120" w:after="120"/>
        <w:jc w:val="both"/>
        <w:rPr>
          <w:b/>
        </w:rPr>
      </w:pPr>
      <w:r w:rsidRPr="0051057F">
        <w:rPr>
          <w:b/>
        </w:rPr>
        <w:t>Veřejnoprávní pokuty</w:t>
      </w:r>
    </w:p>
    <w:p w:rsidR="00F0495A" w:rsidRDefault="00F0495A" w:rsidP="0051057F">
      <w:pPr>
        <w:spacing w:before="120" w:after="120"/>
        <w:ind w:firstLine="360"/>
        <w:jc w:val="both"/>
      </w:pPr>
      <w:r>
        <w:t>Pro všechny veřejnoprávní pokuty platí, že chrání nějaký veřejný zájem. Současně pro ně platí, že tyto pokuty vždy ukládá osoba, která je nadána veřejnou mocí</w:t>
      </w:r>
      <w:r w:rsidR="008D47EB">
        <w:t xml:space="preserve"> k ochraně takového zájmu</w:t>
      </w:r>
      <w:r>
        <w:t xml:space="preserve"> a které </w:t>
      </w:r>
      <w:r w:rsidR="00937F3E">
        <w:t xml:space="preserve">oprávnění </w:t>
      </w:r>
      <w:r w:rsidR="008D47EB">
        <w:t xml:space="preserve">k udělování pokut </w:t>
      </w:r>
      <w:r w:rsidR="00937F3E">
        <w:t xml:space="preserve">výslovně </w:t>
      </w:r>
      <w:r w:rsidR="0001497B">
        <w:t>svěřuje</w:t>
      </w:r>
      <w:r w:rsidR="008D47EB">
        <w:t xml:space="preserve"> zákon</w:t>
      </w:r>
      <w:r>
        <w:t xml:space="preserve">. </w:t>
      </w:r>
      <w:r w:rsidR="00937F3E">
        <w:t>Je nerozhodné, zdali je takovou osobou orgán státu či územně samosprávného celku</w:t>
      </w:r>
      <w:r w:rsidR="008B1CBE">
        <w:t xml:space="preserve"> či soukromá osoba při výkonu veřejné moci (notář, exekutor)</w:t>
      </w:r>
      <w:r w:rsidR="00937F3E">
        <w:t xml:space="preserve">.  Pro další text si takovou osobu </w:t>
      </w:r>
      <w:r w:rsidR="008B1CBE">
        <w:t xml:space="preserve">pro zjednodušení </w:t>
      </w:r>
      <w:r w:rsidR="00937F3E">
        <w:t>označíme</w:t>
      </w:r>
      <w:r w:rsidR="008B1CBE">
        <w:t xml:space="preserve"> souhrnně</w:t>
      </w:r>
      <w:r w:rsidR="00937F3E">
        <w:t xml:space="preserve"> jako orgán veřejné moci. Orgánem veřejné moci m</w:t>
      </w:r>
      <w:r>
        <w:t xml:space="preserve">ůže být státní policista, </w:t>
      </w:r>
      <w:r w:rsidR="008658A1">
        <w:t>příslušník obecní policie, úředník</w:t>
      </w:r>
      <w:r w:rsidR="00937F3E">
        <w:t xml:space="preserve"> obecního úřadu atp.</w:t>
      </w:r>
      <w:r w:rsidR="0001497B">
        <w:t>,</w:t>
      </w:r>
      <w:r w:rsidR="00937F3E">
        <w:t xml:space="preserve"> přičemž pro vztah</w:t>
      </w:r>
      <w:r w:rsidR="008B1CBE">
        <w:t xml:space="preserve"> mezi</w:t>
      </w:r>
      <w:r w:rsidR="00937F3E">
        <w:t xml:space="preserve"> </w:t>
      </w:r>
      <w:r w:rsidR="0001497B">
        <w:t xml:space="preserve">řadovým </w:t>
      </w:r>
      <w:r w:rsidR="00937F3E">
        <w:t>občan</w:t>
      </w:r>
      <w:r w:rsidR="008B1CBE">
        <w:t>em</w:t>
      </w:r>
      <w:r w:rsidR="00937F3E">
        <w:t xml:space="preserve"> a orgán</w:t>
      </w:r>
      <w:r w:rsidR="008B1CBE">
        <w:t>em</w:t>
      </w:r>
      <w:r w:rsidR="00937F3E">
        <w:t xml:space="preserve"> veřejné moci platí, že orgán veřejné moci je občanovi ve věcech svěřen</w:t>
      </w:r>
      <w:r w:rsidR="001730E8">
        <w:t>ých</w:t>
      </w:r>
      <w:r w:rsidR="008B1CBE">
        <w:t xml:space="preserve"> mu</w:t>
      </w:r>
      <w:r w:rsidR="00937F3E">
        <w:t xml:space="preserve"> zákonem nadřazen. </w:t>
      </w:r>
      <w:r w:rsidR="008B1CBE">
        <w:t xml:space="preserve">Ze svého nadřazeného postavení tak může občanovi jednostranně stanovit povinnosti, dohlížet na jejich splnění a popřípadě si plnění vymoci udělením sankce. </w:t>
      </w:r>
    </w:p>
    <w:p w:rsidR="008658A1" w:rsidRDefault="008658A1" w:rsidP="0051057F">
      <w:pPr>
        <w:spacing w:before="120" w:after="120"/>
        <w:ind w:firstLine="360"/>
        <w:jc w:val="both"/>
      </w:pPr>
      <w:r>
        <w:t>Jednou ze základních úloh státu či územně samosprávných celků (obcí) je vést</w:t>
      </w:r>
      <w:r w:rsidRPr="008658A1">
        <w:t xml:space="preserve"> občany k tomu, aby dodržovali zákony a jiné právní předpisy a</w:t>
      </w:r>
      <w:r>
        <w:t xml:space="preserve"> respektovali práva spoluobčanů. Pro tento účel </w:t>
      </w:r>
      <w:r w:rsidR="00937F3E">
        <w:t xml:space="preserve">je </w:t>
      </w:r>
      <w:r>
        <w:t>orgán</w:t>
      </w:r>
      <w:r w:rsidR="00937F3E">
        <w:t>u</w:t>
      </w:r>
      <w:r>
        <w:t xml:space="preserve"> veřejné moci </w:t>
      </w:r>
      <w:r w:rsidR="00937F3E">
        <w:t xml:space="preserve">zákonem svěřena celá </w:t>
      </w:r>
      <w:r>
        <w:t>škál</w:t>
      </w:r>
      <w:r w:rsidR="00937F3E">
        <w:t>a</w:t>
      </w:r>
      <w:r>
        <w:t xml:space="preserve"> nástrojů</w:t>
      </w:r>
      <w:r w:rsidR="00937F3E">
        <w:t xml:space="preserve"> v podobě různých sankcí. Pokud někdo svou činností ohrozí zákonem chráněný veřejný zájem, může mu orgán veřejné moci na základě zákona uložit sankci a tím dosáhnout, že dotyčn</w:t>
      </w:r>
      <w:r w:rsidR="008B1CBE">
        <w:t>ý</w:t>
      </w:r>
      <w:r w:rsidR="00937F3E">
        <w:t xml:space="preserve"> se společensky škodlivého chování </w:t>
      </w:r>
      <w:r w:rsidR="008B1CBE">
        <w:t>pro</w:t>
      </w:r>
      <w:r w:rsidR="00937F3E">
        <w:t xml:space="preserve">příště </w:t>
      </w:r>
      <w:r w:rsidR="008B1CBE">
        <w:t xml:space="preserve">již </w:t>
      </w:r>
      <w:r w:rsidR="00937F3E">
        <w:t>neodpustí</w:t>
      </w:r>
      <w:r w:rsidR="008B1CBE">
        <w:t xml:space="preserve">. </w:t>
      </w:r>
      <w:r w:rsidR="00937F3E">
        <w:t xml:space="preserve">A takovým </w:t>
      </w:r>
      <w:r w:rsidR="008B1CBE">
        <w:t xml:space="preserve">sankčním </w:t>
      </w:r>
      <w:r w:rsidR="00937F3E">
        <w:t>nástrojem je ne</w:t>
      </w:r>
      <w:r w:rsidR="008B1CBE">
        <w:t>j</w:t>
      </w:r>
      <w:r w:rsidR="00937F3E">
        <w:t xml:space="preserve">častěji </w:t>
      </w:r>
      <w:r w:rsidR="00B00655">
        <w:t xml:space="preserve">právě </w:t>
      </w:r>
      <w:r w:rsidR="00937F3E">
        <w:t xml:space="preserve">pokuta. </w:t>
      </w:r>
      <w:r w:rsidR="0051057F">
        <w:t xml:space="preserve">Dalšími sankcemi jen pro úplnost mohou být různá </w:t>
      </w:r>
      <w:r w:rsidR="00937F3E">
        <w:t>napomenutí, zákazy nějaké činnosti, propadn</w:t>
      </w:r>
      <w:r w:rsidR="008B1CBE">
        <w:t>utí věci či udělení zákazu pobytu</w:t>
      </w:r>
      <w:r w:rsidR="00B00655">
        <w:t>.</w:t>
      </w:r>
    </w:p>
    <w:p w:rsidR="001347BC" w:rsidRDefault="0051057F" w:rsidP="00F323E1">
      <w:pPr>
        <w:spacing w:before="120" w:after="120"/>
        <w:ind w:firstLine="360"/>
        <w:jc w:val="both"/>
      </w:pPr>
      <w:r>
        <w:t>V běžném životě řadového občana je asi nej</w:t>
      </w:r>
      <w:r w:rsidR="00B00655">
        <w:t>čast</w:t>
      </w:r>
      <w:r>
        <w:t xml:space="preserve">ější situací, ve které </w:t>
      </w:r>
      <w:r w:rsidR="00B00655">
        <w:t xml:space="preserve">bude čelit </w:t>
      </w:r>
      <w:r>
        <w:t>povinnosti k úhradě veřejnoprávní pokuty,</w:t>
      </w:r>
      <w:r w:rsidR="00B00655">
        <w:t xml:space="preserve"> </w:t>
      </w:r>
      <w:r>
        <w:t>pokuta z</w:t>
      </w:r>
      <w:r w:rsidR="00F1633B">
        <w:t>a</w:t>
      </w:r>
      <w:r>
        <w:t xml:space="preserve"> přestupek dle zákona č. 200/1990 Sb. o přestupcích. Podle tohoto zákona je přestupek </w:t>
      </w:r>
      <w:r w:rsidRPr="0051057F">
        <w:t xml:space="preserve">zaviněné jednání, které porušuje nebo ohrožuje zájem společnosti a je za přestupek </w:t>
      </w:r>
      <w:r>
        <w:t xml:space="preserve">zákonem </w:t>
      </w:r>
      <w:r w:rsidRPr="0051057F">
        <w:t>výslovně označeno</w:t>
      </w:r>
      <w:r>
        <w:t xml:space="preserve">. </w:t>
      </w:r>
      <w:r w:rsidRPr="0051057F">
        <w:t xml:space="preserve"> </w:t>
      </w:r>
      <w:r>
        <w:t xml:space="preserve">Dopustí-li se někdo přestupku, </w:t>
      </w:r>
      <w:r w:rsidR="00173C13">
        <w:t xml:space="preserve">z pravidla mu </w:t>
      </w:r>
      <w:r>
        <w:t>bude</w:t>
      </w:r>
      <w:r w:rsidR="00173C13">
        <w:t xml:space="preserve"> </w:t>
      </w:r>
      <w:r>
        <w:t xml:space="preserve">orgánem veřejné moci uložena pokuta. </w:t>
      </w:r>
      <w:r w:rsidR="00173C13">
        <w:t xml:space="preserve">Jako příklad přestupku a stanovení výše pokuty dle zákona o přestupcích lze uvést </w:t>
      </w:r>
      <w:r w:rsidR="001347BC">
        <w:t>§ 50</w:t>
      </w:r>
      <w:r w:rsidR="00F323E1">
        <w:t>, který zní následovně:</w:t>
      </w:r>
    </w:p>
    <w:p w:rsidR="00F323E1" w:rsidRPr="001F0092" w:rsidRDefault="00F323E1" w:rsidP="00F323E1">
      <w:pPr>
        <w:spacing w:before="120" w:after="120"/>
        <w:jc w:val="center"/>
        <w:rPr>
          <w:b/>
        </w:rPr>
      </w:pPr>
      <w:r w:rsidRPr="001F0092">
        <w:rPr>
          <w:b/>
        </w:rPr>
        <w:t>„</w:t>
      </w:r>
    </w:p>
    <w:p w:rsidR="00173C13" w:rsidRPr="001347BC" w:rsidRDefault="00F323E1" w:rsidP="001347BC">
      <w:pPr>
        <w:ind w:firstLine="357"/>
        <w:jc w:val="both"/>
        <w:rPr>
          <w:i/>
        </w:rPr>
      </w:pPr>
      <w:r w:rsidRPr="001347BC">
        <w:rPr>
          <w:i/>
        </w:rPr>
        <w:t xml:space="preserve"> </w:t>
      </w:r>
      <w:r w:rsidR="00173C13" w:rsidRPr="001347BC">
        <w:rPr>
          <w:i/>
        </w:rPr>
        <w:t xml:space="preserve">(1) </w:t>
      </w:r>
      <w:r w:rsidR="00173C13" w:rsidRPr="00F323E1">
        <w:rPr>
          <w:b/>
          <w:i/>
        </w:rPr>
        <w:t>Přestupku</w:t>
      </w:r>
      <w:r w:rsidR="00173C13" w:rsidRPr="001347BC">
        <w:rPr>
          <w:i/>
        </w:rPr>
        <w:t xml:space="preserve"> se dopustí ten, kdo</w:t>
      </w:r>
    </w:p>
    <w:p w:rsidR="00173C13" w:rsidRPr="001347BC" w:rsidRDefault="00173C13" w:rsidP="001347BC">
      <w:pPr>
        <w:ind w:firstLine="357"/>
        <w:jc w:val="both"/>
        <w:rPr>
          <w:i/>
        </w:rPr>
      </w:pPr>
      <w:r w:rsidRPr="001347BC">
        <w:rPr>
          <w:i/>
        </w:rPr>
        <w:t xml:space="preserve"> a) úmyslně způsobí škodu na cizím majetku krádeží, zpronevěrou, podvodem nebo zničením či poškozením věci z takového majetku, nebo se o takové jednání pokusí,</w:t>
      </w:r>
    </w:p>
    <w:p w:rsidR="00173C13" w:rsidRPr="001347BC" w:rsidRDefault="00173C13" w:rsidP="001347BC">
      <w:pPr>
        <w:ind w:firstLine="357"/>
        <w:jc w:val="both"/>
        <w:rPr>
          <w:i/>
        </w:rPr>
      </w:pPr>
      <w:r w:rsidRPr="001347BC">
        <w:rPr>
          <w:i/>
        </w:rPr>
        <w:t xml:space="preserve"> b) úmyslně neoprávněně užívá cizí majetek nebo si přisvojí cizí věc nálezem nebo jinak bez přivolení oprávněné osoby,</w:t>
      </w:r>
    </w:p>
    <w:p w:rsidR="00173C13" w:rsidRPr="001347BC" w:rsidRDefault="00173C13" w:rsidP="001347BC">
      <w:pPr>
        <w:ind w:firstLine="357"/>
        <w:jc w:val="both"/>
        <w:rPr>
          <w:i/>
        </w:rPr>
      </w:pPr>
      <w:r w:rsidRPr="001347BC">
        <w:rPr>
          <w:i/>
        </w:rPr>
        <w:t xml:space="preserve"> c) úmyslně ukryje nebo na sebe nebo jiného převede věc, která byla získána přestupkem spáchaným jinou osobou, nebo to, co za takovou věc bylo opatřeno.</w:t>
      </w:r>
    </w:p>
    <w:p w:rsidR="0051057F" w:rsidRDefault="00173C13" w:rsidP="001347BC">
      <w:pPr>
        <w:ind w:firstLine="357"/>
        <w:jc w:val="both"/>
        <w:rPr>
          <w:i/>
        </w:rPr>
      </w:pPr>
      <w:r w:rsidRPr="001347BC">
        <w:rPr>
          <w:i/>
        </w:rPr>
        <w:lastRenderedPageBreak/>
        <w:t xml:space="preserve">(2) Za </w:t>
      </w:r>
      <w:r w:rsidRPr="00F323E1">
        <w:rPr>
          <w:b/>
          <w:i/>
        </w:rPr>
        <w:t>přestupek</w:t>
      </w:r>
      <w:r w:rsidRPr="001347BC">
        <w:rPr>
          <w:i/>
        </w:rPr>
        <w:t xml:space="preserve"> podle odstavce 1 lze uložit </w:t>
      </w:r>
      <w:r w:rsidRPr="00F323E1">
        <w:rPr>
          <w:b/>
          <w:i/>
        </w:rPr>
        <w:t>pokutu</w:t>
      </w:r>
      <w:r w:rsidRPr="001347BC">
        <w:rPr>
          <w:i/>
        </w:rPr>
        <w:t xml:space="preserve"> do 15 000 Kč nebo zákaz pobytu</w:t>
      </w:r>
      <w:r w:rsidR="001347BC" w:rsidRPr="001347BC">
        <w:rPr>
          <w:i/>
        </w:rPr>
        <w:t>“</w:t>
      </w:r>
    </w:p>
    <w:p w:rsidR="00F323E1" w:rsidRPr="001F0092" w:rsidRDefault="00F323E1" w:rsidP="00F323E1">
      <w:pPr>
        <w:jc w:val="center"/>
        <w:rPr>
          <w:b/>
        </w:rPr>
      </w:pPr>
      <w:r w:rsidRPr="001F0092">
        <w:rPr>
          <w:b/>
        </w:rPr>
        <w:t>„</w:t>
      </w:r>
    </w:p>
    <w:p w:rsidR="00F1633B" w:rsidRDefault="00F1633B" w:rsidP="00232920">
      <w:pPr>
        <w:spacing w:before="120" w:after="120"/>
        <w:ind w:firstLine="360"/>
        <w:jc w:val="both"/>
      </w:pPr>
    </w:p>
    <w:p w:rsidR="00232920" w:rsidRDefault="001347BC" w:rsidP="00232920">
      <w:pPr>
        <w:spacing w:before="120" w:after="120"/>
        <w:ind w:firstLine="360"/>
        <w:jc w:val="both"/>
      </w:pPr>
      <w:r>
        <w:t>Nen</w:t>
      </w:r>
      <w:r w:rsidR="00232920">
        <w:t xml:space="preserve">í </w:t>
      </w:r>
      <w:r>
        <w:t xml:space="preserve">to však jen zákon o přestupcích, který upravuje oprávnění orgánů veřejné moci </w:t>
      </w:r>
      <w:r w:rsidR="00232920">
        <w:t>ch</w:t>
      </w:r>
      <w:r>
        <w:t xml:space="preserve">ránit veřejný zájem a pro případy jeho porušení udělovat pokuty. Takových právních předpisů zná české právo celou řadu. </w:t>
      </w:r>
      <w:r w:rsidR="00CB2B41">
        <w:t xml:space="preserve">Například každý řidič by měl být velmi dobře obeznámen se zákonem č. 361/2000 Sb. o provozu na pozemních komunikacích a o změnách některých zákonů, nebo-li se zákonem o silničním provozu. </w:t>
      </w:r>
      <w:r w:rsidR="009E1EAA">
        <w:t>K</w:t>
      </w:r>
      <w:r w:rsidR="00232920">
        <w:t>upříkladu § 125c, odst. 1, písm. f), bod 1. ve spojení s § 125c, odst. 4, písm. f) zákona o silničním provozu stanoví, že:</w:t>
      </w:r>
    </w:p>
    <w:p w:rsidR="00232920" w:rsidRDefault="00232920" w:rsidP="00232920">
      <w:pPr>
        <w:spacing w:before="120" w:after="120"/>
        <w:jc w:val="center"/>
        <w:rPr>
          <w:i/>
        </w:rPr>
      </w:pPr>
    </w:p>
    <w:p w:rsidR="00F323E1" w:rsidRPr="001F0092" w:rsidRDefault="00F323E1" w:rsidP="00232920">
      <w:pPr>
        <w:spacing w:before="120" w:after="120"/>
        <w:jc w:val="center"/>
        <w:rPr>
          <w:b/>
          <w:i/>
        </w:rPr>
      </w:pPr>
      <w:r w:rsidRPr="001F0092">
        <w:rPr>
          <w:b/>
          <w:i/>
        </w:rPr>
        <w:t>„</w:t>
      </w:r>
    </w:p>
    <w:p w:rsidR="001347BC" w:rsidRPr="00232920" w:rsidRDefault="00232920" w:rsidP="00F323E1">
      <w:pPr>
        <w:spacing w:before="120" w:after="120"/>
        <w:jc w:val="both"/>
        <w:rPr>
          <w:i/>
        </w:rPr>
      </w:pPr>
      <w:r w:rsidRPr="00232920">
        <w:rPr>
          <w:i/>
        </w:rPr>
        <w:t xml:space="preserve">Fyzická osoba se </w:t>
      </w:r>
      <w:r w:rsidRPr="00F323E1">
        <w:rPr>
          <w:i/>
        </w:rPr>
        <w:t>dopustí</w:t>
      </w:r>
      <w:r w:rsidRPr="00232920">
        <w:rPr>
          <w:i/>
        </w:rPr>
        <w:t xml:space="preserve"> </w:t>
      </w:r>
      <w:r w:rsidRPr="00F323E1">
        <w:rPr>
          <w:b/>
          <w:i/>
        </w:rPr>
        <w:t>přestupku</w:t>
      </w:r>
      <w:r w:rsidRPr="00232920">
        <w:rPr>
          <w:i/>
        </w:rPr>
        <w:t xml:space="preserve"> tím, že v provozu na pozemních komunikacích při řízení vozidla v rozporu s § 7 odst. 1 písm. c) drží v ruce nebo jiným způsobem telefonní přístroj nebo jiné hovorové nebo záznamové zařízení.</w:t>
      </w:r>
    </w:p>
    <w:p w:rsidR="00232920" w:rsidRDefault="00232920" w:rsidP="00F323E1">
      <w:pPr>
        <w:spacing w:before="120" w:after="120"/>
        <w:jc w:val="both"/>
        <w:rPr>
          <w:i/>
        </w:rPr>
      </w:pPr>
      <w:r w:rsidRPr="00232920">
        <w:rPr>
          <w:i/>
        </w:rPr>
        <w:t xml:space="preserve">Za </w:t>
      </w:r>
      <w:r w:rsidRPr="00F323E1">
        <w:rPr>
          <w:b/>
          <w:i/>
        </w:rPr>
        <w:t>přestupek</w:t>
      </w:r>
      <w:r w:rsidRPr="00232920">
        <w:rPr>
          <w:i/>
        </w:rPr>
        <w:t xml:space="preserve"> se uloží </w:t>
      </w:r>
      <w:r w:rsidRPr="00F323E1">
        <w:rPr>
          <w:b/>
          <w:i/>
        </w:rPr>
        <w:t>pokuta</w:t>
      </w:r>
      <w:r w:rsidRPr="00232920">
        <w:rPr>
          <w:i/>
        </w:rPr>
        <w:t xml:space="preserve"> od 1 500 Kč do 2 500 Kč.</w:t>
      </w:r>
    </w:p>
    <w:p w:rsidR="00F323E1" w:rsidRPr="001F0092" w:rsidRDefault="00F323E1" w:rsidP="00F323E1">
      <w:pPr>
        <w:spacing w:before="120" w:after="120"/>
        <w:jc w:val="center"/>
        <w:rPr>
          <w:b/>
          <w:i/>
        </w:rPr>
      </w:pPr>
      <w:r w:rsidRPr="001F0092">
        <w:rPr>
          <w:b/>
          <w:i/>
        </w:rPr>
        <w:t>„</w:t>
      </w:r>
    </w:p>
    <w:p w:rsidR="001347BC" w:rsidRDefault="001347BC" w:rsidP="0051057F">
      <w:pPr>
        <w:spacing w:before="120" w:after="120"/>
        <w:ind w:firstLine="360"/>
        <w:jc w:val="both"/>
      </w:pPr>
    </w:p>
    <w:p w:rsidR="0023600E" w:rsidRDefault="00F323E1" w:rsidP="0051057F">
      <w:pPr>
        <w:spacing w:before="120" w:after="120"/>
        <w:ind w:firstLine="360"/>
        <w:jc w:val="both"/>
      </w:pPr>
      <w:r>
        <w:t>Na obou uvedených příkladech si lze všimnout další podstatné vlastnosti veřejnoprávních pokut. A to takové, že výše pokuty není zákonem stanovena přesně částkou</w:t>
      </w:r>
      <w:r w:rsidR="0001497B">
        <w:t>,</w:t>
      </w:r>
      <w:r>
        <w:t xml:space="preserve"> ale vždy nějakým rozsahem. Protože pokuty v sobě nesou výchovnou sankci</w:t>
      </w:r>
      <w:r w:rsidR="0023600E">
        <w:t xml:space="preserve"> </w:t>
      </w:r>
      <w:r>
        <w:t xml:space="preserve">vymezením minimální a </w:t>
      </w:r>
      <w:r w:rsidR="0023600E">
        <w:t>maximální</w:t>
      </w:r>
      <w:r>
        <w:t xml:space="preserve"> výše</w:t>
      </w:r>
      <w:r w:rsidR="009E1EAA">
        <w:t>,</w:t>
      </w:r>
      <w:r>
        <w:t xml:space="preserve"> je orgánu veřejné moci umožněno tzv. správní </w:t>
      </w:r>
      <w:r w:rsidR="0001497B">
        <w:t>uvážení při svém rozhodování</w:t>
      </w:r>
      <w:r>
        <w:t xml:space="preserve">. </w:t>
      </w:r>
      <w:r w:rsidR="00CB2B41">
        <w:t xml:space="preserve">Osoba, která takovou pokutu uděluje, totiž musí přihlédnout k míře společenské škodlivosti spáchaného přestupku, k míře zavinění pachatele, jakožto i dalším okolnostem a s ohledem na takovou úvahu pak dotyčnému stanovit přesnou výši pokuty. </w:t>
      </w:r>
      <w:r w:rsidR="0023600E">
        <w:t xml:space="preserve">Jinými slovy, protože zákon nemůže obsáhnout všechny myslitelné okolnosti spáchání konkrétního přestupku, nemůže tak ani pro každou individuální situaci stanovit přesnou výši pokuty. Ale tím, že </w:t>
      </w:r>
      <w:r w:rsidR="0023694F">
        <w:t>určuje</w:t>
      </w:r>
      <w:r w:rsidR="0023600E">
        <w:t xml:space="preserve"> jen její minimální a maximální </w:t>
      </w:r>
      <w:r w:rsidR="00CB2B41">
        <w:t>výši, tak</w:t>
      </w:r>
      <w:r w:rsidR="0023600E">
        <w:t xml:space="preserve"> dává orgánu veřejné moci možnost</w:t>
      </w:r>
      <w:r w:rsidR="0023694F">
        <w:t xml:space="preserve"> n</w:t>
      </w:r>
      <w:r w:rsidR="0023600E">
        <w:t xml:space="preserve">a základě zhodnocení všech okolností spáchání </w:t>
      </w:r>
      <w:r w:rsidR="004B2163">
        <w:t xml:space="preserve">daného </w:t>
      </w:r>
      <w:r w:rsidR="0023600E">
        <w:t>přestup</w:t>
      </w:r>
      <w:r w:rsidR="004B2163">
        <w:t>k</w:t>
      </w:r>
      <w:r w:rsidR="0023600E">
        <w:t>u</w:t>
      </w:r>
      <w:r w:rsidR="004B2163">
        <w:t>, aby</w:t>
      </w:r>
      <w:r w:rsidR="0023600E">
        <w:t xml:space="preserve"> </w:t>
      </w:r>
      <w:r w:rsidR="004B2163">
        <w:t xml:space="preserve">podle </w:t>
      </w:r>
      <w:r w:rsidR="0023600E">
        <w:t>ní stanovil odpovídající výši</w:t>
      </w:r>
      <w:r w:rsidR="0023694F">
        <w:t xml:space="preserve"> udělené pokuty</w:t>
      </w:r>
      <w:r w:rsidR="0023600E">
        <w:t>. Pokud tedy někdo spáchá ten samý přestupek opakovaně, čímž je zřejmé, že předcházející sankce udělená v </w:t>
      </w:r>
      <w:r w:rsidR="009E1EAA">
        <w:t>malé</w:t>
      </w:r>
      <w:r w:rsidR="0023600E">
        <w:t xml:space="preserve"> výši se minula svým výchovným účinkem, bude mu </w:t>
      </w:r>
      <w:r w:rsidR="0001497B">
        <w:t xml:space="preserve">orgánem veřejné moci </w:t>
      </w:r>
      <w:r w:rsidR="004B2163">
        <w:t xml:space="preserve">udělena </w:t>
      </w:r>
      <w:r w:rsidR="0023600E">
        <w:t xml:space="preserve">pokuta tentokrát už </w:t>
      </w:r>
      <w:r w:rsidR="0001497B">
        <w:t>vyšší</w:t>
      </w:r>
      <w:r w:rsidR="0023600E">
        <w:t xml:space="preserve">.  </w:t>
      </w:r>
    </w:p>
    <w:p w:rsidR="0051057F" w:rsidRPr="0051057F" w:rsidRDefault="0051057F" w:rsidP="0051057F">
      <w:pPr>
        <w:spacing w:before="120" w:after="120"/>
        <w:ind w:firstLine="360"/>
        <w:jc w:val="both"/>
      </w:pPr>
      <w:r>
        <w:t>Společn</w:t>
      </w:r>
      <w:r w:rsidR="00DF3EA9">
        <w:t>ý</w:t>
      </w:r>
      <w:r>
        <w:t xml:space="preserve"> všem veřejnoprávním pokutám je v neposlední řadě i ten fakt, že jejich příjemcem je</w:t>
      </w:r>
      <w:r w:rsidR="00173C13">
        <w:t xml:space="preserve"> výlučně</w:t>
      </w:r>
      <w:r>
        <w:t xml:space="preserve"> buď </w:t>
      </w:r>
      <w:r w:rsidR="00CB2B41">
        <w:t>stát, nebo</w:t>
      </w:r>
      <w:r>
        <w:t xml:space="preserve"> obec. Nikdy ne člověk či jiný soukromoprávní subjekt, přestože takový </w:t>
      </w:r>
      <w:r w:rsidR="00DF3EA9">
        <w:t xml:space="preserve">subjekt </w:t>
      </w:r>
      <w:r>
        <w:t>může m</w:t>
      </w:r>
      <w:r w:rsidR="00173C13">
        <w:t>í</w:t>
      </w:r>
      <w:r>
        <w:t xml:space="preserve">t ze zákona pravomoc pokutu </w:t>
      </w:r>
      <w:r w:rsidR="00FC5D59">
        <w:t xml:space="preserve">udělit a také </w:t>
      </w:r>
      <w:r>
        <w:t xml:space="preserve">vybrat. </w:t>
      </w:r>
      <w:r w:rsidR="00173C13">
        <w:t xml:space="preserve">Bez výjimky nikdy </w:t>
      </w:r>
      <w:r>
        <w:t xml:space="preserve">si </w:t>
      </w:r>
      <w:r w:rsidR="00173C13">
        <w:t>však uhrazenou pokutu</w:t>
      </w:r>
      <w:r>
        <w:t xml:space="preserve"> nesmí ponechat pro</w:t>
      </w:r>
      <w:r w:rsidR="00173C13">
        <w:t xml:space="preserve"> svou</w:t>
      </w:r>
      <w:r>
        <w:t xml:space="preserve"> vlastní potřebu a vždy j</w:t>
      </w:r>
      <w:r w:rsidR="00DF3EA9">
        <w:t>i</w:t>
      </w:r>
      <w:r>
        <w:t xml:space="preserve"> musí odevzdat obci či státu. Zjednodušeně platí, že p</w:t>
      </w:r>
      <w:r w:rsidRPr="0051057F">
        <w:t>okuta uložen</w:t>
      </w:r>
      <w:r w:rsidR="008A31A2">
        <w:t xml:space="preserve">á orgánem obce je příjmem obce. </w:t>
      </w:r>
      <w:r w:rsidRPr="0051057F">
        <w:t xml:space="preserve">Pokuta uložená jiným správním orgánem České republiky je příjmem státního rozpočtu </w:t>
      </w:r>
      <w:r w:rsidR="008A31A2">
        <w:t>České republiky</w:t>
      </w:r>
      <w:r w:rsidRPr="0051057F">
        <w:t>.</w:t>
      </w:r>
      <w:r w:rsidR="00E96D41">
        <w:t xml:space="preserve"> To platí tedy i tehdy, pokud takovou pokutu uloží například tzv. soukromý exekutor. Soudní exekutor má možnost v rámci své činnosti </w:t>
      </w:r>
      <w:r w:rsidR="008230B7">
        <w:t xml:space="preserve">dle exekučního řádu </w:t>
      </w:r>
      <w:r w:rsidR="00E96D41">
        <w:t xml:space="preserve">si vyžádat součinnost třetích osob. </w:t>
      </w:r>
      <w:r w:rsidR="00885543">
        <w:t>Neposkytnou-li mu j</w:t>
      </w:r>
      <w:r w:rsidR="00DF3EA9">
        <w:t>i</w:t>
      </w:r>
      <w:r w:rsidR="00885543">
        <w:t>, m</w:t>
      </w:r>
      <w:r w:rsidR="00CC6672">
        <w:t xml:space="preserve">ůže jim uložit pořádkovou pokutu, obdobně tak, jako to mohou činit soudy, státní zastupitelství či </w:t>
      </w:r>
      <w:r w:rsidR="00885543">
        <w:t xml:space="preserve">vyšetřující orgán Policie. Příjemcem ve všech </w:t>
      </w:r>
      <w:r w:rsidR="00CB2B41">
        <w:t>uvedených</w:t>
      </w:r>
      <w:r w:rsidR="00885543">
        <w:t xml:space="preserve"> případech</w:t>
      </w:r>
      <w:r w:rsidR="00CC6672">
        <w:t xml:space="preserve"> bude opět výlučně </w:t>
      </w:r>
      <w:r w:rsidR="0001497B">
        <w:t xml:space="preserve">jen </w:t>
      </w:r>
      <w:r w:rsidR="00CC6672">
        <w:t xml:space="preserve">stát. </w:t>
      </w:r>
    </w:p>
    <w:p w:rsidR="00F16737" w:rsidRDefault="008230B7" w:rsidP="00220448">
      <w:pPr>
        <w:spacing w:before="120" w:after="120"/>
        <w:ind w:firstLine="357"/>
        <w:jc w:val="both"/>
      </w:pPr>
      <w:r>
        <w:t xml:space="preserve">Povinnost uhradit smluvní pokutu vzniká okamžikem, kdy je </w:t>
      </w:r>
      <w:r w:rsidR="008E4439">
        <w:t>pokuta</w:t>
      </w:r>
      <w:r>
        <w:t xml:space="preserve"> udělena. To se v zásadě děje formou nějakého </w:t>
      </w:r>
      <w:r w:rsidR="003C5552">
        <w:t>správního rozhodnutí. Pokud takové rozhodnutí nabude pr</w:t>
      </w:r>
      <w:r w:rsidR="00DF3EA9">
        <w:t>á</w:t>
      </w:r>
      <w:r w:rsidR="003C5552">
        <w:t>vní moci</w:t>
      </w:r>
      <w:r w:rsidR="008E4439">
        <w:t>,</w:t>
      </w:r>
      <w:r w:rsidR="003C5552">
        <w:t xml:space="preserve"> stává se </w:t>
      </w:r>
      <w:r w:rsidR="002D32F4">
        <w:t>vykonavatel</w:t>
      </w:r>
      <w:r w:rsidR="00CB755A">
        <w:t>ným</w:t>
      </w:r>
      <w:r w:rsidR="003C5552">
        <w:t xml:space="preserve"> a povinného lze</w:t>
      </w:r>
      <w:r w:rsidR="008E4439">
        <w:t xml:space="preserve"> k plnění donutit i nedobrovolným </w:t>
      </w:r>
      <w:r w:rsidR="008E4439">
        <w:lastRenderedPageBreak/>
        <w:t>vymožením</w:t>
      </w:r>
      <w:r w:rsidR="003C5552">
        <w:t xml:space="preserve">. Rozhodnutí o uložení pokuty je pravomocné tehdy, není-li se možné proti </w:t>
      </w:r>
      <w:r w:rsidR="008E4439">
        <w:t xml:space="preserve">němu </w:t>
      </w:r>
      <w:r w:rsidR="003C5552">
        <w:t>odvolat, marně uplynula lhůta pro odvolání</w:t>
      </w:r>
      <w:r w:rsidR="00CB755A">
        <w:t>,</w:t>
      </w:r>
      <w:r w:rsidR="003C5552">
        <w:t xml:space="preserve"> </w:t>
      </w:r>
      <w:r w:rsidR="00CB755A">
        <w:t>odvolání</w:t>
      </w:r>
      <w:r w:rsidR="003C5552">
        <w:t xml:space="preserve"> podáno ze strany povinného nebylo a nebo jeho </w:t>
      </w:r>
      <w:r w:rsidR="008E4439">
        <w:t>odvolání</w:t>
      </w:r>
      <w:r w:rsidR="003C5552">
        <w:t xml:space="preserve"> bylo zamítnuto. Vymáhání pokut formou nedobrovolného plnění se pak nejčastěji děje dle daňového řádu a není pro ně</w:t>
      </w:r>
      <w:r w:rsidR="00CB755A">
        <w:t>j</w:t>
      </w:r>
      <w:r w:rsidR="003C5552">
        <w:t xml:space="preserve"> potřeba žádného dalšího přezkoumá</w:t>
      </w:r>
      <w:r w:rsidR="008E4439">
        <w:t>vání ani soudního rozhod</w:t>
      </w:r>
      <w:r w:rsidR="003C5552">
        <w:t xml:space="preserve">nutí. </w:t>
      </w:r>
    </w:p>
    <w:p w:rsidR="008E4439" w:rsidRDefault="008E4439" w:rsidP="005F63AA">
      <w:pPr>
        <w:spacing w:before="120" w:after="120"/>
        <w:jc w:val="both"/>
        <w:rPr>
          <w:b/>
        </w:rPr>
      </w:pPr>
    </w:p>
    <w:p w:rsidR="00FC5D59" w:rsidRPr="005F63AA" w:rsidRDefault="002D32F4" w:rsidP="005F63AA">
      <w:pPr>
        <w:spacing w:before="120" w:after="120"/>
        <w:jc w:val="both"/>
        <w:rPr>
          <w:b/>
        </w:rPr>
      </w:pPr>
      <w:r w:rsidRPr="005F63AA">
        <w:rPr>
          <w:b/>
        </w:rPr>
        <w:t>Soukromoprávní pokuty</w:t>
      </w:r>
    </w:p>
    <w:p w:rsidR="00FC5D59" w:rsidRDefault="009C58D2" w:rsidP="00220448">
      <w:pPr>
        <w:spacing w:before="120" w:after="120"/>
        <w:ind w:firstLine="357"/>
        <w:jc w:val="both"/>
      </w:pPr>
      <w:r>
        <w:t xml:space="preserve">Druhou kategorií, se kterou se člověk </w:t>
      </w:r>
      <w:r w:rsidR="00652CDC">
        <w:t xml:space="preserve">může </w:t>
      </w:r>
      <w:r>
        <w:t xml:space="preserve">v životě </w:t>
      </w:r>
      <w:r w:rsidR="00CB755A">
        <w:t>setkat</w:t>
      </w:r>
      <w:r>
        <w:t>, jsou soukromoprávní pokuty. Jedná se o institut, který zná občanské závazkové prá</w:t>
      </w:r>
      <w:r w:rsidR="008E4439">
        <w:t>vo a samo je jako smluvní pokutu</w:t>
      </w:r>
      <w:r>
        <w:t xml:space="preserve"> výslovně nazývá. Jistou zajímavostí je, že v zahraničních právních úpravách je</w:t>
      </w:r>
      <w:r w:rsidR="008E4439">
        <w:t xml:space="preserve"> rovněž</w:t>
      </w:r>
      <w:r>
        <w:t xml:space="preserve"> institut smluvních pokut standardně upraven, nemusí být však jako „pokuta“ označen, neboť by to mohlo způsobit zaměnění s pokutami veřejnoprávními, k </w:t>
      </w:r>
      <w:r w:rsidR="00CB2B41">
        <w:t>jejímuž</w:t>
      </w:r>
      <w:r>
        <w:t xml:space="preserve"> udílení má pravomoc pouze </w:t>
      </w:r>
      <w:r w:rsidR="008E4439">
        <w:t>orgán veřejné moci</w:t>
      </w:r>
      <w:r>
        <w:t>. Český právní řád nicméně užívá legální pojem „smluvní pokuta“</w:t>
      </w:r>
      <w:r w:rsidR="00F62038">
        <w:t>. T</w:t>
      </w:r>
      <w:r>
        <w:t xml:space="preserve">en je </w:t>
      </w:r>
      <w:r w:rsidR="008E4439">
        <w:t xml:space="preserve">však </w:t>
      </w:r>
      <w:r>
        <w:t>nutně důsledně odlišovat od pokut veřejnoprávních. Prakticky lze říci, že co platí o veřejnoprávních pokutách</w:t>
      </w:r>
      <w:r w:rsidR="008E4439">
        <w:t>,</w:t>
      </w:r>
      <w:r>
        <w:t xml:space="preserve"> neplatí o těch </w:t>
      </w:r>
      <w:r w:rsidR="00CB2B41">
        <w:t>soukromoprávních a naopak</w:t>
      </w:r>
      <w:r w:rsidR="008E4439">
        <w:t xml:space="preserve">. </w:t>
      </w:r>
      <w:r>
        <w:t xml:space="preserve"> </w:t>
      </w:r>
    </w:p>
    <w:p w:rsidR="005F63AA" w:rsidRDefault="00EF6978" w:rsidP="00220448">
      <w:pPr>
        <w:spacing w:before="120" w:after="120"/>
        <w:ind w:firstLine="357"/>
        <w:jc w:val="both"/>
      </w:pPr>
      <w:r>
        <w:t xml:space="preserve">Každý člověk </w:t>
      </w:r>
      <w:r w:rsidR="008E4439">
        <w:t xml:space="preserve">den co </w:t>
      </w:r>
      <w:r>
        <w:t>den uzavírá nepřeberné množství smluv, ať již ústních či písemných. A mnohdy si to smluvní strany ani neuvědomuj</w:t>
      </w:r>
      <w:r w:rsidR="00CB755A">
        <w:t>e</w:t>
      </w:r>
      <w:r>
        <w:t xml:space="preserve">. Ústní kupní smlouvy jsou tak uzavírány při nákupu potřeb běžné denní potřeby, přepravní smlouvy jsou uzavírány tím, že nastoupíme do vozidla městské hromadné dopravy, darovací pak například tehdy, přispějeme-li při cestě po městě na charitativní účely atp.  </w:t>
      </w:r>
      <w:r w:rsidR="008E4439">
        <w:t>Písemné</w:t>
      </w:r>
      <w:r>
        <w:t xml:space="preserve"> smlouvy pak uzavíráme zejména ve věcech většího významu, kdy chceme mít jasně upraveny vzájemn</w:t>
      </w:r>
      <w:r w:rsidR="00F62038">
        <w:t>á</w:t>
      </w:r>
      <w:r>
        <w:t xml:space="preserve"> smluvní práva a povinnosti a nebo, vyžaduje-li to zákon, </w:t>
      </w:r>
      <w:r w:rsidR="00F62038">
        <w:t xml:space="preserve">tak </w:t>
      </w:r>
      <w:r>
        <w:t>jako</w:t>
      </w:r>
      <w:r w:rsidR="008E4439">
        <w:t xml:space="preserve"> je</w:t>
      </w:r>
      <w:r>
        <w:t xml:space="preserve"> tomu např. při převodu nemovitost</w:t>
      </w:r>
      <w:r w:rsidR="004323B5">
        <w:t>í</w:t>
      </w:r>
      <w:r>
        <w:t xml:space="preserve">. </w:t>
      </w:r>
    </w:p>
    <w:p w:rsidR="005F63AA" w:rsidRDefault="00CB4064" w:rsidP="00220448">
      <w:pPr>
        <w:spacing w:before="120" w:after="120"/>
        <w:ind w:firstLine="357"/>
        <w:jc w:val="both"/>
      </w:pPr>
      <w:r>
        <w:t xml:space="preserve">Na základě každé smlouvy vznikají </w:t>
      </w:r>
      <w:r w:rsidR="009625DF">
        <w:t xml:space="preserve">současně </w:t>
      </w:r>
      <w:r w:rsidR="008E4439">
        <w:t>všem</w:t>
      </w:r>
      <w:r>
        <w:t xml:space="preserve"> smluvním stranám vzájemn</w:t>
      </w:r>
      <w:r w:rsidR="00CB755A">
        <w:t>á</w:t>
      </w:r>
      <w:r>
        <w:t xml:space="preserve"> práva a povinnosti. Tak na základě </w:t>
      </w:r>
      <w:r w:rsidR="008E4439">
        <w:t xml:space="preserve">takové </w:t>
      </w:r>
      <w:r>
        <w:t xml:space="preserve">kupní smlouvy </w:t>
      </w:r>
      <w:r w:rsidR="008E4439">
        <w:t xml:space="preserve">má </w:t>
      </w:r>
      <w:r>
        <w:t>kupující povinnost uhradit kupní cenu a prodávající má právo úhradu kupní ceny požadovat. Současně však má prodávající povinnost prodávanou věc předat kupujícímu a kupující má právo předání této věci vyžadovat. Smluvní vztah je typický tím, že vzniká mezi zcela rovnocennými subjekty. Žádný ze smluvních stran není druhé straně nijak nadřazen</w:t>
      </w:r>
      <w:r w:rsidR="009625DF">
        <w:t xml:space="preserve"> a nemůže mu tak jednostranně udělovat povinnosti</w:t>
      </w:r>
      <w:r>
        <w:t>. Stát svým mocenským postavením pak to takovýchto soukromoprávních vztahů</w:t>
      </w:r>
      <w:r w:rsidR="00F62038">
        <w:t xml:space="preserve"> přímo zasahuje pouze minimálně, když</w:t>
      </w:r>
      <w:r>
        <w:t xml:space="preserve"> </w:t>
      </w:r>
      <w:r w:rsidR="00F62038">
        <w:t>zákonem pouze vymezí</w:t>
      </w:r>
      <w:r>
        <w:t xml:space="preserve"> </w:t>
      </w:r>
      <w:r w:rsidR="009625DF">
        <w:t xml:space="preserve">to, co je zakázáno, čímž </w:t>
      </w:r>
      <w:r w:rsidR="00F62038">
        <w:t xml:space="preserve">je </w:t>
      </w:r>
      <w:r w:rsidR="009625DF">
        <w:t xml:space="preserve">vše </w:t>
      </w:r>
      <w:r>
        <w:t xml:space="preserve">ostatní povoleno. Stát však přímo nedohlíží na to, aby každá ze smluvních stran plnila to, k čemu se smlouvou zavázala. </w:t>
      </w:r>
    </w:p>
    <w:p w:rsidR="00CB4064" w:rsidRDefault="0018627A" w:rsidP="00220448">
      <w:pPr>
        <w:spacing w:before="120" w:after="120"/>
        <w:ind w:firstLine="357"/>
        <w:jc w:val="both"/>
      </w:pPr>
      <w:r>
        <w:t>A</w:t>
      </w:r>
      <w:r w:rsidR="00CB4064">
        <w:t>bychom měli jistotou, že uzavíráme smlo</w:t>
      </w:r>
      <w:r w:rsidR="009625DF">
        <w:t>uvu, na základě které bude oběma</w:t>
      </w:r>
      <w:r w:rsidR="00CB4064">
        <w:t xml:space="preserve"> smluvními stranami skutečně plněno, </w:t>
      </w:r>
      <w:r>
        <w:t xml:space="preserve">tak </w:t>
      </w:r>
      <w:r w:rsidR="00CB4064">
        <w:t>právní řád nabízí celou řadu institutů, kterými si lze plnění druhé smluvní strany nějak</w:t>
      </w:r>
      <w:r w:rsidR="009625DF">
        <w:t>ým způsobem</w:t>
      </w:r>
      <w:r w:rsidR="00CB4064">
        <w:t xml:space="preserve"> zajistit. </w:t>
      </w:r>
      <w:r w:rsidR="00BF3FFF">
        <w:t>Při uzavírání smlouvy o zápůjčce či o úvěru se nejčastěji setkáváme se zajištěním v podobě zřízení zástavního práva na nemovi</w:t>
      </w:r>
      <w:r w:rsidR="004323B5">
        <w:t>tosti</w:t>
      </w:r>
      <w:r w:rsidR="00BF3FFF">
        <w:t xml:space="preserve"> ve vlastnictví toho, kdo má povinnost dluh vrátit. U stejných smluv se v praxi velmi často setkáváme i se zajištěním v podobě ručení třetí osobou. Pojistit si však plnění druhé smluvní strany můžeme i tak, že si sjednáme smluvní pokutu. </w:t>
      </w:r>
    </w:p>
    <w:p w:rsidR="00FC0EB1" w:rsidRDefault="004323B5" w:rsidP="00220448">
      <w:pPr>
        <w:spacing w:before="120" w:after="120"/>
        <w:ind w:firstLine="357"/>
        <w:jc w:val="both"/>
      </w:pPr>
      <w:r>
        <w:t>Ujednání o smluvní pokutě dává jedna strana té druhé najevo, že na splnění</w:t>
      </w:r>
      <w:r w:rsidR="009625DF">
        <w:t xml:space="preserve"> povinnosti druhé smluvní strany</w:t>
      </w:r>
      <w:r>
        <w:t xml:space="preserve"> má zvýšený zájem. V případě porušení </w:t>
      </w:r>
      <w:r w:rsidR="009625DF">
        <w:t xml:space="preserve">smluvní pokutou zajištěné </w:t>
      </w:r>
      <w:r>
        <w:t>smluvní povinnosti</w:t>
      </w:r>
      <w:r w:rsidR="009625DF">
        <w:t>,</w:t>
      </w:r>
      <w:r>
        <w:t xml:space="preserve"> např. pozdním zaplacením zboží či pozdním vrácením </w:t>
      </w:r>
      <w:r w:rsidR="00CB2B41">
        <w:t>zápůjčky, pak</w:t>
      </w:r>
      <w:r>
        <w:t xml:space="preserve"> bude mít věřitel právo požadovat i plnění </w:t>
      </w:r>
      <w:r w:rsidR="00F62038">
        <w:t xml:space="preserve">ze </w:t>
      </w:r>
      <w:r>
        <w:t xml:space="preserve">smluvní pokuty. </w:t>
      </w:r>
      <w:r w:rsidR="00FC0EB1">
        <w:t xml:space="preserve">Na rozdíl od pokut veřejnoprávních, </w:t>
      </w:r>
      <w:r w:rsidR="0018627A">
        <w:t>je</w:t>
      </w:r>
      <w:r w:rsidR="00FC0EB1">
        <w:t xml:space="preserve"> příjemcem plnění ze smluvní pokuty výhradně věřitel, nikoliv stát. </w:t>
      </w:r>
    </w:p>
    <w:p w:rsidR="00362833" w:rsidRDefault="00FC0EB1" w:rsidP="00220448">
      <w:pPr>
        <w:spacing w:before="120" w:after="120"/>
        <w:ind w:firstLine="357"/>
        <w:jc w:val="both"/>
      </w:pPr>
      <w:r>
        <w:t>Smluvní pokuta b</w:t>
      </w:r>
      <w:r w:rsidR="004323B5">
        <w:t>ývá zpravidla sjednávána formou nějaké peněžité sankce, ačkoliv zákon výslovně připouští i možnost ujednání smluvní pokuty i v jiném plnění než peněžitém</w:t>
      </w:r>
      <w:r w:rsidR="009625DF">
        <w:t>.  Pen</w:t>
      </w:r>
      <w:r>
        <w:t>ěžit</w:t>
      </w:r>
      <w:r w:rsidR="0018627A">
        <w:t>á</w:t>
      </w:r>
      <w:r w:rsidR="009625DF">
        <w:t xml:space="preserve"> plnění smluvních pokut</w:t>
      </w:r>
      <w:r>
        <w:t xml:space="preserve"> v</w:t>
      </w:r>
      <w:r w:rsidR="009625DF">
        <w:t> </w:t>
      </w:r>
      <w:r>
        <w:t>praxi</w:t>
      </w:r>
      <w:r w:rsidR="009625DF">
        <w:t xml:space="preserve"> však</w:t>
      </w:r>
      <w:r>
        <w:t xml:space="preserve"> jednoznačně převažují. Peněžité plnění smluvní </w:t>
      </w:r>
      <w:r>
        <w:lastRenderedPageBreak/>
        <w:t xml:space="preserve">pokuty může být sjednáno jednak jako jednorázové či jako opakující se do doby, než je hlavní dluh uhrazen. </w:t>
      </w:r>
    </w:p>
    <w:p w:rsidR="00FC0EB1" w:rsidRDefault="00FC0EB1" w:rsidP="00FC0EB1">
      <w:pPr>
        <w:spacing w:before="120" w:after="120"/>
        <w:jc w:val="both"/>
      </w:pPr>
    </w:p>
    <w:p w:rsidR="005F63AA" w:rsidRDefault="00FC0EB1" w:rsidP="00FC0EB1">
      <w:pPr>
        <w:spacing w:before="120" w:after="120"/>
        <w:jc w:val="both"/>
      </w:pPr>
      <w:r>
        <w:t xml:space="preserve">Příklad </w:t>
      </w:r>
      <w:r w:rsidR="009625DF">
        <w:t xml:space="preserve">smluvního ujednání obsahující </w:t>
      </w:r>
      <w:r>
        <w:t>jednorázov</w:t>
      </w:r>
      <w:r w:rsidR="009625DF">
        <w:t>ou smluvní pokutu</w:t>
      </w:r>
      <w:r>
        <w:t>:</w:t>
      </w:r>
    </w:p>
    <w:p w:rsidR="00FC0EB1" w:rsidRPr="00FC0EB1" w:rsidRDefault="00FC0EB1" w:rsidP="00FC0EB1">
      <w:pPr>
        <w:keepNext/>
        <w:spacing w:before="120" w:after="120"/>
        <w:jc w:val="center"/>
        <w:rPr>
          <w:b/>
        </w:rPr>
      </w:pPr>
      <w:r w:rsidRPr="00FC0EB1">
        <w:rPr>
          <w:b/>
        </w:rPr>
        <w:t>„</w:t>
      </w:r>
    </w:p>
    <w:p w:rsidR="00FC0EB1" w:rsidRPr="00FC0EB1" w:rsidRDefault="00FC0EB1" w:rsidP="00FC0EB1">
      <w:pPr>
        <w:keepNext/>
        <w:spacing w:before="120" w:after="120"/>
        <w:jc w:val="both"/>
        <w:rPr>
          <w:i/>
        </w:rPr>
      </w:pPr>
      <w:r w:rsidRPr="00FC0EB1">
        <w:rPr>
          <w:i/>
        </w:rPr>
        <w:t>V případě prodlení dlužníka s úhradou sjednané kupní ceny v dohodnuté době se dlužník zavazuje věřiteli uhradit smluvní pokutu ve výši 100.000,- Kč.</w:t>
      </w:r>
    </w:p>
    <w:p w:rsidR="00FC0EB1" w:rsidRPr="00FC0EB1" w:rsidRDefault="00FC0EB1" w:rsidP="00FC0EB1">
      <w:pPr>
        <w:spacing w:before="120" w:after="120"/>
        <w:jc w:val="center"/>
        <w:rPr>
          <w:b/>
        </w:rPr>
      </w:pPr>
      <w:r w:rsidRPr="00FC0EB1">
        <w:rPr>
          <w:b/>
        </w:rPr>
        <w:t>„</w:t>
      </w:r>
    </w:p>
    <w:p w:rsidR="00FC0EB1" w:rsidRDefault="00FC0EB1" w:rsidP="00FC0EB1">
      <w:pPr>
        <w:spacing w:before="120" w:after="120"/>
        <w:jc w:val="both"/>
      </w:pPr>
    </w:p>
    <w:p w:rsidR="009625DF" w:rsidRDefault="009625DF" w:rsidP="009625DF">
      <w:pPr>
        <w:spacing w:before="120" w:after="120"/>
        <w:jc w:val="both"/>
      </w:pPr>
      <w:r>
        <w:t>Příklad smluvního ujednání obsahující smluvní pokutu s opakujícím se plněním:</w:t>
      </w:r>
    </w:p>
    <w:p w:rsidR="00FC0EB1" w:rsidRPr="00FC0EB1" w:rsidRDefault="009625DF" w:rsidP="009625DF">
      <w:pPr>
        <w:spacing w:before="120" w:after="120"/>
        <w:jc w:val="center"/>
        <w:rPr>
          <w:b/>
        </w:rPr>
      </w:pPr>
      <w:r w:rsidRPr="00FC0EB1">
        <w:rPr>
          <w:b/>
        </w:rPr>
        <w:t xml:space="preserve"> </w:t>
      </w:r>
      <w:r w:rsidR="00FC0EB1" w:rsidRPr="00FC0EB1">
        <w:rPr>
          <w:b/>
        </w:rPr>
        <w:t>„</w:t>
      </w:r>
    </w:p>
    <w:p w:rsidR="00FC0EB1" w:rsidRDefault="00FC0EB1" w:rsidP="00FC0EB1">
      <w:pPr>
        <w:spacing w:before="120" w:after="120"/>
        <w:jc w:val="both"/>
        <w:rPr>
          <w:i/>
        </w:rPr>
      </w:pPr>
      <w:r w:rsidRPr="00FC0EB1">
        <w:rPr>
          <w:i/>
        </w:rPr>
        <w:t xml:space="preserve">V případě prodlení dlužníka s úhradou sjednané kupní ceny v dohodnuté době se dlužník zavazuje věřiteli uhradit smluvní pokutu ve výši </w:t>
      </w:r>
      <w:r>
        <w:rPr>
          <w:i/>
        </w:rPr>
        <w:t xml:space="preserve">0,5 % denně z dlužné částky, a to až do jejího </w:t>
      </w:r>
      <w:r w:rsidR="00F62038">
        <w:rPr>
          <w:i/>
        </w:rPr>
        <w:t xml:space="preserve">úplného </w:t>
      </w:r>
      <w:r>
        <w:rPr>
          <w:i/>
        </w:rPr>
        <w:t xml:space="preserve">zaplacení. </w:t>
      </w:r>
    </w:p>
    <w:p w:rsidR="00FC5D59" w:rsidRDefault="00FC0EB1" w:rsidP="000B34A9">
      <w:pPr>
        <w:spacing w:before="120" w:after="120"/>
        <w:jc w:val="center"/>
        <w:rPr>
          <w:b/>
          <w:i/>
        </w:rPr>
      </w:pPr>
      <w:r w:rsidRPr="00FC0EB1">
        <w:rPr>
          <w:b/>
          <w:i/>
        </w:rPr>
        <w:t>„</w:t>
      </w:r>
    </w:p>
    <w:p w:rsidR="000B34A9" w:rsidRDefault="000B34A9" w:rsidP="000B34A9">
      <w:pPr>
        <w:spacing w:before="120" w:after="120"/>
        <w:rPr>
          <w:b/>
        </w:rPr>
      </w:pPr>
    </w:p>
    <w:p w:rsidR="000B34A9" w:rsidRPr="000B34A9" w:rsidRDefault="000B34A9" w:rsidP="008E355D">
      <w:pPr>
        <w:spacing w:before="120" w:after="120"/>
        <w:ind w:firstLine="360"/>
        <w:jc w:val="both"/>
      </w:pPr>
      <w:r>
        <w:t>Ve vztahu k hlavnímu závazku, jehož splnění je smluvní pokutou utvrzeno, je nutné si uvědomit následující</w:t>
      </w:r>
      <w:r w:rsidR="00F62038">
        <w:t xml:space="preserve"> zvláštnosti</w:t>
      </w:r>
      <w:r>
        <w:t xml:space="preserve">. Pokud dojde například k pozdní úhradě </w:t>
      </w:r>
      <w:r w:rsidR="00431A30">
        <w:t xml:space="preserve">kupní ceny, jejíž včasnost a řádnost úhrady byla ve smlouvě zajištěna smluvní pokutou, </w:t>
      </w:r>
      <w:r>
        <w:t xml:space="preserve">existují </w:t>
      </w:r>
      <w:r w:rsidR="00431A30">
        <w:t xml:space="preserve">obě povinnosti nadále </w:t>
      </w:r>
      <w:r>
        <w:t>vedle sebe. Krom</w:t>
      </w:r>
      <w:r w:rsidR="0018627A">
        <w:t>ě</w:t>
      </w:r>
      <w:r>
        <w:t xml:space="preserve"> povinnosti k úhradě kupní ceny je dlužník </w:t>
      </w:r>
      <w:r w:rsidR="00431A30">
        <w:t xml:space="preserve">tak </w:t>
      </w:r>
      <w:r>
        <w:t xml:space="preserve">současně povinen uhradit </w:t>
      </w:r>
      <w:r w:rsidR="0018627A">
        <w:t xml:space="preserve">i </w:t>
      </w:r>
      <w:r>
        <w:t xml:space="preserve">smluvní pokutu. Pokud smluvní pokuta již porušením smluvní povinnosti vznikla, </w:t>
      </w:r>
      <w:r w:rsidR="0018627A">
        <w:t xml:space="preserve">tak se </w:t>
      </w:r>
      <w:r>
        <w:t xml:space="preserve">dlužník povinnosti k její úhradě nesprostí tím, že </w:t>
      </w:r>
      <w:r w:rsidR="008E355D">
        <w:t>dodatečně uhradí hlavní závazek</w:t>
      </w:r>
      <w:r w:rsidR="00431A30">
        <w:t xml:space="preserve"> například tím, že </w:t>
      </w:r>
      <w:r w:rsidR="008E355D">
        <w:t xml:space="preserve">dodatečně </w:t>
      </w:r>
      <w:r w:rsidR="00431A30">
        <w:t xml:space="preserve">zcela </w:t>
      </w:r>
      <w:r w:rsidR="008E355D">
        <w:t xml:space="preserve">uhradí kupní cenu. </w:t>
      </w:r>
      <w:r w:rsidR="00CB2B41">
        <w:t xml:space="preserve">A pokud si strany výslovně neujednají jinak, uvedené platí i naopak. </w:t>
      </w:r>
      <w:r w:rsidR="008E355D">
        <w:t xml:space="preserve">Pokud dlužník uhradí smluvní pokutu, nesprostí se tím povinnosti splnit hlavní závazek. </w:t>
      </w:r>
    </w:p>
    <w:p w:rsidR="00FC5D59" w:rsidRDefault="001F0092" w:rsidP="00220448">
      <w:pPr>
        <w:spacing w:before="120" w:after="120"/>
        <w:ind w:firstLine="357"/>
        <w:jc w:val="both"/>
      </w:pPr>
      <w:r>
        <w:t>Pro vznik povinnosti zaplatit smluvní pokutu je rozhodný toliko fakt, že k porušení smluvené povi</w:t>
      </w:r>
      <w:r w:rsidR="005F16E3">
        <w:t>nnosti (např. uhradit kupní cenu</w:t>
      </w:r>
      <w:r>
        <w:t>)</w:t>
      </w:r>
      <w:r w:rsidR="00A07B9B">
        <w:t xml:space="preserve"> prostě došlo. Dlužník je povinen zaplatit smluvní pokutu i tehdy, když porušení smluvní pokutou utvrzeného hlavního dluhu sám nezavinil. Bude-li např. smluvní pokutou zajištěna povinnost dodat nějaké zboží do konkrétního data</w:t>
      </w:r>
      <w:r w:rsidR="00EA6AF0">
        <w:t xml:space="preserve"> a místa</w:t>
      </w:r>
      <w:r w:rsidR="00A07B9B">
        <w:t xml:space="preserve"> a toto dodáno řádně a včas nebude</w:t>
      </w:r>
      <w:r w:rsidR="00EA6AF0">
        <w:t xml:space="preserve"> (</w:t>
      </w:r>
      <w:r w:rsidR="00A07B9B">
        <w:t>například v důsledku autonehody přepravce</w:t>
      </w:r>
      <w:r w:rsidR="005F16E3">
        <w:t>, neprůjezdné dálnice atp.</w:t>
      </w:r>
      <w:r w:rsidR="00EA6AF0">
        <w:t>)</w:t>
      </w:r>
      <w:r w:rsidR="00A07B9B">
        <w:t>, bude prodávající povinen uhradit smluvní pokutu i přesto, že přepr</w:t>
      </w:r>
      <w:r w:rsidR="00F62038">
        <w:t>avu zajišťovala třetí</w:t>
      </w:r>
      <w:r w:rsidR="00A07B9B">
        <w:t xml:space="preserve"> osoba</w:t>
      </w:r>
      <w:r w:rsidR="005F16E3">
        <w:t xml:space="preserve"> </w:t>
      </w:r>
      <w:r w:rsidR="00F62038">
        <w:t>a i přesto, že</w:t>
      </w:r>
      <w:r w:rsidR="005F16E3">
        <w:t xml:space="preserve"> za neprůjezdnou dálnici</w:t>
      </w:r>
      <w:r w:rsidR="00F62038">
        <w:t xml:space="preserve"> z logiky věci</w:t>
      </w:r>
      <w:r w:rsidR="005F16E3">
        <w:t xml:space="preserve"> prostě nemůže. </w:t>
      </w:r>
      <w:r w:rsidR="00465E74">
        <w:t>Strany se však mohou ve smlouvě dohodnout jinak a povinnost k úhradě smluv</w:t>
      </w:r>
      <w:r w:rsidR="005F16E3">
        <w:t>ní pokut</w:t>
      </w:r>
      <w:r w:rsidR="00DD38F5">
        <w:t>y</w:t>
      </w:r>
      <w:r w:rsidR="005F16E3">
        <w:t xml:space="preserve"> tak například vázat pouze k</w:t>
      </w:r>
      <w:r w:rsidR="00465E74">
        <w:t xml:space="preserve"> úmyslnému porušení smluvní povinnosti. </w:t>
      </w:r>
      <w:r w:rsidR="00F62038">
        <w:t xml:space="preserve">Nebývá to však časté. </w:t>
      </w:r>
    </w:p>
    <w:p w:rsidR="004D5AEA" w:rsidRPr="00380747" w:rsidRDefault="004D5AEA" w:rsidP="00220448">
      <w:pPr>
        <w:spacing w:before="120" w:after="120"/>
        <w:ind w:firstLine="357"/>
        <w:jc w:val="both"/>
      </w:pPr>
      <w:r>
        <w:t xml:space="preserve">Vztah smluvní pokuty a hlavního závazku je </w:t>
      </w:r>
      <w:r w:rsidR="004944A0">
        <w:t xml:space="preserve">tzv. akcesorický. </w:t>
      </w:r>
      <w:r w:rsidR="00380747" w:rsidRPr="00380747">
        <w:t xml:space="preserve">Nevznikl-li </w:t>
      </w:r>
      <w:r w:rsidR="005F16E3">
        <w:t>zajištěný</w:t>
      </w:r>
      <w:r w:rsidR="00380747">
        <w:t xml:space="preserve"> hlavní </w:t>
      </w:r>
      <w:r w:rsidR="00380747" w:rsidRPr="00380747">
        <w:t xml:space="preserve">závazek, nemůže </w:t>
      </w:r>
      <w:r w:rsidR="00380747">
        <w:t>tak ani dojít ke vzniku</w:t>
      </w:r>
      <w:r w:rsidR="00380747" w:rsidRPr="00380747">
        <w:t xml:space="preserve"> nárok</w:t>
      </w:r>
      <w:r w:rsidR="00380747">
        <w:t>u</w:t>
      </w:r>
      <w:r w:rsidR="00380747" w:rsidRPr="00380747">
        <w:t xml:space="preserve"> na smluvní pokutu</w:t>
      </w:r>
      <w:r w:rsidR="00380747">
        <w:t xml:space="preserve">. </w:t>
      </w:r>
      <w:r w:rsidR="00380747" w:rsidRPr="00380747">
        <w:t xml:space="preserve">Zanikl-li </w:t>
      </w:r>
      <w:r w:rsidR="00380747">
        <w:t xml:space="preserve">však hlavní </w:t>
      </w:r>
      <w:r w:rsidR="00380747" w:rsidRPr="00380747">
        <w:t>závazek odstoupením od smlouvy, nárok na smluvní pokutu</w:t>
      </w:r>
      <w:r w:rsidR="00380747">
        <w:t xml:space="preserve"> nezaniká</w:t>
      </w:r>
      <w:r w:rsidR="00380747" w:rsidRPr="00380747">
        <w:t>, vznikl-li ještě před odstoupením od smlouvy</w:t>
      </w:r>
      <w:r w:rsidR="00380747">
        <w:t xml:space="preserve">. Z praxe lze uvést poměrně častý příklad </w:t>
      </w:r>
      <w:r w:rsidR="005F16E3">
        <w:t xml:space="preserve">právě </w:t>
      </w:r>
      <w:r w:rsidR="00380747">
        <w:t>uvedeného.</w:t>
      </w:r>
      <w:r w:rsidR="005F16E3">
        <w:t xml:space="preserve"> Dejme tomu, že si s</w:t>
      </w:r>
      <w:r w:rsidR="00380747">
        <w:t xml:space="preserve">trany kupní smlouvy sjednaly smluvní pokutu zajištující řádnou a včasnou úhradu kupní ceny. Pokud se </w:t>
      </w:r>
      <w:r w:rsidR="005F16E3">
        <w:t>kupující</w:t>
      </w:r>
      <w:r w:rsidR="00380747">
        <w:t xml:space="preserve"> dostane </w:t>
      </w:r>
      <w:r w:rsidR="005F16E3">
        <w:t>s</w:t>
      </w:r>
      <w:r w:rsidR="00380747">
        <w:t xml:space="preserve"> úhradou </w:t>
      </w:r>
      <w:r w:rsidR="005F16E3">
        <w:t xml:space="preserve">kupní ceny </w:t>
      </w:r>
      <w:r w:rsidR="00380747">
        <w:t xml:space="preserve">do prodlení a prodejce následně pro nezaplacení kupní ceny od smlouvy odstoupí, kupní smlouva se </w:t>
      </w:r>
      <w:r w:rsidR="005F16E3">
        <w:t>z</w:t>
      </w:r>
      <w:r w:rsidR="00380747">
        <w:t>ruší</w:t>
      </w:r>
      <w:r w:rsidR="00F62038">
        <w:t xml:space="preserve"> a tím i povinnost k úhradě kupní ceny</w:t>
      </w:r>
      <w:r w:rsidR="00380747">
        <w:t xml:space="preserve">. Povinnost k zaplacení smluvní pokuty na straně dlužníka </w:t>
      </w:r>
      <w:r w:rsidR="005F16E3">
        <w:t>však bude nadále trvat</w:t>
      </w:r>
      <w:r w:rsidR="00380747">
        <w:t xml:space="preserve">. Stejně tak povinnost k zaplacení smluvní pokuty trvá i navzdory tomu, že se </w:t>
      </w:r>
      <w:r w:rsidR="00380747">
        <w:lastRenderedPageBreak/>
        <w:t>hlavní závazek</w:t>
      </w:r>
      <w:r w:rsidR="00B242E6">
        <w:t xml:space="preserve"> již</w:t>
      </w:r>
      <w:r w:rsidR="00380747">
        <w:t xml:space="preserve"> promlčel. Promlčecí lhůta smluvní pokuty totiž běží samostatně</w:t>
      </w:r>
      <w:r w:rsidR="00F62038">
        <w:t>,</w:t>
      </w:r>
      <w:r w:rsidR="00380747">
        <w:t xml:space="preserve"> a to v zásadě od okamžiku porušení </w:t>
      </w:r>
      <w:r w:rsidR="00B242E6">
        <w:t xml:space="preserve">zajištěné </w:t>
      </w:r>
      <w:r w:rsidR="00380747">
        <w:t xml:space="preserve">smluvní povinnosti. </w:t>
      </w:r>
      <w:r w:rsidR="00502084">
        <w:t xml:space="preserve">Naproti tomu, zanikl-li však hlavní závazek prekluzí, zaniká s ním i smluvní pokuta. </w:t>
      </w:r>
      <w:r w:rsidR="00222BBC">
        <w:t>V ne</w:t>
      </w:r>
      <w:r w:rsidR="00B242E6">
        <w:t>poslední řadě</w:t>
      </w:r>
      <w:r w:rsidR="00222BBC">
        <w:t xml:space="preserve"> je nutné si uvědomit, že smluvní pokuta není příslušenstvím pohledávky, nýbrž je samostatným nárokem. Pokud je hlavní závazek například zajištěn zástavním právem, pak se zástavní právo na povinnost k úhradě smluvní pokuty nevztahuje. </w:t>
      </w:r>
    </w:p>
    <w:p w:rsidR="00EA6AF0" w:rsidRDefault="00EA6AF0" w:rsidP="00220448">
      <w:pPr>
        <w:spacing w:before="120" w:after="120"/>
        <w:ind w:firstLine="357"/>
        <w:jc w:val="both"/>
      </w:pPr>
      <w:r>
        <w:t xml:space="preserve">Velmi důležitý je vztah smluvní pokuty </w:t>
      </w:r>
      <w:r w:rsidR="00BE6BFF">
        <w:t>a</w:t>
      </w:r>
      <w:r w:rsidR="00502084">
        <w:t xml:space="preserve"> vzniklé</w:t>
      </w:r>
      <w:r w:rsidR="00BE6BFF">
        <w:t xml:space="preserve"> škody. To, že je smluvní pokuta ve smlouvě sjednána a tím je tedy oprávněnou stranou dáno najevo, že jí na splnění utvrzené hlavní povinnosti obzvláště záleží, je </w:t>
      </w:r>
      <w:r w:rsidR="00B242E6">
        <w:t xml:space="preserve">současně </w:t>
      </w:r>
      <w:r w:rsidR="00BE6BFF">
        <w:t xml:space="preserve">vyjádřen předpoklad, že porušením hlavní povinnosti bude způsobena druhé smluvní straně škoda. </w:t>
      </w:r>
      <w:r w:rsidR="005F2897">
        <w:t xml:space="preserve">Smluvní pokuta je dle zákonodárce tzv. paušalizovanou náhradou škody. Výše smluvní pokuty by tak měla zhruba odpovídat předpokládané výši způsobené škody. </w:t>
      </w:r>
      <w:r w:rsidR="003B0088">
        <w:t>Dlužník je však povinen uhradit smluvní pokutu i</w:t>
      </w:r>
      <w:r w:rsidR="00B242E6">
        <w:t xml:space="preserve"> tehdy, nevznikla-li</w:t>
      </w:r>
      <w:r w:rsidR="003B0088">
        <w:t xml:space="preserve"> věřiteli porušením smluvní povinnosti žádná škoda. </w:t>
      </w:r>
      <w:r w:rsidR="005F2897">
        <w:t>Pokud porušení</w:t>
      </w:r>
      <w:r w:rsidR="003B0088">
        <w:t>m</w:t>
      </w:r>
      <w:r w:rsidR="005F2897">
        <w:t xml:space="preserve"> smluvní povinnosti, </w:t>
      </w:r>
      <w:r w:rsidR="00CB2B41">
        <w:t>jež</w:t>
      </w:r>
      <w:r w:rsidR="005F2897">
        <w:t xml:space="preserve"> je utvrzena smluvní pokutou, dojde ke vzniku škody, nemá věřitel právo na její </w:t>
      </w:r>
      <w:r w:rsidR="00B242E6">
        <w:t>ná</w:t>
      </w:r>
      <w:r w:rsidR="005F2897">
        <w:t>hradu. Jinými slovy</w:t>
      </w:r>
      <w:r w:rsidR="00B242E6">
        <w:t>,</w:t>
      </w:r>
      <w:r w:rsidR="005F2897">
        <w:t xml:space="preserve"> dlužník není povinen k úhradě </w:t>
      </w:r>
      <w:r w:rsidR="003B0088">
        <w:t>škody vzniklé v důsledku porušením nějak</w:t>
      </w:r>
      <w:r w:rsidR="00B242E6">
        <w:t xml:space="preserve">é smluvní povinnosti, byla-li ke splnění </w:t>
      </w:r>
      <w:r w:rsidR="003B0088">
        <w:t>této povinnosti ujednána smluvní pokuta. V praxi však platí, že se strany mohou od tohoto pravidla odchýlit a ujednat si, že uhrazením smluvní pokuty nezaniká právo věřitele na náhradu</w:t>
      </w:r>
      <w:r w:rsidR="00B242E6">
        <w:t xml:space="preserve"> vzniklé</w:t>
      </w:r>
      <w:r w:rsidR="003B0088">
        <w:t xml:space="preserve"> škody. V praxi je takovéto ujednání velmi časté a je </w:t>
      </w:r>
      <w:r w:rsidR="00493D84">
        <w:t xml:space="preserve">mu </w:t>
      </w:r>
      <w:r w:rsidR="003B0088">
        <w:t xml:space="preserve">tak třeba při uzavírání smluv věnovat náležitou pozornost. </w:t>
      </w:r>
    </w:p>
    <w:p w:rsidR="00502084" w:rsidRPr="00502084" w:rsidRDefault="00502084" w:rsidP="00220448">
      <w:pPr>
        <w:spacing w:before="120" w:after="120"/>
        <w:ind w:firstLine="357"/>
        <w:jc w:val="both"/>
      </w:pPr>
      <w:r>
        <w:t xml:space="preserve">Smluvní pokutu pak konečně nesmíme </w:t>
      </w:r>
      <w:r w:rsidR="00B242E6">
        <w:t xml:space="preserve">jakkoliv </w:t>
      </w:r>
      <w:r>
        <w:t>zaměňovat s povinností hradit úroky z prodlení. Platí totiž, že po</w:t>
      </w:r>
      <w:r w:rsidRPr="00502084">
        <w:t xml:space="preserve"> dlužníkovi, který je v prodlení se splácením </w:t>
      </w:r>
      <w:r>
        <w:t xml:space="preserve">peněžitého dluhu, může věřitel </w:t>
      </w:r>
      <w:r w:rsidRPr="00502084">
        <w:t>požadovat zaplacení úroku z</w:t>
      </w:r>
      <w:r>
        <w:t> </w:t>
      </w:r>
      <w:r w:rsidRPr="00502084">
        <w:t>prodlení</w:t>
      </w:r>
      <w:r>
        <w:t xml:space="preserve">. </w:t>
      </w:r>
      <w:r w:rsidRPr="00502084">
        <w:t>Výši</w:t>
      </w:r>
      <w:r w:rsidR="00222BBC">
        <w:t xml:space="preserve"> zákonného</w:t>
      </w:r>
      <w:r w:rsidRPr="00502084">
        <w:t xml:space="preserve"> úroku z prodlení stanoví vláda nařízením</w:t>
      </w:r>
      <w:r w:rsidR="00222BBC">
        <w:t xml:space="preserve">, stranám však nic nebrání, aby si </w:t>
      </w:r>
      <w:r w:rsidRPr="00502084">
        <w:t>výši úroku z</w:t>
      </w:r>
      <w:r w:rsidR="00222BBC">
        <w:t> </w:t>
      </w:r>
      <w:r w:rsidRPr="00502084">
        <w:t>prodlení</w:t>
      </w:r>
      <w:r w:rsidR="00222BBC">
        <w:t xml:space="preserve"> ve smlouvě ujednal</w:t>
      </w:r>
      <w:r w:rsidR="00132B8E">
        <w:t>y</w:t>
      </w:r>
      <w:r w:rsidR="00222BBC">
        <w:t xml:space="preserve"> v jiné než zákonn</w:t>
      </w:r>
      <w:r w:rsidR="00132B8E">
        <w:t>é</w:t>
      </w:r>
      <w:r w:rsidR="00222BBC">
        <w:t xml:space="preserve"> výši. Platí přitom, že </w:t>
      </w:r>
      <w:r w:rsidR="00B242E6">
        <w:t xml:space="preserve">taktéž </w:t>
      </w:r>
      <w:r w:rsidR="00222BBC">
        <w:t>nic nebrání tomu, aby byla například povinnost k úhradě kupní ceny krom</w:t>
      </w:r>
      <w:r w:rsidR="00132B8E">
        <w:t>ě</w:t>
      </w:r>
      <w:r w:rsidR="00222BBC">
        <w:t xml:space="preserve"> úroku z prodlení zajištěna i smluvní pokutou ve formě opakujícího se plnění. Smluvní pokuta </w:t>
      </w:r>
      <w:r w:rsidR="00132B8E">
        <w:t>a</w:t>
      </w:r>
      <w:r w:rsidR="00222BBC">
        <w:t> úrok z prodlení tak mohou stát vedle sebe a jedna</w:t>
      </w:r>
      <w:r w:rsidR="00132B8E">
        <w:t xml:space="preserve"> povinnost</w:t>
      </w:r>
      <w:r w:rsidR="00222BBC">
        <w:t xml:space="preserve"> druhou nevylučuje. </w:t>
      </w:r>
      <w:r w:rsidR="00B242E6">
        <w:t>Povinnost k úhradě úroku z prodlení je však na rozdíl od s</w:t>
      </w:r>
      <w:r w:rsidR="00396809">
        <w:t>mluvní pokuty vázán</w:t>
      </w:r>
      <w:r w:rsidR="007E4E38">
        <w:t>a</w:t>
      </w:r>
      <w:r w:rsidR="00396809">
        <w:t xml:space="preserve"> na zaviněné</w:t>
      </w:r>
      <w:r w:rsidR="00B242E6">
        <w:t xml:space="preserve"> </w:t>
      </w:r>
      <w:r w:rsidR="00396809">
        <w:t>porušení smluvní povinnosti</w:t>
      </w:r>
      <w:r w:rsidR="00B242E6">
        <w:t xml:space="preserve"> dlužníka. </w:t>
      </w:r>
    </w:p>
    <w:p w:rsidR="00FC5D59" w:rsidRDefault="006B4F45" w:rsidP="00220448">
      <w:pPr>
        <w:spacing w:before="120" w:after="120"/>
        <w:ind w:firstLine="357"/>
        <w:jc w:val="both"/>
      </w:pPr>
      <w:r>
        <w:t>Co se týče platnosti sjednané smluvní pokuty, tak se pro n</w:t>
      </w:r>
      <w:r w:rsidR="007E4E38">
        <w:t>i</w:t>
      </w:r>
      <w:r>
        <w:t xml:space="preserve"> nevyžaduje písemná forma. Tu však lze každému doporučit, neboť při ústním sjednání se lze velmi snadno dostat do důkazní nouze v případě pozdějšího</w:t>
      </w:r>
      <w:r w:rsidR="00B242E6">
        <w:t xml:space="preserve"> soudního</w:t>
      </w:r>
      <w:r>
        <w:t xml:space="preserve"> sporu. Platnost ujednání o smluvní pokutě je nicméně daná obecnými náležitostmi vůle, projevu vůle a </w:t>
      </w:r>
      <w:r w:rsidR="00B242E6">
        <w:t xml:space="preserve">zejména </w:t>
      </w:r>
      <w:r>
        <w:t xml:space="preserve">souladu s dobrými mravy. </w:t>
      </w:r>
    </w:p>
    <w:p w:rsidR="006B4F45" w:rsidRDefault="006B4F45" w:rsidP="00220448">
      <w:pPr>
        <w:spacing w:before="120" w:after="120"/>
        <w:ind w:firstLine="357"/>
        <w:jc w:val="both"/>
      </w:pPr>
      <w:r>
        <w:t>Ohledně požadavku na to, aby byla smluvní pokuta sjednána určitě, lze zmínit problematiku nejčastěji užívaných jiných označení pro tento institut. Přestože zákon používá výlučně pojem „smluvní pokuta“</w:t>
      </w:r>
      <w:r w:rsidR="00396809">
        <w:t>,</w:t>
      </w:r>
      <w:r>
        <w:t xml:space="preserve"> a takto jej lze doporučit i stranám, lze se v praxi setkat i </w:t>
      </w:r>
      <w:r w:rsidR="00CF0407">
        <w:t>alternativními</w:t>
      </w:r>
      <w:r>
        <w:t xml:space="preserve"> označeními, jako je například smluvní či peněžitá sankce či penále.  V této souvislosti je vždy rozhodující skutečný význam daného smluvního ujednání. Pokud však vzniknou pochybnosti i tom, co bylo alterna</w:t>
      </w:r>
      <w:r w:rsidR="00396809">
        <w:t>tivním</w:t>
      </w:r>
      <w:r>
        <w:t xml:space="preserve"> označením ve smlouvě myšleno</w:t>
      </w:r>
      <w:r w:rsidR="00B242E6">
        <w:t xml:space="preserve"> (nebude </w:t>
      </w:r>
      <w:r w:rsidR="00396809">
        <w:t xml:space="preserve">např. ze smlouvy </w:t>
      </w:r>
      <w:r w:rsidR="00B242E6">
        <w:t>jisté, zdali jde o smluvní pokutu nebo</w:t>
      </w:r>
      <w:r w:rsidR="00396809">
        <w:t xml:space="preserve"> o</w:t>
      </w:r>
      <w:r w:rsidR="00B242E6">
        <w:t xml:space="preserve"> úrok z prodlení)</w:t>
      </w:r>
      <w:r>
        <w:t xml:space="preserve">, bude takové ujednání </w:t>
      </w:r>
      <w:r w:rsidR="00B242E6">
        <w:t xml:space="preserve">absolutně </w:t>
      </w:r>
      <w:r>
        <w:t xml:space="preserve">neplatné pro neurčitost. </w:t>
      </w:r>
      <w:r w:rsidR="007E4E38">
        <w:t>Za n</w:t>
      </w:r>
      <w:r w:rsidR="004D5AEA">
        <w:t>eplatné bude taktéž označeno</w:t>
      </w:r>
      <w:r w:rsidR="00B242E6">
        <w:t xml:space="preserve"> i</w:t>
      </w:r>
      <w:r w:rsidR="004D5AEA">
        <w:t xml:space="preserve"> takové ujednání, které nebude obsahovat přesnou výši smluvní pokuty a nebo přesný způsob, jak se taková </w:t>
      </w:r>
      <w:r w:rsidR="00B242E6">
        <w:t xml:space="preserve">výše </w:t>
      </w:r>
      <w:r w:rsidR="004D5AEA">
        <w:t>vypočítá. Jinými slovy, smluvní pokutu nelze ujednat rozmezím, tak jak</w:t>
      </w:r>
      <w:r w:rsidR="002E59EC">
        <w:t xml:space="preserve"> t</w:t>
      </w:r>
      <w:r w:rsidR="004D5AEA">
        <w:t>o znám</w:t>
      </w:r>
      <w:r w:rsidR="002E59EC">
        <w:t>u</w:t>
      </w:r>
      <w:r w:rsidR="004D5AEA">
        <w:t xml:space="preserve"> u pokut veřejnoprávních. </w:t>
      </w:r>
    </w:p>
    <w:p w:rsidR="00CF0407" w:rsidRDefault="00CF0407" w:rsidP="00220448">
      <w:pPr>
        <w:spacing w:before="120" w:after="120"/>
        <w:ind w:firstLine="357"/>
        <w:jc w:val="both"/>
      </w:pPr>
      <w:r>
        <w:t>Platné ujednání o smluvní pokutě je však v praxi velmi často poměřován</w:t>
      </w:r>
      <w:r w:rsidR="00896D54">
        <w:t>o</w:t>
      </w:r>
      <w:r>
        <w:t xml:space="preserve"> z hlediska souladu s dobrými mravy. V případě různých úvěrových smluv či smluv o zápůjčce mezi spotřebitelem a nebankovním poskytovatelem je poměrně častým jevem, že smluvní pokuta je sjednána ve velmi vysoké výši. Například je tomu </w:t>
      </w:r>
      <w:r w:rsidR="00896D54">
        <w:t xml:space="preserve">tak </w:t>
      </w:r>
      <w:r>
        <w:t xml:space="preserve">tehdy, kdy je dlužník povinen uhradit </w:t>
      </w:r>
      <w:r>
        <w:lastRenderedPageBreak/>
        <w:t xml:space="preserve">smluvní pokutu ve výši 1 % a více z dlužné částky denně, což odpovídá zhruba 365 % ročnímu úroku. </w:t>
      </w:r>
      <w:r w:rsidR="006C1208">
        <w:t>Nicméně platí, že pro posouzení případné nemravnosti ujednání o smluvní pokutě je důležit</w:t>
      </w:r>
      <w:r w:rsidR="00396809">
        <w:t>é</w:t>
      </w:r>
      <w:r w:rsidR="006C1208">
        <w:t xml:space="preserve"> posoudit </w:t>
      </w:r>
      <w:r w:rsidR="006C1208" w:rsidRPr="006C1208">
        <w:t>všech</w:t>
      </w:r>
      <w:r w:rsidR="006C1208">
        <w:t>ny</w:t>
      </w:r>
      <w:r w:rsidR="006C1208" w:rsidRPr="006C1208">
        <w:t xml:space="preserve"> zvláštnost</w:t>
      </w:r>
      <w:r w:rsidR="006C1208">
        <w:t>i</w:t>
      </w:r>
      <w:r w:rsidR="006C1208" w:rsidRPr="006C1208">
        <w:t xml:space="preserve"> každého případu individuálně a závěry v konkrétním případě tak lze jen velmi obtížně zobecnit</w:t>
      </w:r>
      <w:r w:rsidR="006C1208">
        <w:t>. S konkrétní výš</w:t>
      </w:r>
      <w:r w:rsidR="00896D54">
        <w:t>í</w:t>
      </w:r>
      <w:r w:rsidR="006C1208">
        <w:t xml:space="preserve"> smluvní pokuty je třeba srovnávat výši zajištěné </w:t>
      </w:r>
      <w:r w:rsidR="00CB2B41">
        <w:t>pohledávky, a jestli</w:t>
      </w:r>
      <w:r w:rsidR="006C1208">
        <w:t xml:space="preserve"> j</w:t>
      </w:r>
      <w:r w:rsidR="00896D54">
        <w:t>i</w:t>
      </w:r>
      <w:r w:rsidR="006C1208">
        <w:t xml:space="preserve"> smluvní pokuta výrazně nepřevyšuje. Současně se bere na zřetel mí</w:t>
      </w:r>
      <w:r w:rsidR="002E59EC">
        <w:t>ra</w:t>
      </w:r>
      <w:r w:rsidR="006C1208">
        <w:t xml:space="preserve"> porušení povinnosti a tedy, zdali velmi vysoká smluvní pokuta nevznikala v důsledku např. dlouholetého prodlení dlužníka s plněním zajištěné povinnosti. I když to nemusí být pravidlem, tak pro zajímavost lze uvést, že smluvní pokuta určená více jak 1 % z dlužné částky denně byla opakovaně soudy označována za neplatnou pro rozpor s dobrými mravy. </w:t>
      </w:r>
      <w:r w:rsidR="00A2071F">
        <w:t xml:space="preserve">Nepřiměřenou smluvní pokutu následně soud na návrh dlužníka </w:t>
      </w:r>
      <w:r w:rsidR="002E59EC">
        <w:t xml:space="preserve">může </w:t>
      </w:r>
      <w:r w:rsidR="00A2071F">
        <w:t>snížit. Učiní tak s přihlédnutím k hodnotě a významu zajišťované povinnosti, a to až do výše</w:t>
      </w:r>
      <w:r w:rsidR="004B204B">
        <w:t xml:space="preserve"> škody</w:t>
      </w:r>
      <w:r w:rsidR="00A2071F">
        <w:t xml:space="preserve"> </w:t>
      </w:r>
      <w:r w:rsidR="004B204B">
        <w:t xml:space="preserve">vzniklé do doby soudního rozhodnutí </w:t>
      </w:r>
      <w:r w:rsidR="00A2071F">
        <w:t xml:space="preserve">porušením zajištěné povinnosti. </w:t>
      </w:r>
    </w:p>
    <w:p w:rsidR="003B0088" w:rsidRDefault="00044947" w:rsidP="00044947">
      <w:pPr>
        <w:spacing w:before="120" w:after="120"/>
        <w:jc w:val="both"/>
      </w:pPr>
      <w:r>
        <w:t xml:space="preserve">Pokud dlužník dobrovolně neuhradí smluvní pokutu, </w:t>
      </w:r>
      <w:r w:rsidR="004B204B">
        <w:t xml:space="preserve">je </w:t>
      </w:r>
      <w:r>
        <w:t xml:space="preserve">věřitel nucen se svého práva domáhat zpravidla soudní cestou. Jinými slovy, aby mohla být smluvní pokuta po dlužníku nedobrovolně vymožena, je </w:t>
      </w:r>
      <w:r w:rsidR="00055565">
        <w:t xml:space="preserve">v zásadě </w:t>
      </w:r>
      <w:r>
        <w:t>nutné podat klasickou žalobu na plnění</w:t>
      </w:r>
      <w:r w:rsidR="002E59EC">
        <w:t xml:space="preserve">. Na </w:t>
      </w:r>
      <w:r w:rsidR="00055565">
        <w:t xml:space="preserve">základě samotné smlouvy nelze </w:t>
      </w:r>
      <w:r w:rsidR="002E59EC">
        <w:t xml:space="preserve">exekuci </w:t>
      </w:r>
      <w:r w:rsidR="00055565">
        <w:t>provést, neboť taková smlouva není na rozdíl od</w:t>
      </w:r>
      <w:r w:rsidR="002E59EC">
        <w:t xml:space="preserve"> </w:t>
      </w:r>
      <w:r w:rsidR="00055565">
        <w:t xml:space="preserve">veřejnoprávních pokut exekučním titulem. </w:t>
      </w:r>
      <w:r w:rsidR="006403B6">
        <w:t>V </w:t>
      </w:r>
      <w:r w:rsidR="00055565">
        <w:t>nalézacím</w:t>
      </w:r>
      <w:r w:rsidR="006403B6">
        <w:t xml:space="preserve"> soudním řízení věřitel </w:t>
      </w:r>
      <w:r w:rsidR="00055565">
        <w:t>musí nejprve prokázat</w:t>
      </w:r>
      <w:r w:rsidR="006403B6">
        <w:t>, že m</w:t>
      </w:r>
      <w:r w:rsidR="00396809">
        <w:t>á nárok na úhradu smluvní pokuty</w:t>
      </w:r>
      <w:r w:rsidR="002E59EC">
        <w:t xml:space="preserve"> a že </w:t>
      </w:r>
      <w:r w:rsidR="00396809">
        <w:t xml:space="preserve">tato byla platně sjednána. </w:t>
      </w:r>
      <w:r>
        <w:t xml:space="preserve">Pokud bude v rámci nalézacího soudního řízení </w:t>
      </w:r>
      <w:r w:rsidR="006403B6">
        <w:t>věřitel úspěšný, soud rozhodne rozsudkem</w:t>
      </w:r>
      <w:r w:rsidR="002E59EC">
        <w:t>,</w:t>
      </w:r>
      <w:r w:rsidR="006403B6">
        <w:t xml:space="preserve"> ve kterém žalovanému uloží, aby do určené lhůty (nejčastěji do tří dnů od nab</w:t>
      </w:r>
      <w:r w:rsidR="004B204B">
        <w:t>y</w:t>
      </w:r>
      <w:r w:rsidR="006403B6">
        <w:t>tí právní moci rozsudku)</w:t>
      </w:r>
      <w:r>
        <w:t xml:space="preserve"> </w:t>
      </w:r>
      <w:r w:rsidR="006403B6">
        <w:t xml:space="preserve">věřiteli plnění odpovídající </w:t>
      </w:r>
      <w:r w:rsidR="004B204B">
        <w:t>s</w:t>
      </w:r>
      <w:r w:rsidR="006403B6">
        <w:t xml:space="preserve">mluvní pokutě uhradil. </w:t>
      </w:r>
      <w:r w:rsidR="00055565">
        <w:t>Neučiní-li</w:t>
      </w:r>
      <w:r w:rsidR="006403B6">
        <w:t xml:space="preserve"> tak dlužník ani pak, může se věřitel domáhat, aby bylo plnění ze smluvní pokuty po dlužníku vym</w:t>
      </w:r>
      <w:r w:rsidR="002E59EC">
        <w:t xml:space="preserve">oženo v rámci výkonu rozhodnutí </w:t>
      </w:r>
      <w:r w:rsidR="006403B6">
        <w:t xml:space="preserve">či exekuce.  </w:t>
      </w:r>
    </w:p>
    <w:p w:rsidR="00044947" w:rsidRDefault="00044947" w:rsidP="00044947">
      <w:pPr>
        <w:spacing w:before="120" w:after="120"/>
        <w:jc w:val="both"/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3"/>
        <w:gridCol w:w="4592"/>
      </w:tblGrid>
      <w:tr w:rsidR="002D32F4" w:rsidTr="0029734E">
        <w:trPr>
          <w:trHeight w:val="862"/>
        </w:trPr>
        <w:tc>
          <w:tcPr>
            <w:tcW w:w="9315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2D32F4" w:rsidRPr="0029734E" w:rsidRDefault="002D32F4" w:rsidP="0029734E">
            <w:pPr>
              <w:spacing w:before="120"/>
              <w:jc w:val="center"/>
              <w:rPr>
                <w:b/>
                <w:sz w:val="32"/>
                <w:szCs w:val="32"/>
              </w:rPr>
            </w:pPr>
            <w:r w:rsidRPr="0029734E">
              <w:rPr>
                <w:b/>
                <w:sz w:val="32"/>
                <w:szCs w:val="32"/>
              </w:rPr>
              <w:t>Pokuty</w:t>
            </w:r>
          </w:p>
          <w:p w:rsidR="002D32F4" w:rsidRPr="002D32F4" w:rsidRDefault="002D32F4" w:rsidP="0029734E">
            <w:pPr>
              <w:jc w:val="center"/>
            </w:pPr>
            <w:r w:rsidRPr="002D32F4">
              <w:t>(</w:t>
            </w:r>
            <w:r w:rsidR="009C58D2">
              <w:t>stručná rekapitulace hlavních rozdílů</w:t>
            </w:r>
            <w:r w:rsidRPr="002D32F4">
              <w:t>)</w:t>
            </w:r>
          </w:p>
        </w:tc>
      </w:tr>
      <w:tr w:rsidR="002D32F4" w:rsidTr="0029734E">
        <w:trPr>
          <w:trHeight w:val="603"/>
        </w:trPr>
        <w:tc>
          <w:tcPr>
            <w:tcW w:w="472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32F4" w:rsidRPr="0029734E" w:rsidRDefault="002D32F4" w:rsidP="0029734E">
            <w:pPr>
              <w:spacing w:before="120" w:after="120"/>
              <w:jc w:val="center"/>
              <w:rPr>
                <w:b/>
              </w:rPr>
            </w:pPr>
            <w:r w:rsidRPr="0029734E">
              <w:rPr>
                <w:b/>
              </w:rPr>
              <w:t>veřejnoprávní</w:t>
            </w:r>
          </w:p>
        </w:tc>
        <w:tc>
          <w:tcPr>
            <w:tcW w:w="459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D32F4" w:rsidRPr="0029734E" w:rsidRDefault="002D32F4" w:rsidP="0029734E">
            <w:pPr>
              <w:spacing w:before="120" w:after="120"/>
              <w:jc w:val="center"/>
              <w:rPr>
                <w:b/>
              </w:rPr>
            </w:pPr>
            <w:r w:rsidRPr="0029734E">
              <w:rPr>
                <w:b/>
              </w:rPr>
              <w:t>soukromoprávní</w:t>
            </w:r>
          </w:p>
        </w:tc>
      </w:tr>
      <w:tr w:rsidR="002D32F4" w:rsidTr="0029734E">
        <w:trPr>
          <w:trHeight w:val="586"/>
        </w:trPr>
        <w:tc>
          <w:tcPr>
            <w:tcW w:w="47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D32F4" w:rsidRDefault="002D32F4" w:rsidP="0029734E">
            <w:pPr>
              <w:spacing w:before="120" w:after="120"/>
            </w:pPr>
            <w:r>
              <w:t>Stanoveny výlučně na základě zákona</w:t>
            </w:r>
          </w:p>
        </w:tc>
        <w:tc>
          <w:tcPr>
            <w:tcW w:w="45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D32F4" w:rsidRDefault="002D32F4" w:rsidP="0029734E">
            <w:pPr>
              <w:spacing w:before="120" w:after="120"/>
            </w:pPr>
            <w:r>
              <w:t>Sta</w:t>
            </w:r>
            <w:r w:rsidR="004758DB">
              <w:t>no</w:t>
            </w:r>
            <w:r>
              <w:t>veny výlučně ve smlouvě</w:t>
            </w:r>
          </w:p>
        </w:tc>
      </w:tr>
      <w:tr w:rsidR="002D32F4" w:rsidTr="0029734E">
        <w:trPr>
          <w:trHeight w:val="1206"/>
        </w:trPr>
        <w:tc>
          <w:tcPr>
            <w:tcW w:w="47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D32F4" w:rsidRDefault="002D32F4" w:rsidP="0029734E">
            <w:pPr>
              <w:spacing w:before="120" w:after="120"/>
            </w:pPr>
            <w:r>
              <w:t xml:space="preserve">Vznikají </w:t>
            </w:r>
            <w:r w:rsidR="004758DB">
              <w:t xml:space="preserve">ze vztahu </w:t>
            </w:r>
            <w:r>
              <w:t>mezi orgánem veřejné moci</w:t>
            </w:r>
            <w:r w:rsidR="00AC73CE">
              <w:t xml:space="preserve"> (stát, obec)</w:t>
            </w:r>
            <w:r>
              <w:t xml:space="preserve"> a </w:t>
            </w:r>
            <w:r w:rsidR="002E59EC">
              <w:t xml:space="preserve">individuální </w:t>
            </w:r>
            <w:r>
              <w:t>osobou (občan, obchodní společnost)</w:t>
            </w:r>
            <w:r w:rsidR="00AC73CE">
              <w:t xml:space="preserve">, kdy </w:t>
            </w:r>
            <w:r w:rsidR="002E59EC">
              <w:t>je</w:t>
            </w:r>
            <w:r w:rsidR="00AC73CE">
              <w:t xml:space="preserve"> osoba </w:t>
            </w:r>
            <w:r w:rsidR="00851FDA">
              <w:t xml:space="preserve">v </w:t>
            </w:r>
            <w:r w:rsidR="00AC73CE">
              <w:t>podřízeném postavení</w:t>
            </w:r>
          </w:p>
        </w:tc>
        <w:tc>
          <w:tcPr>
            <w:tcW w:w="45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D32F4" w:rsidRDefault="002D32F4" w:rsidP="0029734E">
            <w:pPr>
              <w:spacing w:before="120" w:after="120"/>
            </w:pPr>
            <w:r>
              <w:t xml:space="preserve">Vznikají </w:t>
            </w:r>
            <w:r w:rsidR="004758DB">
              <w:t xml:space="preserve">ze </w:t>
            </w:r>
            <w:r w:rsidR="002E59EC">
              <w:t xml:space="preserve">smluvního </w:t>
            </w:r>
            <w:r w:rsidR="004758DB">
              <w:t>vztahu mezi</w:t>
            </w:r>
            <w:r>
              <w:t xml:space="preserve"> dvěm</w:t>
            </w:r>
            <w:r w:rsidR="00121A30">
              <w:t>a</w:t>
            </w:r>
            <w:r>
              <w:t xml:space="preserve"> rovnoprávnými osobami</w:t>
            </w:r>
          </w:p>
        </w:tc>
      </w:tr>
      <w:tr w:rsidR="002D32F4" w:rsidTr="0029734E">
        <w:trPr>
          <w:trHeight w:val="913"/>
        </w:trPr>
        <w:tc>
          <w:tcPr>
            <w:tcW w:w="47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D32F4" w:rsidRDefault="002D32F4" w:rsidP="0029734E">
            <w:pPr>
              <w:spacing w:before="120" w:after="120"/>
            </w:pPr>
            <w:r>
              <w:t>Chrání veřejný zájem (</w:t>
            </w:r>
            <w:r w:rsidR="004758DB">
              <w:t xml:space="preserve">tj. </w:t>
            </w:r>
            <w:r>
              <w:t>zájem celé společnosti)</w:t>
            </w:r>
          </w:p>
        </w:tc>
        <w:tc>
          <w:tcPr>
            <w:tcW w:w="45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D32F4" w:rsidRDefault="002D32F4" w:rsidP="0029734E">
            <w:pPr>
              <w:spacing w:before="120" w:after="120"/>
            </w:pPr>
            <w:r>
              <w:t>Chrání zájem jednotlivce</w:t>
            </w:r>
            <w:r w:rsidR="005A2452">
              <w:t xml:space="preserve"> (</w:t>
            </w:r>
            <w:r w:rsidR="004758DB">
              <w:t xml:space="preserve">tj. individuální </w:t>
            </w:r>
            <w:r w:rsidR="005A2452">
              <w:t>soukromé osoby)</w:t>
            </w:r>
          </w:p>
        </w:tc>
      </w:tr>
      <w:tr w:rsidR="002D32F4" w:rsidTr="0029734E">
        <w:trPr>
          <w:trHeight w:val="896"/>
        </w:trPr>
        <w:tc>
          <w:tcPr>
            <w:tcW w:w="47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D32F4" w:rsidRDefault="002D32F4" w:rsidP="0029734E">
            <w:pPr>
              <w:spacing w:before="120" w:after="120"/>
            </w:pPr>
            <w:r>
              <w:t>Příjemcem plnění z pokut je výlučně stát či obec</w:t>
            </w:r>
          </w:p>
        </w:tc>
        <w:tc>
          <w:tcPr>
            <w:tcW w:w="45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D32F4" w:rsidRDefault="002D32F4" w:rsidP="0029734E">
            <w:pPr>
              <w:spacing w:before="120" w:after="120"/>
            </w:pPr>
            <w:r>
              <w:t>Příjemcem je výlučně jednotlivec (smluvní strana)</w:t>
            </w:r>
          </w:p>
        </w:tc>
      </w:tr>
      <w:tr w:rsidR="002D32F4" w:rsidTr="0029734E">
        <w:trPr>
          <w:trHeight w:val="1224"/>
        </w:trPr>
        <w:tc>
          <w:tcPr>
            <w:tcW w:w="47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D32F4" w:rsidRDefault="002D32F4" w:rsidP="0029734E">
            <w:pPr>
              <w:spacing w:before="120" w:after="120"/>
            </w:pPr>
            <w:r>
              <w:t>Výše je stanovena rozsahem od – do; přesnou výši stanov</w:t>
            </w:r>
            <w:r w:rsidR="005F62C1">
              <w:t>í</w:t>
            </w:r>
            <w:r>
              <w:t xml:space="preserve"> orgán veřejné moci na základě svého uvážení</w:t>
            </w:r>
          </w:p>
        </w:tc>
        <w:tc>
          <w:tcPr>
            <w:tcW w:w="45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D32F4" w:rsidRDefault="002D32F4" w:rsidP="0029734E">
            <w:pPr>
              <w:spacing w:before="120" w:after="120"/>
            </w:pPr>
            <w:r>
              <w:t>Výše musí být stanovena přesně</w:t>
            </w:r>
            <w:r w:rsidR="00AC73CE">
              <w:t xml:space="preserve">, volné uvážení je </w:t>
            </w:r>
            <w:r w:rsidR="005F62C1">
              <w:t xml:space="preserve">zcela </w:t>
            </w:r>
            <w:r w:rsidR="00AC73CE">
              <w:t>nepřípustn</w:t>
            </w:r>
            <w:r w:rsidR="005F62C1">
              <w:t>é</w:t>
            </w:r>
          </w:p>
        </w:tc>
      </w:tr>
      <w:tr w:rsidR="00AC73CE" w:rsidTr="0029734E">
        <w:trPr>
          <w:trHeight w:val="120"/>
        </w:trPr>
        <w:tc>
          <w:tcPr>
            <w:tcW w:w="47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C73CE" w:rsidRDefault="00AC73CE" w:rsidP="0029734E">
            <w:pPr>
              <w:spacing w:before="120" w:after="120"/>
            </w:pPr>
            <w:r>
              <w:t xml:space="preserve">Nedobrovolné plnění lze </w:t>
            </w:r>
            <w:r w:rsidR="00851FDA">
              <w:t xml:space="preserve">exekučně </w:t>
            </w:r>
            <w:r>
              <w:t xml:space="preserve">vymoci </w:t>
            </w:r>
            <w:r w:rsidR="00851FDA">
              <w:lastRenderedPageBreak/>
              <w:t>přímo</w:t>
            </w:r>
          </w:p>
        </w:tc>
        <w:tc>
          <w:tcPr>
            <w:tcW w:w="45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C73CE" w:rsidRDefault="00474629" w:rsidP="0029734E">
            <w:pPr>
              <w:spacing w:before="120" w:after="120"/>
            </w:pPr>
            <w:r>
              <w:lastRenderedPageBreak/>
              <w:t>N</w:t>
            </w:r>
            <w:r w:rsidR="00AC73CE">
              <w:t>edobrovolné plnění lze</w:t>
            </w:r>
            <w:r w:rsidR="00851FDA">
              <w:t xml:space="preserve"> exekučně</w:t>
            </w:r>
            <w:r w:rsidR="00AC73CE">
              <w:t xml:space="preserve"> vymoci </w:t>
            </w:r>
            <w:r w:rsidR="00AC73CE">
              <w:lastRenderedPageBreak/>
              <w:t xml:space="preserve">až na základě rozhodnutí soudu </w:t>
            </w:r>
          </w:p>
        </w:tc>
      </w:tr>
      <w:tr w:rsidR="00AC73CE" w:rsidTr="0029734E">
        <w:trPr>
          <w:trHeight w:val="120"/>
        </w:trPr>
        <w:tc>
          <w:tcPr>
            <w:tcW w:w="47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C73CE" w:rsidRDefault="005F62C1" w:rsidP="0029734E">
            <w:pPr>
              <w:spacing w:before="120" w:after="120"/>
            </w:pPr>
            <w:r>
              <w:lastRenderedPageBreak/>
              <w:t>V</w:t>
            </w:r>
            <w:r w:rsidR="00AC73CE">
              <w:t>ýchovný charakter</w:t>
            </w:r>
          </w:p>
        </w:tc>
        <w:tc>
          <w:tcPr>
            <w:tcW w:w="45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C73CE" w:rsidRDefault="00EA6AF0" w:rsidP="0029734E">
            <w:pPr>
              <w:spacing w:before="120" w:after="120"/>
            </w:pPr>
            <w:r>
              <w:t>Utvrzující</w:t>
            </w:r>
            <w:r w:rsidR="00AC73CE">
              <w:t xml:space="preserve"> charakter</w:t>
            </w:r>
          </w:p>
        </w:tc>
      </w:tr>
      <w:tr w:rsidR="00AC73CE" w:rsidTr="0029734E">
        <w:trPr>
          <w:trHeight w:val="120"/>
        </w:trPr>
        <w:tc>
          <w:tcPr>
            <w:tcW w:w="47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C73CE" w:rsidRDefault="004A45D8" w:rsidP="0029734E">
            <w:pPr>
              <w:spacing w:before="120" w:after="120"/>
            </w:pPr>
            <w:r>
              <w:t>Adresátem je každý</w:t>
            </w:r>
          </w:p>
        </w:tc>
        <w:tc>
          <w:tcPr>
            <w:tcW w:w="45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C73CE" w:rsidRDefault="004A45D8" w:rsidP="0029734E">
            <w:pPr>
              <w:spacing w:before="120" w:after="120"/>
            </w:pPr>
            <w:r>
              <w:t>Adresátem je jen smluvní strana</w:t>
            </w:r>
          </w:p>
        </w:tc>
      </w:tr>
      <w:tr w:rsidR="00AC73CE" w:rsidTr="0029734E">
        <w:trPr>
          <w:trHeight w:val="120"/>
        </w:trPr>
        <w:tc>
          <w:tcPr>
            <w:tcW w:w="47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C73CE" w:rsidRDefault="00EA6AF0" w:rsidP="0029734E">
            <w:pPr>
              <w:spacing w:before="120" w:after="120"/>
            </w:pPr>
            <w:r>
              <w:t>Pro udělení pokuty se vyžaduje zaviněné (úmysl</w:t>
            </w:r>
            <w:r w:rsidR="002E59EC">
              <w:t>ně</w:t>
            </w:r>
            <w:r>
              <w:t xml:space="preserve"> či </w:t>
            </w:r>
            <w:r w:rsidR="002E59EC">
              <w:t xml:space="preserve">z </w:t>
            </w:r>
            <w:r>
              <w:t>nedbalost</w:t>
            </w:r>
            <w:r w:rsidR="002E59EC">
              <w:t>i</w:t>
            </w:r>
            <w:r>
              <w:t>) porušení povinnosti</w:t>
            </w:r>
          </w:p>
        </w:tc>
        <w:tc>
          <w:tcPr>
            <w:tcW w:w="45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C73CE" w:rsidRDefault="00EA6AF0" w:rsidP="0029734E">
            <w:pPr>
              <w:spacing w:before="120" w:after="120"/>
            </w:pPr>
            <w:r>
              <w:t>Zavinění se pro vznik povinnosti hradit smluvní pokutu nevyžaduje</w:t>
            </w:r>
          </w:p>
        </w:tc>
      </w:tr>
      <w:tr w:rsidR="00AC73CE" w:rsidTr="0029734E">
        <w:trPr>
          <w:trHeight w:val="120"/>
        </w:trPr>
        <w:tc>
          <w:tcPr>
            <w:tcW w:w="472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C73CE" w:rsidRDefault="00E13232" w:rsidP="0029734E">
            <w:pPr>
              <w:spacing w:before="120" w:after="120"/>
            </w:pPr>
            <w:r>
              <w:t>Účelem není náhrada způsobené škody</w:t>
            </w:r>
          </w:p>
        </w:tc>
        <w:tc>
          <w:tcPr>
            <w:tcW w:w="45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C73CE" w:rsidRDefault="00E13232" w:rsidP="0029734E">
            <w:pPr>
              <w:spacing w:before="120" w:after="120"/>
            </w:pPr>
            <w:r>
              <w:t>Účelem je náhrada předpokládané</w:t>
            </w:r>
            <w:r w:rsidR="002E59EC">
              <w:t xml:space="preserve"> výše</w:t>
            </w:r>
            <w:r>
              <w:t xml:space="preserve"> </w:t>
            </w:r>
            <w:r w:rsidR="00851FDA">
              <w:t xml:space="preserve">vzniklé </w:t>
            </w:r>
            <w:r>
              <w:t>škody</w:t>
            </w:r>
          </w:p>
        </w:tc>
      </w:tr>
    </w:tbl>
    <w:p w:rsidR="00F849B0" w:rsidRDefault="00F849B0" w:rsidP="00055565">
      <w:pPr>
        <w:spacing w:before="120" w:after="120"/>
        <w:ind w:firstLine="357"/>
        <w:jc w:val="both"/>
      </w:pPr>
    </w:p>
    <w:sectPr w:rsidR="00F849B0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36B" w:rsidRDefault="0070236B">
      <w:r>
        <w:separator/>
      </w:r>
    </w:p>
  </w:endnote>
  <w:endnote w:type="continuationSeparator" w:id="0">
    <w:p w:rsidR="0070236B" w:rsidRDefault="00702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D54" w:rsidRDefault="00896D54" w:rsidP="0056131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96D54" w:rsidRDefault="00896D54" w:rsidP="002D32F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D54" w:rsidRDefault="00896D54" w:rsidP="0056131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B2B41">
      <w:rPr>
        <w:rStyle w:val="slostrnky"/>
        <w:noProof/>
      </w:rPr>
      <w:t>1</w:t>
    </w:r>
    <w:r>
      <w:rPr>
        <w:rStyle w:val="slostrnky"/>
      </w:rPr>
      <w:fldChar w:fldCharType="end"/>
    </w:r>
  </w:p>
  <w:p w:rsidR="00896D54" w:rsidRDefault="00896D54" w:rsidP="002D32F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36B" w:rsidRDefault="0070236B">
      <w:r>
        <w:separator/>
      </w:r>
    </w:p>
  </w:footnote>
  <w:footnote w:type="continuationSeparator" w:id="0">
    <w:p w:rsidR="0070236B" w:rsidRDefault="00702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D54" w:rsidRDefault="00896D54" w:rsidP="00F849B0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9B0"/>
    <w:rsid w:val="0001497B"/>
    <w:rsid w:val="00044947"/>
    <w:rsid w:val="00055565"/>
    <w:rsid w:val="000B34A9"/>
    <w:rsid w:val="00121A30"/>
    <w:rsid w:val="00132B8E"/>
    <w:rsid w:val="001347BC"/>
    <w:rsid w:val="001730E8"/>
    <w:rsid w:val="00173C13"/>
    <w:rsid w:val="0018627A"/>
    <w:rsid w:val="001B5704"/>
    <w:rsid w:val="001D057B"/>
    <w:rsid w:val="001F0092"/>
    <w:rsid w:val="00220448"/>
    <w:rsid w:val="00222BBC"/>
    <w:rsid w:val="00232920"/>
    <w:rsid w:val="0023600E"/>
    <w:rsid w:val="0023694F"/>
    <w:rsid w:val="0029734E"/>
    <w:rsid w:val="002C4E0E"/>
    <w:rsid w:val="002D32F4"/>
    <w:rsid w:val="002E59EC"/>
    <w:rsid w:val="003501C8"/>
    <w:rsid w:val="00362833"/>
    <w:rsid w:val="003726EF"/>
    <w:rsid w:val="00380747"/>
    <w:rsid w:val="00396809"/>
    <w:rsid w:val="003B0088"/>
    <w:rsid w:val="003B26EF"/>
    <w:rsid w:val="003C5552"/>
    <w:rsid w:val="003F245D"/>
    <w:rsid w:val="00431A30"/>
    <w:rsid w:val="004323B5"/>
    <w:rsid w:val="00465E74"/>
    <w:rsid w:val="00474629"/>
    <w:rsid w:val="004758DB"/>
    <w:rsid w:val="00491F43"/>
    <w:rsid w:val="00493D84"/>
    <w:rsid w:val="004944A0"/>
    <w:rsid w:val="004A0202"/>
    <w:rsid w:val="004A45D8"/>
    <w:rsid w:val="004B204B"/>
    <w:rsid w:val="004B2163"/>
    <w:rsid w:val="004D5AEA"/>
    <w:rsid w:val="00502084"/>
    <w:rsid w:val="0051057F"/>
    <w:rsid w:val="00510B0D"/>
    <w:rsid w:val="00561319"/>
    <w:rsid w:val="005A2132"/>
    <w:rsid w:val="005A2452"/>
    <w:rsid w:val="005E4145"/>
    <w:rsid w:val="005F16E3"/>
    <w:rsid w:val="005F2897"/>
    <w:rsid w:val="005F62C1"/>
    <w:rsid w:val="005F63AA"/>
    <w:rsid w:val="006403B6"/>
    <w:rsid w:val="00652CDC"/>
    <w:rsid w:val="00656313"/>
    <w:rsid w:val="006B4F45"/>
    <w:rsid w:val="006C1208"/>
    <w:rsid w:val="0070236B"/>
    <w:rsid w:val="00704623"/>
    <w:rsid w:val="00706585"/>
    <w:rsid w:val="007E4E38"/>
    <w:rsid w:val="008230B7"/>
    <w:rsid w:val="00823175"/>
    <w:rsid w:val="00851FDA"/>
    <w:rsid w:val="008658A1"/>
    <w:rsid w:val="00885543"/>
    <w:rsid w:val="00896D54"/>
    <w:rsid w:val="008A31A2"/>
    <w:rsid w:val="008A3EB8"/>
    <w:rsid w:val="008B1CBE"/>
    <w:rsid w:val="008D47EB"/>
    <w:rsid w:val="008E355D"/>
    <w:rsid w:val="008E4439"/>
    <w:rsid w:val="00937F3E"/>
    <w:rsid w:val="009625DF"/>
    <w:rsid w:val="009C58D2"/>
    <w:rsid w:val="009E1EAA"/>
    <w:rsid w:val="00A07B9B"/>
    <w:rsid w:val="00A2071F"/>
    <w:rsid w:val="00A829D7"/>
    <w:rsid w:val="00AC73CE"/>
    <w:rsid w:val="00B00655"/>
    <w:rsid w:val="00B242E6"/>
    <w:rsid w:val="00B2612D"/>
    <w:rsid w:val="00BE6BFF"/>
    <w:rsid w:val="00BF3F34"/>
    <w:rsid w:val="00BF3FFF"/>
    <w:rsid w:val="00C452D1"/>
    <w:rsid w:val="00CB2B41"/>
    <w:rsid w:val="00CB4064"/>
    <w:rsid w:val="00CB755A"/>
    <w:rsid w:val="00CC6672"/>
    <w:rsid w:val="00CE6652"/>
    <w:rsid w:val="00CE6882"/>
    <w:rsid w:val="00CF0407"/>
    <w:rsid w:val="00DD38F5"/>
    <w:rsid w:val="00DF3EA9"/>
    <w:rsid w:val="00E13232"/>
    <w:rsid w:val="00E96D41"/>
    <w:rsid w:val="00EA6AF0"/>
    <w:rsid w:val="00EC0B1A"/>
    <w:rsid w:val="00EF4711"/>
    <w:rsid w:val="00EF6978"/>
    <w:rsid w:val="00F0495A"/>
    <w:rsid w:val="00F1633B"/>
    <w:rsid w:val="00F16737"/>
    <w:rsid w:val="00F323E1"/>
    <w:rsid w:val="00F62038"/>
    <w:rsid w:val="00F849B0"/>
    <w:rsid w:val="00FC0EB1"/>
    <w:rsid w:val="00FC5D59"/>
    <w:rsid w:val="00FD6609"/>
    <w:rsid w:val="00FF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F849B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849B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D32F4"/>
  </w:style>
  <w:style w:type="table" w:styleId="Mkatabulky">
    <w:name w:val="Table Grid"/>
    <w:basedOn w:val="Normlntabulka"/>
    <w:rsid w:val="002D3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3B26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F849B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849B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D32F4"/>
  </w:style>
  <w:style w:type="table" w:styleId="Mkatabulky">
    <w:name w:val="Table Grid"/>
    <w:basedOn w:val="Normlntabulka"/>
    <w:rsid w:val="002D3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3B26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2965</Words>
  <Characters>17500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Projekt: Finanční gramotnost</vt:lpstr>
    </vt:vector>
  </TitlesOfParts>
  <Company/>
  <LinksUpToDate>false</LinksUpToDate>
  <CharactersWithSpaces>20425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Projekt: Finanční gramotnost</dc:title>
  <dc:subject/>
  <dc:creator>Libor</dc:creator>
  <cp:keywords/>
  <dc:description/>
  <cp:lastModifiedBy>Krajicek Jan</cp:lastModifiedBy>
  <cp:revision>2</cp:revision>
  <dcterms:created xsi:type="dcterms:W3CDTF">2014-07-07T07:11:00Z</dcterms:created>
  <dcterms:modified xsi:type="dcterms:W3CDTF">2014-07-07T07:11:00Z</dcterms:modified>
</cp:coreProperties>
</file>