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58" w:rsidRPr="003D60E6" w:rsidRDefault="00012F58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r w:rsidRPr="003D60E6">
        <w:rPr>
          <w:rFonts w:asciiTheme="minorHAnsi" w:hAnsiTheme="minorHAnsi"/>
          <w:b/>
          <w:sz w:val="32"/>
          <w:szCs w:val="32"/>
        </w:rPr>
        <w:t>Účetnictví ÚSC a příspěvkových organizací ÚSC</w:t>
      </w:r>
    </w:p>
    <w:p w:rsidR="009E6BB9" w:rsidRPr="003D60E6" w:rsidRDefault="009E6BB9" w:rsidP="00084A67">
      <w:pPr>
        <w:jc w:val="both"/>
        <w:rPr>
          <w:rFonts w:asciiTheme="minorHAnsi" w:hAnsiTheme="minorHAnsi"/>
          <w:b/>
          <w:sz w:val="22"/>
          <w:szCs w:val="22"/>
        </w:rPr>
      </w:pPr>
      <w:r w:rsidRPr="003D60E6">
        <w:rPr>
          <w:rFonts w:asciiTheme="minorHAnsi" w:hAnsiTheme="minorHAnsi"/>
          <w:b/>
          <w:sz w:val="22"/>
          <w:szCs w:val="22"/>
        </w:rPr>
        <w:t xml:space="preserve">Tento text slouží jako doplněk k přednášce a je určen pouze pro účely studia posluchačů předmětu. </w:t>
      </w:r>
    </w:p>
    <w:p w:rsidR="00533ED8" w:rsidRPr="003D60E6" w:rsidRDefault="00533ED8" w:rsidP="00084A67">
      <w:pPr>
        <w:jc w:val="both"/>
        <w:rPr>
          <w:rFonts w:asciiTheme="minorHAnsi" w:hAnsiTheme="minorHAnsi"/>
          <w:b/>
          <w:sz w:val="22"/>
          <w:szCs w:val="22"/>
        </w:rPr>
      </w:pPr>
    </w:p>
    <w:p w:rsidR="00C61ACB" w:rsidRDefault="00C61ACB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012F58" w:rsidRPr="003D60E6" w:rsidRDefault="00012F58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r w:rsidRPr="003D60E6">
        <w:rPr>
          <w:rFonts w:asciiTheme="minorHAnsi" w:hAnsiTheme="minorHAnsi"/>
          <w:b/>
          <w:sz w:val="32"/>
          <w:szCs w:val="32"/>
        </w:rPr>
        <w:t>Rozpočet ÚSC</w:t>
      </w:r>
    </w:p>
    <w:p w:rsidR="00012F58" w:rsidRPr="003D60E6" w:rsidRDefault="00706767" w:rsidP="00706767">
      <w:pPr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</w:t>
      </w:r>
      <w:r w:rsidR="00012F58" w:rsidRPr="003D60E6">
        <w:rPr>
          <w:rFonts w:asciiTheme="minorHAnsi" w:hAnsiTheme="minorHAnsi"/>
          <w:sz w:val="22"/>
          <w:szCs w:val="22"/>
        </w:rPr>
        <w:t>řevzato z</w:t>
      </w:r>
      <w:r w:rsidR="00012F58" w:rsidRPr="003D60E6">
        <w:rPr>
          <w:rFonts w:asciiTheme="minorHAnsi" w:hAnsiTheme="minorHAnsi"/>
          <w:i/>
          <w:sz w:val="22"/>
          <w:szCs w:val="22"/>
        </w:rPr>
        <w:t>:</w:t>
      </w:r>
      <w:r w:rsidR="00012F58" w:rsidRPr="003D60E6">
        <w:rPr>
          <w:rFonts w:asciiTheme="minorHAnsi" w:hAnsiTheme="minorHAnsi"/>
          <w:b/>
          <w:i/>
          <w:sz w:val="22"/>
          <w:szCs w:val="22"/>
        </w:rPr>
        <w:t xml:space="preserve"> Hrabalová, S.: Účetnictví územních samospráv. </w:t>
      </w:r>
      <w:r w:rsidR="00012F58" w:rsidRPr="003D60E6">
        <w:rPr>
          <w:rFonts w:asciiTheme="minorHAnsi" w:hAnsiTheme="minorHAnsi"/>
          <w:i/>
          <w:sz w:val="22"/>
          <w:szCs w:val="22"/>
        </w:rPr>
        <w:t>DSO. Brno, Masarykova univerzita, 2005. Kapitola 2</w:t>
      </w:r>
      <w:r w:rsidR="00012F58" w:rsidRPr="003D60E6">
        <w:rPr>
          <w:rFonts w:asciiTheme="minorHAnsi" w:hAnsiTheme="minorHAnsi"/>
          <w:sz w:val="22"/>
          <w:szCs w:val="22"/>
        </w:rPr>
        <w:t>. Aktualizováno</w:t>
      </w:r>
      <w:r w:rsidRPr="003D60E6">
        <w:rPr>
          <w:rFonts w:asciiTheme="minorHAnsi" w:hAnsiTheme="minorHAnsi"/>
          <w:sz w:val="22"/>
          <w:szCs w:val="22"/>
        </w:rPr>
        <w:t xml:space="preserve"> a upraveno</w:t>
      </w:r>
      <w:r w:rsidR="00012F58" w:rsidRPr="003D60E6">
        <w:rPr>
          <w:rFonts w:asciiTheme="minorHAnsi" w:hAnsiTheme="minorHAnsi"/>
          <w:sz w:val="22"/>
          <w:szCs w:val="22"/>
        </w:rPr>
        <w:t>.</w:t>
      </w:r>
    </w:p>
    <w:p w:rsidR="00706767" w:rsidRPr="003D60E6" w:rsidRDefault="00706767" w:rsidP="00084A67">
      <w:pPr>
        <w:jc w:val="both"/>
        <w:rPr>
          <w:rFonts w:asciiTheme="minorHAnsi" w:hAnsiTheme="minorHAnsi"/>
          <w:b/>
          <w:sz w:val="28"/>
          <w:szCs w:val="28"/>
        </w:rPr>
      </w:pPr>
    </w:p>
    <w:p w:rsidR="00816D91" w:rsidRPr="003D60E6" w:rsidRDefault="00706767" w:rsidP="00084A67">
      <w:pPr>
        <w:jc w:val="both"/>
        <w:rPr>
          <w:rFonts w:asciiTheme="minorHAnsi" w:hAnsiTheme="minorHAnsi"/>
          <w:b/>
        </w:rPr>
      </w:pPr>
      <w:proofErr w:type="gramStart"/>
      <w:r w:rsidRPr="003D60E6">
        <w:rPr>
          <w:rFonts w:asciiTheme="minorHAnsi" w:hAnsiTheme="minorHAnsi"/>
          <w:b/>
        </w:rPr>
        <w:t xml:space="preserve">II.1 </w:t>
      </w:r>
      <w:r w:rsidR="00533ED8" w:rsidRPr="003D60E6">
        <w:rPr>
          <w:rFonts w:asciiTheme="minorHAnsi" w:hAnsiTheme="minorHAnsi"/>
          <w:b/>
        </w:rPr>
        <w:t>R</w:t>
      </w:r>
      <w:r w:rsidR="000A0868" w:rsidRPr="003D60E6">
        <w:rPr>
          <w:rFonts w:asciiTheme="minorHAnsi" w:hAnsiTheme="minorHAnsi"/>
          <w:b/>
        </w:rPr>
        <w:t>OZPOČET</w:t>
      </w:r>
      <w:proofErr w:type="gramEnd"/>
      <w:r w:rsidR="00533ED8" w:rsidRPr="003D60E6">
        <w:rPr>
          <w:rFonts w:asciiTheme="minorHAnsi" w:hAnsiTheme="minorHAnsi"/>
          <w:b/>
        </w:rPr>
        <w:t xml:space="preserve"> ÚSC</w:t>
      </w:r>
    </w:p>
    <w:p w:rsidR="00EA4D80" w:rsidRPr="003D60E6" w:rsidRDefault="00EA4D80" w:rsidP="00084A6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Rozpočet je zobrazením finančního hospodaření obce či kraje na daný kalendářní rok.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tedy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krátkodobým nástrojem řízení </w:t>
      </w:r>
      <w:r w:rsidRPr="003D60E6">
        <w:rPr>
          <w:rFonts w:asciiTheme="minorHAnsi" w:hAnsiTheme="minorHAnsi"/>
          <w:sz w:val="22"/>
          <w:szCs w:val="22"/>
        </w:rPr>
        <w:t>ÚSC. Nástroje finančního řízení mají zajistit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transparentnost nakládání s finančními prostředky a zachytit dopady činnosti ÚSC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pozici. Je to klíčový nástroj pro vyjádření a realizaci jednotlivých politik ÚSC.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slouží jako rozhodovací nástroj, pomocí něhož jsou vymezeny priority, stanoveny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cíle, sestaveny operační programy a je prováděna kontrola.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color w:val="000000"/>
          <w:sz w:val="22"/>
          <w:szCs w:val="22"/>
        </w:rPr>
        <w:t xml:space="preserve">Rozpočet je </w:t>
      </w:r>
      <w:r w:rsidRPr="003D60E6">
        <w:rPr>
          <w:rFonts w:asciiTheme="minorHAnsi" w:hAnsiTheme="minorHAnsi"/>
          <w:b/>
          <w:bCs/>
          <w:color w:val="000000"/>
          <w:sz w:val="22"/>
          <w:szCs w:val="22"/>
        </w:rPr>
        <w:t xml:space="preserve">finančním plánem </w:t>
      </w:r>
      <w:r w:rsidRPr="003D60E6">
        <w:rPr>
          <w:rFonts w:asciiTheme="minorHAnsi" w:hAnsiTheme="minorHAnsi"/>
          <w:color w:val="000000"/>
          <w:sz w:val="22"/>
          <w:szCs w:val="22"/>
        </w:rPr>
        <w:t>ÚSC pro roční období jeho hospodaření. Na základě analýzy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minulého rozpočtového hospodaření a se znalostí faktorů, které jej ovlivňovaly, jsou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odhadovány a plánovány příjmy a výdaje na následující rozpočtový rok. Na tomto místě je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nutno zdůraznit, že rozpočet je nejen plánem, ale je také zobrazením skutečného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hospodaření, tak jak jsou finanční operace v něm zachycené v průběhu roku uskutečňovány.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 skončení rozpočtového roku ÚSC sestavují tzv. závěrečný účet, jedná se o přehled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skutečném plnění rozpočtu. Kromě vyúčtování příjmů a výdajů rozpočtu </w:t>
      </w:r>
      <w:r w:rsidRPr="003D60E6">
        <w:rPr>
          <w:rFonts w:asciiTheme="minorHAnsi" w:hAnsiTheme="minorHAnsi"/>
          <w:b/>
          <w:bCs/>
          <w:sz w:val="22"/>
          <w:szCs w:val="22"/>
        </w:rPr>
        <w:t>závěrečný účet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obsahuje údaje o dalších finančních operacích ÚSC, které nejsou v rozpočtu zachyceny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včetně tvorby a použití peněžních fondů, tak aby bylo možné zhodnotit hospodaření obce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jí založených a zřízených právnických osob a hospodaření s jejich majetkem.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Vedle rozpočtu je pro finanční řízení územních samosprávných celků využíván i </w:t>
      </w:r>
      <w:r w:rsidR="00A93825">
        <w:rPr>
          <w:rFonts w:asciiTheme="minorHAnsi" w:hAnsiTheme="minorHAnsi"/>
          <w:sz w:val="22"/>
          <w:szCs w:val="22"/>
        </w:rPr>
        <w:t>střednědobý výhled rozpočtu</w:t>
      </w:r>
      <w:r w:rsidRPr="003D60E6">
        <w:rPr>
          <w:rFonts w:asciiTheme="minorHAnsi" w:hAnsiTheme="minorHAnsi"/>
          <w:sz w:val="22"/>
          <w:szCs w:val="22"/>
        </w:rPr>
        <w:t xml:space="preserve"> (§ 3 zákona č. 250/2000 Sb., o rozpočtových pravidlech územních rozpočtů,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platném znění). Jedná se o dlouhodobější pohled na hospodaření ÚSC, který má v</w:t>
      </w:r>
      <w:r w:rsidR="00533ED8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delším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časovém horizontu (2 - 5 let) zajistit vyrovnané rozpočtové hospodaření ÚSC a stanovit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základní mantinely pro jeho rozhodování.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Základní typy peněžních operací, které jsou v rozpočtu obsaženy, jsou příjmy, výdaje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financování. Rovnice, která pro rozpočtové hospodaření platí, je: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příjmy - výdaje = </w:t>
      </w:r>
      <w:r w:rsidR="002A648C" w:rsidRPr="003D60E6">
        <w:rPr>
          <w:rFonts w:asciiTheme="minorHAnsi" w:hAnsiTheme="minorHAnsi"/>
          <w:b/>
          <w:bCs/>
          <w:sz w:val="22"/>
          <w:szCs w:val="22"/>
        </w:rPr>
        <w:t xml:space="preserve">(-)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 přebytkovém rozpočtu hovoříme v případě, že příjmy jsou v daném roce vyšší jak výdaje,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o deficitním rozpočtu hovoříme v případě, že výdaje v daném roce převyšují příjmy.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Pokud jsou příjmy rovny výdajům, jedná se o rozpočet vyrovnaný. Financování vypovídá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způsobu užití prostředků v případě přebytku rozpočtu a v případě deficitního rozpočtu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způsobu krytí tohoto deficitu.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Z této rovnice vyplývá, že rozpočet je </w:t>
      </w:r>
      <w:r w:rsidRPr="003D60E6">
        <w:rPr>
          <w:rFonts w:asciiTheme="minorHAnsi" w:hAnsiTheme="minorHAnsi"/>
          <w:b/>
          <w:bCs/>
          <w:sz w:val="22"/>
          <w:szCs w:val="22"/>
        </w:rPr>
        <w:t>bilancí příjmů a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výdajů</w:t>
      </w:r>
      <w:r w:rsidRPr="003D60E6">
        <w:rPr>
          <w:rFonts w:asciiTheme="minorHAnsi" w:hAnsiTheme="minorHAnsi"/>
          <w:sz w:val="22"/>
          <w:szCs w:val="22"/>
        </w:rPr>
        <w:t xml:space="preserve">, kdy rozdíl mezi nimi je právě vyrovnáván financujícími operacemi.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 má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tedy opačné znaménko ne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ž výsledné saldo rozpočtu, neboť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 rozpočet vyrovnává.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Největší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omezení rozpočtu </w:t>
      </w:r>
      <w:r w:rsidRPr="003D60E6">
        <w:rPr>
          <w:rFonts w:asciiTheme="minorHAnsi" w:hAnsiTheme="minorHAnsi"/>
          <w:sz w:val="22"/>
          <w:szCs w:val="22"/>
        </w:rPr>
        <w:t xml:space="preserve">při řízení finančních toků ÚSC spočívá v jeho </w:t>
      </w:r>
      <w:r w:rsidRPr="003D60E6">
        <w:rPr>
          <w:rFonts w:asciiTheme="minorHAnsi" w:hAnsiTheme="minorHAnsi"/>
          <w:b/>
          <w:bCs/>
          <w:sz w:val="22"/>
          <w:szCs w:val="22"/>
        </w:rPr>
        <w:t>krátkodobosti,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nebo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řada procesů, které mají dopady do ekonomické situace obce, jsou dlouhodobějšího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charakteru a rozpočet </w:t>
      </w:r>
      <w:r w:rsidRPr="003D60E6">
        <w:rPr>
          <w:rFonts w:asciiTheme="minorHAnsi" w:hAnsiTheme="minorHAnsi"/>
          <w:sz w:val="22"/>
          <w:szCs w:val="22"/>
        </w:rPr>
        <w:lastRenderedPageBreak/>
        <w:t>je tedy nemůže dostatečně zachytit. Dále je třeba si uvědomit,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rozpočet zobrazuje finanční toky ÚSC, </w:t>
      </w:r>
      <w:r w:rsidRPr="003D60E6">
        <w:rPr>
          <w:rFonts w:asciiTheme="minorHAnsi" w:hAnsiTheme="minorHAnsi"/>
          <w:b/>
          <w:bCs/>
          <w:sz w:val="22"/>
          <w:szCs w:val="22"/>
        </w:rPr>
        <w:t>nevypovídá tedy o stavu jeho majetku, jeho závazcích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a pohledávkách</w:t>
      </w:r>
      <w:r w:rsidRPr="003D60E6">
        <w:rPr>
          <w:rFonts w:asciiTheme="minorHAnsi" w:hAnsiTheme="minorHAnsi"/>
          <w:sz w:val="22"/>
          <w:szCs w:val="22"/>
        </w:rPr>
        <w:t xml:space="preserve">. Tyto informace jsou zachyceny v účetnictví obce.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Také existují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operace, které rozpočtem neprocházejí</w:t>
      </w:r>
      <w:r w:rsidRPr="003D60E6">
        <w:rPr>
          <w:rFonts w:asciiTheme="minorHAnsi" w:hAnsiTheme="minorHAnsi"/>
          <w:sz w:val="22"/>
          <w:szCs w:val="22"/>
        </w:rPr>
        <w:t>, jedná se o cizí prostředky, sdružené prostředky a operace podnikatelské činnosti obce, která je sledována odděleně od rozpočtu obce (§ 6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zákona č. 250/2000 Sb., o rozpočtových pravidlech územních rozpočtů, v platném znění).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proofErr w:type="gramStart"/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Rozpočtová</w:t>
      </w:r>
      <w:proofErr w:type="gramEnd"/>
      <w:r w:rsidR="00816D91" w:rsidRPr="003D60E6">
        <w:rPr>
          <w:rFonts w:asciiTheme="minorHAnsi" w:hAnsiTheme="minorHAnsi"/>
          <w:b/>
          <w:bCs/>
        </w:rPr>
        <w:t xml:space="preserve"> skladba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klasifikaci peněžních operací obsažených v rozpočtu je používána rozpočtová skladba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upravená vyhláškou Ministerstva financí č. 323/20</w:t>
      </w:r>
      <w:r w:rsidR="00533ED8" w:rsidRPr="003D60E6">
        <w:rPr>
          <w:rFonts w:asciiTheme="minorHAnsi" w:hAnsiTheme="minorHAnsi"/>
          <w:sz w:val="22"/>
          <w:szCs w:val="22"/>
        </w:rPr>
        <w:t>02 Sb. Rozpočtová skladba zajišť</w:t>
      </w:r>
      <w:r w:rsidRPr="003D60E6">
        <w:rPr>
          <w:rFonts w:asciiTheme="minorHAnsi" w:hAnsiTheme="minorHAnsi"/>
          <w:sz w:val="22"/>
          <w:szCs w:val="22"/>
        </w:rPr>
        <w:t>uje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jednotné členění operací všech veřejných rozpočtů a tím možnost srovnání údajů,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veřejné rozpočty obsahují. Jedná se o číselník, který vydává Ministerstvo financí a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přípravě se podílejí i další ministerstva. Jejím účelem je zachytit informace, které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subjekty sledují zejména k podřízeným subjektům a i vůči jiným organizacím,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vykonávají činnosti, jež mají tyto resorty ve své působnosti. Rozpočtová skladba vychází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ze standardizovaného kodexu Mezinárodního měnového fondu - </w:t>
      </w:r>
      <w:proofErr w:type="spellStart"/>
      <w:r w:rsidRPr="003D60E6">
        <w:rPr>
          <w:rFonts w:asciiTheme="minorHAnsi" w:hAnsiTheme="minorHAnsi"/>
          <w:sz w:val="22"/>
          <w:szCs w:val="22"/>
        </w:rPr>
        <w:t>Government</w:t>
      </w:r>
      <w:proofErr w:type="spellEnd"/>
      <w:r w:rsidRPr="003D60E6">
        <w:rPr>
          <w:rFonts w:asciiTheme="minorHAnsi" w:hAnsiTheme="minorHAnsi"/>
          <w:sz w:val="22"/>
          <w:szCs w:val="22"/>
        </w:rPr>
        <w:t xml:space="preserve"> Finance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D60E6">
        <w:rPr>
          <w:rFonts w:asciiTheme="minorHAnsi" w:hAnsiTheme="minorHAnsi"/>
          <w:sz w:val="22"/>
          <w:szCs w:val="22"/>
        </w:rPr>
        <w:t>Statistics</w:t>
      </w:r>
      <w:proofErr w:type="spellEnd"/>
      <w:r w:rsidRPr="003D60E6">
        <w:rPr>
          <w:rFonts w:asciiTheme="minorHAnsi" w:hAnsiTheme="minorHAnsi"/>
          <w:sz w:val="22"/>
          <w:szCs w:val="22"/>
        </w:rPr>
        <w:t xml:space="preserve"> (GFS). V současné logice je rozpočtová skladba platná od roku 1997. Pokud byste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 chtěli zabývat analýzou veřejných rozpočtů před tímto rokem, berte prosím v úvahu,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data nejsou primárně srovnatelná a musela by být překlasifikována pomocí převodových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můstků. Samotný číselník, který rozpočtová skladba používá, je téměř každoročně měněn,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 jak reaguje na změny v rozpočtové situaci (např. zrušení okresních úřadů a vznik krajů)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potřeby zjiš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>ovat další údaje.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Rozpočtová skladba je vázána na pohyby na bankovních účtech ÚSC a vztahuje se pouze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rozpočtové hospodaření a peněžní fondy ÚSC (§ 1 vyhlášky č. 323/2002 Sb.,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rozpočtové skladbě, v platném znění). To znamená, že klasifikuje operace rozpočtu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peněžních fondů ÚSC. Nepoužívá se pro operace podnikatelské, tedy ziskové činnosti,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operace cizích prostředků a sdružených prostředků.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Cizí prostředky </w:t>
      </w:r>
      <w:r w:rsidRPr="003D60E6">
        <w:rPr>
          <w:rFonts w:asciiTheme="minorHAnsi" w:hAnsiTheme="minorHAnsi"/>
          <w:sz w:val="22"/>
          <w:szCs w:val="22"/>
        </w:rPr>
        <w:t>jsou například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 prostředky, které nepatří územnímu samosprávnému celku a byly na jeho účet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přijaty omylem nebo prosincové mzdy, které budou vyplaceny zaměstnancům ÚSC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lednu a jsou ke konci roku převáděny na účet cizích prostředků, aby se promítly ještě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rozpočtu daného roku, pokud se ÚSC pro tento způsob vyplácení mezd rozhodne.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Na </w:t>
      </w:r>
      <w:r w:rsidRPr="003D60E6">
        <w:rPr>
          <w:rFonts w:asciiTheme="minorHAnsi" w:hAnsiTheme="minorHAnsi"/>
          <w:b/>
          <w:bCs/>
          <w:sz w:val="22"/>
          <w:szCs w:val="22"/>
        </w:rPr>
        <w:t>účtu sdružených prostředk</w:t>
      </w:r>
      <w:r w:rsidRPr="003D60E6">
        <w:rPr>
          <w:rFonts w:asciiTheme="minorHAnsi" w:hAnsiTheme="minorHAnsi"/>
          <w:sz w:val="22"/>
          <w:szCs w:val="22"/>
        </w:rPr>
        <w:t>ů, který vede jedna ze sdružených obcí, se soustřeďují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za konkrétním účelem, kvůli kterému se obce sdružily, například na zajištění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dopravní obslužnosti území či pro výstavbu </w:t>
      </w:r>
      <w:r w:rsidR="00012F58" w:rsidRPr="003D60E6">
        <w:rPr>
          <w:rFonts w:asciiTheme="minorHAnsi" w:hAnsiTheme="minorHAnsi"/>
          <w:sz w:val="22"/>
          <w:szCs w:val="22"/>
        </w:rPr>
        <w:t>společné čističky odpadních vod</w:t>
      </w:r>
      <w:r w:rsidRPr="003D60E6">
        <w:rPr>
          <w:rFonts w:asciiTheme="minorHAnsi" w:hAnsiTheme="minorHAnsi"/>
          <w:sz w:val="22"/>
          <w:szCs w:val="22"/>
        </w:rPr>
        <w:t xml:space="preserve"> apod.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skladbou nebudou klasifikovány příjm</w:t>
      </w:r>
      <w:r w:rsidR="00533ED8" w:rsidRPr="003D60E6">
        <w:rPr>
          <w:rFonts w:asciiTheme="minorHAnsi" w:hAnsiTheme="minorHAnsi"/>
          <w:sz w:val="22"/>
          <w:szCs w:val="22"/>
        </w:rPr>
        <w:t>y a výdaje z pokladny ÚSC, neboť</w:t>
      </w:r>
      <w:r w:rsidRPr="003D60E6">
        <w:rPr>
          <w:rFonts w:asciiTheme="minorHAnsi" w:hAnsiTheme="minorHAnsi"/>
          <w:sz w:val="22"/>
          <w:szCs w:val="22"/>
        </w:rPr>
        <w:t xml:space="preserve"> se 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klasifikují pouze na pohyby na bankovních účtech.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816D91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sz w:val="22"/>
          <w:szCs w:val="22"/>
        </w:rPr>
        <w:t>Rozpočtová skladba používá čtyři základní členění rozpočtových operací, a tím poskytuje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>různé pohledy na finanční hospodaření daného su</w:t>
      </w:r>
      <w:r w:rsidR="00533ED8" w:rsidRPr="003D60E6">
        <w:rPr>
          <w:rFonts w:asciiTheme="minorHAnsi" w:hAnsiTheme="minorHAnsi" w:cs="Times New Roman"/>
          <w:sz w:val="22"/>
          <w:szCs w:val="22"/>
        </w:rPr>
        <w:t>bjektu, neboť</w:t>
      </w:r>
      <w:r w:rsidRPr="003D60E6">
        <w:rPr>
          <w:rFonts w:asciiTheme="minorHAnsi" w:hAnsiTheme="minorHAnsi" w:cs="Times New Roman"/>
          <w:sz w:val="22"/>
          <w:szCs w:val="22"/>
        </w:rPr>
        <w:t xml:space="preserve"> informace jednotlivých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se vzájemně doplňují. Pro územní samosprávné celky jsou povinná </w:t>
      </w:r>
      <w:r w:rsidR="007013EF" w:rsidRPr="003D60E6">
        <w:rPr>
          <w:rFonts w:asciiTheme="minorHAnsi" w:hAnsiTheme="minorHAnsi" w:cs="Times New Roman"/>
          <w:sz w:val="22"/>
          <w:szCs w:val="22"/>
        </w:rPr>
        <w:t>tato</w:t>
      </w:r>
      <w:r w:rsidRPr="003D60E6">
        <w:rPr>
          <w:rFonts w:asciiTheme="minorHAnsi" w:hAnsiTheme="minorHAnsi" w:cs="Times New Roman"/>
          <w:sz w:val="22"/>
          <w:szCs w:val="22"/>
        </w:rPr>
        <w:t xml:space="preserve"> -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="007013EF" w:rsidRPr="003D60E6">
        <w:rPr>
          <w:rFonts w:asciiTheme="minorHAnsi" w:hAnsiTheme="minorHAnsi" w:cs="Times New Roman"/>
          <w:b/>
          <w:sz w:val="22"/>
          <w:szCs w:val="22"/>
        </w:rPr>
        <w:t>druhové, odvětvové a konsolidační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 (blíže viz následující podkapitoly); od roku 2013 jsou pro ÚSC povinná ještě třídění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zdrojové prostorové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,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nástrojové 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a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transferové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. Tato členění se využívají pro další informace o čerpání dotací na úrovni obcí.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prostorové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člení operace příjmů a výdajů, podle toho, zda je zdrojem příjmů či výdajů tuzemsko či zahraničí na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>prostorové jednotky</w:t>
      </w:r>
      <w:r w:rsidRPr="003D60E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16D91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/>
          <w:sz w:val="22"/>
          <w:szCs w:val="22"/>
        </w:rPr>
        <w:t xml:space="preserve">členění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nástrojové </w:t>
      </w:r>
      <w:r w:rsidRPr="003D60E6">
        <w:rPr>
          <w:rFonts w:asciiTheme="minorHAnsi" w:hAnsiTheme="minorHAnsi"/>
          <w:sz w:val="22"/>
          <w:szCs w:val="22"/>
        </w:rPr>
        <w:t xml:space="preserve">využívá pro členění příjmů a výdajů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číselník nástrojů. </w:t>
      </w:r>
      <w:r w:rsidRPr="003D60E6">
        <w:rPr>
          <w:rFonts w:asciiTheme="minorHAnsi" w:hAnsiTheme="minorHAnsi"/>
          <w:sz w:val="22"/>
          <w:szCs w:val="22"/>
        </w:rPr>
        <w:t xml:space="preserve">Ten se vytváří tak, že nástrojem jsou jednotlivé fondy, programy a projekty Evropské unie a jednotlivé mezinárodní smlouvy o finančních mechanismech, případně jednotlivá místa odjinud ze zahraničí, a jejich analytiky, jsou-li stanoveny. Čísla nástrojů jsou pětimístná. První tři místa označují jednotlivé fondy, </w:t>
      </w:r>
      <w:r w:rsidRPr="003D60E6">
        <w:rPr>
          <w:rFonts w:asciiTheme="minorHAnsi" w:hAnsiTheme="minorHAnsi"/>
          <w:sz w:val="22"/>
          <w:szCs w:val="22"/>
        </w:rPr>
        <w:lastRenderedPageBreak/>
        <w:t>programy a projekty Evropské unie, jednotlivé mezinárodní smlouvy o finančních mechanismech a jednotlivá místa odjinud ze zahraničí a poslední dvě místa jejich analytiky.</w:t>
      </w: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Transferové členění </w:t>
      </w:r>
      <w:r w:rsidRPr="003D60E6">
        <w:rPr>
          <w:rFonts w:asciiTheme="minorHAnsi" w:hAnsiTheme="minorHAnsi"/>
          <w:sz w:val="22"/>
          <w:szCs w:val="22"/>
        </w:rPr>
        <w:t xml:space="preserve">příjmů a výdajů pak vypovídá o účelu transferu a pracuje s číselníkem </w:t>
      </w:r>
      <w:r w:rsidRPr="003D60E6">
        <w:rPr>
          <w:rFonts w:asciiTheme="minorHAnsi" w:hAnsiTheme="minorHAnsi"/>
          <w:b/>
          <w:bCs/>
          <w:sz w:val="22"/>
          <w:szCs w:val="22"/>
        </w:rPr>
        <w:t>účelových znaků</w:t>
      </w:r>
      <w:r w:rsidRPr="003D60E6">
        <w:rPr>
          <w:rFonts w:asciiTheme="minorHAnsi" w:hAnsiTheme="minorHAnsi"/>
          <w:sz w:val="22"/>
          <w:szCs w:val="22"/>
        </w:rPr>
        <w:t>. Účelovými znaky jsou jednotlivé transfery, které uvolňují ústřední orgány státní správy, státní fondy, Národní fond a regionální rady. Čísla účelových znaků jsou pětimístná. První dvě místa označují kapitolu, Národní fond nebo státní fond, z jejichž rozpočtu se transfer poskytuje, a poslední tři místa kód dotačního titulu.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proofErr w:type="gramStart"/>
      <w:r w:rsidRPr="003D60E6">
        <w:rPr>
          <w:rFonts w:asciiTheme="minorHAnsi" w:hAnsiTheme="minorHAnsi"/>
          <w:b/>
          <w:bCs/>
        </w:rPr>
        <w:t>II.2.</w:t>
      </w:r>
      <w:r w:rsidR="0003778B" w:rsidRPr="003D60E6">
        <w:rPr>
          <w:rFonts w:asciiTheme="minorHAnsi" w:hAnsiTheme="minorHAnsi"/>
          <w:b/>
          <w:bCs/>
        </w:rPr>
        <w:t>1</w:t>
      </w:r>
      <w:proofErr w:type="gramEnd"/>
      <w:r w:rsidR="0003778B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Druhové členění peněžních operací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Druhové členění peněžních operací </w:t>
      </w:r>
      <w:r w:rsidRPr="003D60E6">
        <w:rPr>
          <w:rFonts w:asciiTheme="minorHAnsi" w:hAnsiTheme="minorHAnsi"/>
          <w:sz w:val="22"/>
          <w:szCs w:val="22"/>
        </w:rPr>
        <w:t>vychází ze základních ekonomických kategorií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obsažených v rozpočtu, tedy z příjmů, výdajů a financování. Zobrazuje tedy </w:t>
      </w:r>
      <w:r w:rsidRPr="003D60E6">
        <w:rPr>
          <w:rFonts w:asciiTheme="minorHAnsi" w:hAnsiTheme="minorHAnsi"/>
          <w:b/>
          <w:bCs/>
          <w:sz w:val="22"/>
          <w:szCs w:val="22"/>
        </w:rPr>
        <w:t>ekonomický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charakter dané operace</w:t>
      </w:r>
      <w:r w:rsidRPr="003D60E6">
        <w:rPr>
          <w:rFonts w:asciiTheme="minorHAnsi" w:hAnsiTheme="minorHAnsi"/>
          <w:sz w:val="22"/>
          <w:szCs w:val="22"/>
        </w:rPr>
        <w:t xml:space="preserve">. Pro obce je toto členění </w:t>
      </w:r>
      <w:r w:rsidRPr="003D60E6">
        <w:rPr>
          <w:rFonts w:asciiTheme="minorHAnsi" w:hAnsiTheme="minorHAnsi"/>
          <w:b/>
          <w:bCs/>
          <w:sz w:val="22"/>
          <w:szCs w:val="22"/>
        </w:rPr>
        <w:t>povinné</w:t>
      </w:r>
      <w:r w:rsidRPr="003D60E6">
        <w:rPr>
          <w:rFonts w:asciiTheme="minorHAnsi" w:hAnsiTheme="minorHAnsi"/>
          <w:sz w:val="22"/>
          <w:szCs w:val="22"/>
        </w:rPr>
        <w:t>. Používá čtyři úrovně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členění peněžních operací obce.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třídy</w:t>
      </w:r>
      <w:r w:rsidRPr="003D60E6">
        <w:rPr>
          <w:rFonts w:asciiTheme="minorHAnsi" w:hAnsiTheme="minorHAnsi"/>
          <w:sz w:val="22"/>
          <w:szCs w:val="22"/>
        </w:rPr>
        <w:t>, kterých je sedm: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1 - 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2 - nedaňové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3 - kapitálové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třída 4 - přijaté </w:t>
      </w:r>
      <w:r w:rsidR="00533ED8" w:rsidRPr="003D60E6">
        <w:rPr>
          <w:rFonts w:asciiTheme="minorHAnsi" w:hAnsiTheme="minorHAnsi"/>
          <w:sz w:val="22"/>
          <w:szCs w:val="22"/>
        </w:rPr>
        <w:t>transfery</w:t>
      </w:r>
      <w:r w:rsidRPr="003D60E6">
        <w:rPr>
          <w:rFonts w:asciiTheme="minorHAnsi" w:hAnsiTheme="minorHAnsi"/>
          <w:sz w:val="22"/>
          <w:szCs w:val="22"/>
        </w:rPr>
        <w:t>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5 - běžné výdaje,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6 - kapitálové výdaje,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8 - financování.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seskupení položek a podseskupení položek a nejnižší úrovní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druhového třídění jsou potom </w:t>
      </w:r>
      <w:r w:rsidRPr="003D60E6">
        <w:rPr>
          <w:rFonts w:asciiTheme="minorHAnsi" w:hAnsiTheme="minorHAnsi"/>
          <w:b/>
          <w:bCs/>
          <w:sz w:val="22"/>
          <w:szCs w:val="22"/>
        </w:rPr>
        <w:t>položky</w:t>
      </w:r>
      <w:r w:rsidRPr="003D60E6">
        <w:rPr>
          <w:rFonts w:asciiTheme="minorHAnsi" w:hAnsiTheme="minorHAnsi"/>
          <w:sz w:val="22"/>
          <w:szCs w:val="22"/>
        </w:rPr>
        <w:t>. Logika tohoto třídění spočívá v tom, že každá položka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čtyřmístný číselný kód, přičemž první číslo vyjadřuje třídu, do které daná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položka spadá, první dvojčíslí seskupení položek a první trojčíslí podseskupení položek.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Pokud obec přijme na svůj bankovní účet např. výnos daně z příjmů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závislé činnosti, bude tento příjem oklasifikován položkou 1111. Přičemž první číslo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vyjadřuje, že se jedná o daňové příjmy, první dvojčíslí, že se jedná o daně z příjmů a trojčíslí,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se jedná o daně z příjmu fyzických osob. Obdobně výnos daně z příjmu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samostatně výdělečně činných by byl oklasifikován položkou 1112.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u druhového, tak u odpovědnostního třídění platí, že pokud danou operaci neumíme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zatřídit na žádnou konkrétní položku v daném podseskupení položek, resp. </w:t>
      </w:r>
      <w:r w:rsidR="00533ED8" w:rsidRPr="003D60E6">
        <w:rPr>
          <w:rFonts w:asciiTheme="minorHAnsi" w:hAnsiTheme="minorHAnsi"/>
          <w:sz w:val="22"/>
          <w:szCs w:val="22"/>
        </w:rPr>
        <w:t>p</w:t>
      </w:r>
      <w:r w:rsidRPr="003D60E6">
        <w:rPr>
          <w:rFonts w:asciiTheme="minorHAnsi" w:hAnsiTheme="minorHAnsi"/>
          <w:sz w:val="22"/>
          <w:szCs w:val="22"/>
        </w:rPr>
        <w:t>aragraf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podo</w:t>
      </w:r>
      <w:r w:rsidR="003D60E6">
        <w:rPr>
          <w:rFonts w:asciiTheme="minorHAnsi" w:hAnsiTheme="minorHAnsi"/>
          <w:sz w:val="22"/>
          <w:szCs w:val="22"/>
        </w:rPr>
        <w:t>d</w:t>
      </w:r>
      <w:r w:rsidRPr="003D60E6">
        <w:rPr>
          <w:rFonts w:asciiTheme="minorHAnsi" w:hAnsiTheme="minorHAnsi"/>
          <w:sz w:val="22"/>
          <w:szCs w:val="22"/>
        </w:rPr>
        <w:t xml:space="preserve">dílu, </w:t>
      </w:r>
      <w:proofErr w:type="gramStart"/>
      <w:r w:rsidRPr="003D60E6">
        <w:rPr>
          <w:rFonts w:asciiTheme="minorHAnsi" w:hAnsiTheme="minorHAnsi"/>
          <w:sz w:val="22"/>
          <w:szCs w:val="22"/>
        </w:rPr>
        <w:t>použijeme</w:t>
      </w:r>
      <w:proofErr w:type="gramEnd"/>
      <w:r w:rsidRPr="003D60E6">
        <w:rPr>
          <w:rFonts w:asciiTheme="minorHAnsi" w:hAnsiTheme="minorHAnsi"/>
          <w:sz w:val="22"/>
          <w:szCs w:val="22"/>
        </w:rPr>
        <w:t xml:space="preserve"> položku resp. </w:t>
      </w:r>
      <w:proofErr w:type="gramStart"/>
      <w:r w:rsidRPr="003D60E6">
        <w:rPr>
          <w:rFonts w:asciiTheme="minorHAnsi" w:hAnsiTheme="minorHAnsi"/>
          <w:sz w:val="22"/>
          <w:szCs w:val="22"/>
        </w:rPr>
        <w:t>paragraf</w:t>
      </w:r>
      <w:proofErr w:type="gramEnd"/>
      <w:r w:rsidRPr="003D60E6">
        <w:rPr>
          <w:rFonts w:asciiTheme="minorHAnsi" w:hAnsiTheme="minorHAnsi"/>
          <w:sz w:val="22"/>
          <w:szCs w:val="22"/>
        </w:rPr>
        <w:t>, která je v daném seskupení položek svým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obsahem charakteru dané operace nejbližší a končí číslem 9.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Výdej prostředků za provedenou expertízu finančního zdraví obce zatřídíme na položku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5166 - Konzultační, poradenské a právní služby (jedná se o běžné výdaje - třída 5,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neinvestiční nákupy - seskupení položek 51, nákupy služeb - podseskupení položek 516.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něm již můžeme operaci zatřídit na konkrétní položku). Při klasifikaci výdaje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za úklid prostor úřadu logika postupu stejná, v podseskupení položek 516 však nenajdeme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konkrétní položku, kam tento výdaj zatřídit. Zvolíme tedy položku, končící devítkou - 5169 -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Nákup ostatních služeb.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Financující operace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lastRenderedPageBreak/>
        <w:t xml:space="preserve">Rádi bychom ještě blíže vysvětlili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kategorii financování </w:t>
      </w:r>
      <w:r w:rsidRPr="003D60E6">
        <w:rPr>
          <w:rFonts w:asciiTheme="minorHAnsi" w:hAnsiTheme="minorHAnsi"/>
          <w:sz w:val="22"/>
          <w:szCs w:val="22"/>
        </w:rPr>
        <w:t>(financující operace). Jak již bylo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řečeno, financující operace vypovídají o tom, z jakých zdrojů byl kryt deficit rozpočtu,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 bylo naloženo s přebytkem rozpočtu. Deficit rozpočtu může být kryt buď tím, že ÚSC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přijme cizí prostředky, u kterých mu vznikne závazek je v budoucnosti splatit (může se pak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jednat buď o půjčku, úvěr, vydání obligací či vydání směnky) nebo tak, že uhradí deficit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svých prostředků. V tomto případě buď použije ke krytí deficitu prostředky, které má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naspořené na svých bankovních účtech (rozdíl mezi stavem jeho bankovního účtu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počátku a na konci roku bude právě ve výši uhrazeného deficitu), nebo prodá určitá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aktiva, která má ve svém držení za účelem uložení svých dočasně volných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a bude realizovat příjmy z operací, kterými řídí svou likviditu. Jakým způsobem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byl kryt deficit rozpočtu </w:t>
      </w:r>
      <w:proofErr w:type="gramStart"/>
      <w:r w:rsidRPr="003D60E6">
        <w:rPr>
          <w:rFonts w:asciiTheme="minorHAnsi" w:hAnsiTheme="minorHAnsi"/>
          <w:sz w:val="22"/>
          <w:szCs w:val="22"/>
        </w:rPr>
        <w:t>je</w:t>
      </w:r>
      <w:proofErr w:type="gramEnd"/>
      <w:r w:rsidRPr="003D60E6">
        <w:rPr>
          <w:rFonts w:asciiTheme="minorHAnsi" w:hAnsiTheme="minorHAnsi"/>
          <w:sz w:val="22"/>
          <w:szCs w:val="22"/>
        </w:rPr>
        <w:t xml:space="preserve"> zobrazeno v kategorii financování.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Stejně tak přebytek rozpočtu může znamenat buď to, že ÚSC přibudou finanční prostředky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jeho bankovním účtu, nebo že přebytek rozpočtu vytváří, aby mohl splatit své závazky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 minulých let (vydané obligace, úvěr), nebo přebytek uloží do jiné, výnosnější formy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finančních aktiv, než jsou prostředky na bankovním účtu. Nakoupí například cenné papíry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 tím, že bude očekávat, že jejich tržní hodnota poroste a on bude při jejich prodeji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budoucnosti realizovat zisk, opět se jedná o operaci řízení likvidity.</w:t>
      </w:r>
    </w:p>
    <w:p w:rsidR="00B463BF" w:rsidRPr="003D60E6" w:rsidRDefault="00B463B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 tím, co bylo výše řečeno, souvisí ještě jedna problémová oblast, a sice </w:t>
      </w:r>
      <w:r w:rsidRPr="003D60E6">
        <w:rPr>
          <w:rFonts w:asciiTheme="minorHAnsi" w:hAnsiTheme="minorHAnsi"/>
          <w:b/>
          <w:bCs/>
          <w:sz w:val="22"/>
          <w:szCs w:val="22"/>
        </w:rPr>
        <w:t>jak se v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 </w:t>
      </w:r>
      <w:r w:rsidRPr="003D60E6">
        <w:rPr>
          <w:rFonts w:asciiTheme="minorHAnsi" w:hAnsiTheme="minorHAnsi"/>
          <w:b/>
          <w:bCs/>
          <w:sz w:val="22"/>
          <w:szCs w:val="22"/>
        </w:rPr>
        <w:t>rozpočtu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ÚSC zobrazují peněžní toky související s přijetím závazku a jak půjčení prostředků jiným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subjektům </w:t>
      </w:r>
      <w:r w:rsidRPr="003D60E6">
        <w:rPr>
          <w:rFonts w:asciiTheme="minorHAnsi" w:hAnsiTheme="minorHAnsi"/>
          <w:sz w:val="22"/>
          <w:szCs w:val="22"/>
        </w:rPr>
        <w:t>(tedy vznikem pohledávky ÚSC). Veškeré přijaté finanční závazky a</w:t>
      </w:r>
      <w:r w:rsidR="00EA4D80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již formou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půjčky, úvěru, vydáním obligací, přijetím návratné finanční výpomoci se v rozpočtu zobrazí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kategorii financování. Nejedná se tedy o příjem, ale o financující operaci! Pokud ÚSC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půjčuje své finanční prostředky jiným subjektům, rozhoduje o tom, kde se tato operace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rozpočtu promítne účel, který tím ÚSC sleduje. Pokud ÚSC půjčuje prostředky s tím,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sleduje výnos, který mu tato operace přinese,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řídí </w:t>
      </w:r>
      <w:r w:rsidRPr="003D60E6">
        <w:rPr>
          <w:rFonts w:asciiTheme="minorHAnsi" w:hAnsiTheme="minorHAnsi"/>
          <w:sz w:val="22"/>
          <w:szCs w:val="22"/>
        </w:rPr>
        <w:t xml:space="preserve">tak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svou likviditu, </w:t>
      </w:r>
      <w:r w:rsidR="00533ED8" w:rsidRPr="003D60E6">
        <w:rPr>
          <w:rFonts w:asciiTheme="minorHAnsi" w:hAnsiTheme="minorHAnsi"/>
          <w:sz w:val="22"/>
          <w:szCs w:val="22"/>
        </w:rPr>
        <w:t>neboť</w:t>
      </w:r>
      <w:r w:rsidRPr="003D60E6">
        <w:rPr>
          <w:rFonts w:asciiTheme="minorHAnsi" w:hAnsiTheme="minorHAnsi"/>
          <w:sz w:val="22"/>
          <w:szCs w:val="22"/>
        </w:rPr>
        <w:t xml:space="preserve"> ukládá dočasně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nepotřebné prostředky do formy výnosnějšího aktiva. Tato operace se promítne </w:t>
      </w:r>
      <w:r w:rsidRPr="003D60E6">
        <w:rPr>
          <w:rFonts w:asciiTheme="minorHAnsi" w:hAnsiTheme="minorHAnsi"/>
          <w:b/>
          <w:bCs/>
          <w:sz w:val="22"/>
          <w:szCs w:val="22"/>
        </w:rPr>
        <w:t>v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 </w:t>
      </w:r>
      <w:r w:rsidRPr="003D60E6">
        <w:rPr>
          <w:rFonts w:asciiTheme="minorHAnsi" w:hAnsiTheme="minorHAnsi"/>
          <w:b/>
          <w:bCs/>
          <w:sz w:val="22"/>
          <w:szCs w:val="22"/>
        </w:rPr>
        <w:t>kategorii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</w:t>
      </w:r>
      <w:r w:rsidRPr="003D60E6">
        <w:rPr>
          <w:rFonts w:asciiTheme="minorHAnsi" w:hAnsiTheme="minorHAnsi"/>
          <w:sz w:val="22"/>
          <w:szCs w:val="22"/>
        </w:rPr>
        <w:t xml:space="preserve">. Pokud však ÚSC sleduje při poskytování půjčky tzv. </w:t>
      </w:r>
      <w:r w:rsidRPr="003D60E6">
        <w:rPr>
          <w:rFonts w:asciiTheme="minorHAnsi" w:hAnsiTheme="minorHAnsi"/>
          <w:b/>
          <w:bCs/>
          <w:sz w:val="22"/>
          <w:szCs w:val="22"/>
        </w:rPr>
        <w:t>rozpočtovou politiku</w:t>
      </w:r>
      <w:r w:rsidRPr="003D60E6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3D60E6">
        <w:rPr>
          <w:rFonts w:asciiTheme="minorHAnsi" w:hAnsiTheme="minorHAnsi"/>
          <w:sz w:val="22"/>
          <w:szCs w:val="22"/>
        </w:rPr>
        <w:t>tzn.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půjčuje</w:t>
      </w:r>
      <w:proofErr w:type="gramEnd"/>
      <w:r w:rsidRPr="003D60E6">
        <w:rPr>
          <w:rFonts w:asciiTheme="minorHAnsi" w:hAnsiTheme="minorHAnsi"/>
          <w:sz w:val="22"/>
          <w:szCs w:val="22"/>
        </w:rPr>
        <w:t xml:space="preserve"> prostředky napří</w:t>
      </w:r>
      <w:r w:rsidR="00EA4D80" w:rsidRPr="003D60E6">
        <w:rPr>
          <w:rFonts w:asciiTheme="minorHAnsi" w:hAnsiTheme="minorHAnsi"/>
          <w:sz w:val="22"/>
          <w:szCs w:val="22"/>
        </w:rPr>
        <w:t>klad místnímu podnikateli, neboť</w:t>
      </w:r>
      <w:r w:rsidRPr="003D60E6">
        <w:rPr>
          <w:rFonts w:asciiTheme="minorHAnsi" w:hAnsiTheme="minorHAnsi"/>
          <w:sz w:val="22"/>
          <w:szCs w:val="22"/>
        </w:rPr>
        <w:t xml:space="preserve"> chce podpořit jeho činnost, nebo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místní neziskové organizaci, pak se poskytnutá půjčka zobrazí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ve výdajích </w:t>
      </w:r>
      <w:r w:rsidRPr="003D60E6">
        <w:rPr>
          <w:rFonts w:asciiTheme="minorHAnsi" w:hAnsiTheme="minorHAnsi"/>
          <w:sz w:val="22"/>
          <w:szCs w:val="22"/>
        </w:rPr>
        <w:t>(běžných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kapitálových dle účelu, ke kterému je poskytnuta) a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splátky </w:t>
      </w:r>
      <w:r w:rsidRPr="003D60E6">
        <w:rPr>
          <w:rFonts w:asciiTheme="minorHAnsi" w:hAnsiTheme="minorHAnsi"/>
          <w:sz w:val="22"/>
          <w:szCs w:val="22"/>
        </w:rPr>
        <w:t>této půjčky se zobrazí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nedaňových příjmech.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676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Financující operace se zobrazují ve třídě osm, tzn., že položky financování mají tvar 8xxx.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Jaká je logika konstrukce těchto položek? 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6767" w:rsidRPr="003D60E6" w:rsidRDefault="00706767" w:rsidP="007067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Logika třídění dle položek financujících operací</w:t>
      </w:r>
    </w:p>
    <w:tbl>
      <w:tblPr>
        <w:tblW w:w="91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1559"/>
        <w:gridCol w:w="1701"/>
        <w:gridCol w:w="4604"/>
      </w:tblGrid>
      <w:tr w:rsidR="00706767" w:rsidRPr="003D60E6" w:rsidTr="00EF762F">
        <w:trPr>
          <w:trHeight w:val="3249"/>
          <w:tblCellSpacing w:w="0" w:type="dxa"/>
        </w:trPr>
        <w:tc>
          <w:tcPr>
            <w:tcW w:w="1291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8 – financující operace</w:t>
            </w:r>
          </w:p>
        </w:tc>
        <w:tc>
          <w:tcPr>
            <w:tcW w:w="1559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financování z tuzemska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financování ze zahraničí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Pr="003D60E6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EF762F" w:rsidRPr="003D60E6" w:rsidRDefault="00EF762F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B463BF" w:rsidP="00A938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</w:t>
            </w:r>
            <w:r w:rsidR="00A93825">
              <w:rPr>
                <w:rFonts w:asciiTheme="minorHAnsi" w:hAnsiTheme="minorHAnsi"/>
                <w:sz w:val="20"/>
                <w:szCs w:val="20"/>
              </w:rPr>
              <w:t>3,4,9</w:t>
            </w:r>
            <w:r w:rsidR="00706767" w:rsidRPr="003D60E6">
              <w:rPr>
                <w:rFonts w:asciiTheme="minorHAnsi" w:hAnsiTheme="minorHAnsi"/>
                <w:sz w:val="20"/>
                <w:szCs w:val="20"/>
              </w:rPr>
              <w:t>*</w:t>
            </w:r>
            <w:r w:rsidR="00EF762F" w:rsidRPr="003D60E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krátkodobé financování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dlouhodobé financování</w:t>
            </w:r>
          </w:p>
        </w:tc>
        <w:tc>
          <w:tcPr>
            <w:tcW w:w="4604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vydané dluhopisy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splátky vydaných dluhopisů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3 – přijaté půjčené prostředky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4 – splátky přijatých půjčených prostředků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5 – změna stavu prostředků na bankovním účtu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(+/-)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7 – aktivní operace řízení likvidity – příjmy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8 - aktivní operace řízení likvidity – výdaje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</w:tc>
      </w:tr>
    </w:tbl>
    <w:p w:rsidR="00706767" w:rsidRPr="003D60E6" w:rsidRDefault="00A93825" w:rsidP="00706767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U těchto</w:t>
      </w:r>
      <w:r w:rsidR="00706767" w:rsidRPr="003D60E6">
        <w:rPr>
          <w:rFonts w:asciiTheme="minorHAnsi" w:hAnsiTheme="minorHAnsi"/>
          <w:sz w:val="20"/>
          <w:szCs w:val="20"/>
        </w:rPr>
        <w:t xml:space="preserve"> seskupení položek další úroveň jeho členění</w:t>
      </w:r>
      <w:r w:rsidR="00B463BF" w:rsidRPr="003D60E6">
        <w:rPr>
          <w:rFonts w:asciiTheme="minorHAnsi" w:hAnsiTheme="minorHAnsi"/>
          <w:sz w:val="20"/>
          <w:szCs w:val="20"/>
        </w:rPr>
        <w:t xml:space="preserve"> – viz vyhláška o rozpočtové skladbě</w:t>
      </w:r>
      <w:r w:rsidR="00706767" w:rsidRPr="003D60E6">
        <w:rPr>
          <w:rFonts w:asciiTheme="minorHAnsi" w:hAnsiTheme="minorHAnsi"/>
          <w:sz w:val="20"/>
          <w:szCs w:val="20"/>
        </w:rPr>
        <w:t>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8 informuje o tom, že se jedná o financující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operaci.</w:t>
      </w:r>
      <w:r w:rsidR="0070676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Druhá pozice vypovídá o tom, zda se jedná o financující operaci z tuzemska (rozhodující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územní hledisko, tzn., že uskutečnila se na území </w:t>
      </w:r>
      <w:r w:rsidRPr="003D60E6">
        <w:rPr>
          <w:rFonts w:asciiTheme="minorHAnsi" w:hAnsiTheme="minorHAnsi"/>
          <w:sz w:val="22"/>
          <w:szCs w:val="22"/>
        </w:rPr>
        <w:lastRenderedPageBreak/>
        <w:t>České republiky, třeba i v cizí měně),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ze zahraničí, nebo o opravnou položku k peněžním operacím (ty mohou být dvě - </w:t>
      </w:r>
      <w:smartTag w:uri="urn:schemas-microsoft-com:office:smarttags" w:element="metricconverter">
        <w:smartTagPr>
          <w:attr w:name="ProductID" w:val="8901 a"/>
        </w:smartTagPr>
        <w:r w:rsidRPr="003D60E6">
          <w:rPr>
            <w:rFonts w:asciiTheme="minorHAnsi" w:hAnsiTheme="minorHAnsi"/>
            <w:sz w:val="22"/>
            <w:szCs w:val="22"/>
          </w:rPr>
          <w:t>8901 a</w:t>
        </w:r>
      </w:smartTag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8902 viz příloha rozpočtové skladby).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na třetí pozici informuje o tom, jestli se jedná o financující operaci krátkodobou (tzn.,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proběhne do jednoho roku - např. přijetí bankovního úvěru splatného za šest měsíců),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dlouhodobou (která přesahuje období jednoho roku - např. splacení pětiletých obligací).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Konečně podle čtvrté pozice zjistíte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o jakou financující operaci se jedná. Jaké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operace </w:t>
      </w:r>
      <w:r w:rsidRPr="003D60E6">
        <w:rPr>
          <w:rFonts w:asciiTheme="minorHAnsi" w:hAnsiTheme="minorHAnsi"/>
          <w:sz w:val="22"/>
          <w:szCs w:val="22"/>
        </w:rPr>
        <w:t xml:space="preserve">tedy můžete najít </w:t>
      </w:r>
      <w:r w:rsidRPr="003D60E6">
        <w:rPr>
          <w:rFonts w:asciiTheme="minorHAnsi" w:hAnsiTheme="minorHAnsi"/>
          <w:b/>
          <w:bCs/>
          <w:sz w:val="22"/>
          <w:szCs w:val="22"/>
        </w:rPr>
        <w:t>v kategorii financování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eastAsia="ZapfDingbats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emitované dluhopisy a jejich splátky,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přijaté půjčené prostředky a jejich splátky (může se jednat o úvěry, finanční výpomoci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či půjčky od obyvatelstva),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změna stavu prostředků na bankovních účtech - oproti ostatním položkám,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popisují tok finančních prostředků</w:t>
      </w:r>
      <w:r w:rsidR="00533ED8" w:rsidRPr="003D60E6">
        <w:rPr>
          <w:rFonts w:asciiTheme="minorHAnsi" w:hAnsiTheme="minorHAnsi"/>
          <w:sz w:val="22"/>
          <w:szCs w:val="22"/>
        </w:rPr>
        <w:t>, je tato položka stavová. Zjišť</w:t>
      </w:r>
      <w:r w:rsidRPr="003D60E6">
        <w:rPr>
          <w:rFonts w:asciiTheme="minorHAnsi" w:hAnsiTheme="minorHAnsi"/>
          <w:sz w:val="22"/>
          <w:szCs w:val="22"/>
        </w:rPr>
        <w:t>uje se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sestavování výkazu o plnění rozpočtu na základě změny stavu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bankovním účtu, </w:t>
      </w:r>
      <w:r w:rsidR="00010D44" w:rsidRPr="003D60E6">
        <w:rPr>
          <w:rFonts w:asciiTheme="minorHAnsi" w:hAnsiTheme="minorHAnsi"/>
          <w:sz w:val="22"/>
          <w:szCs w:val="22"/>
        </w:rPr>
        <w:t>tzn., zda</w:t>
      </w:r>
      <w:r w:rsidRPr="003D60E6">
        <w:rPr>
          <w:rFonts w:asciiTheme="minorHAnsi" w:hAnsiTheme="minorHAnsi"/>
          <w:sz w:val="22"/>
          <w:szCs w:val="22"/>
        </w:rPr>
        <w:t xml:space="preserve"> obec nějaké prostředky ušetřila, a tedy konečný zůstatek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vyšší než počáteční, či zda je konečný zůstatek nižší než počáteční a obec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použila například k financování svého rozpočtového deficitu, mohla ale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také jen změnit formu aktiva ve výnosnější - např. cenné papíry,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aktivní operace řízení likvidity. V rámci těchto operací obec jen mění formu svého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majetku z hlediska jeho výnosnosti a likvidnosti. Tzn., že buď preferuje výnos a potom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nakupuje za peníze, které by byly pouze úročeny v rámci běžného účtu, cenné papíry,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které jsou výnosnější a její prostředky se tak více zhodnocují, může se jednat i o převod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na termínovaný vklad. Pokud preferuje likviditu, prodává držené cenné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papíry za účelem zisku a transformuje je tak v likvidnější aktivum - peníze. (Pokud by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však obec nakupovala cenné papíry proto, aby daný podnik mohla řídit, promítnou se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tyto operace jako výdaje související s nákupem majetku).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A4D80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Jednotlivé financující operace mohou být kladné, či záporné, podle toho jaký výsledek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 vyrovnávají. Přijetí prostředků za emitované dluhopisy, přijetí půjčky, realizace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prodeje aktiv držených ÚSC za účelem řízení likvidity budou kladné financující operace,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="00EA4D80" w:rsidRPr="003D60E6">
        <w:rPr>
          <w:rFonts w:asciiTheme="minorHAnsi" w:hAnsiTheme="minorHAnsi"/>
          <w:sz w:val="22"/>
          <w:szCs w:val="22"/>
        </w:rPr>
        <w:t>neboť</w:t>
      </w:r>
      <w:r w:rsidRPr="003D60E6">
        <w:rPr>
          <w:rFonts w:asciiTheme="minorHAnsi" w:hAnsiTheme="minorHAnsi"/>
          <w:sz w:val="22"/>
          <w:szCs w:val="22"/>
        </w:rPr>
        <w:t xml:space="preserve"> by tyto operace vyrovnávaly schodek rozpočtu ÚSC. Položka změny stavu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bankovním účtu územního samosprávného celku (8xx5) může nabývat jak kladných, tak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záporných hodnot. Vypovídá o tom, zda je konečný zůstatek na bankovním účtu vyšší než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počátku období (tzn., že ÚSC nějaké prostředky na svém účtu uspořil, tato operace by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měla záporné znaménko), či nižší než na počátku období (příjmy ÚSC během tohoto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období byly nižší než jeho výdaje v daném období, tato operace by měla kladné znaménko,</w:t>
      </w:r>
      <w:r w:rsidR="00533ED8" w:rsidRPr="003D60E6">
        <w:rPr>
          <w:rFonts w:asciiTheme="minorHAnsi" w:hAnsiTheme="minorHAnsi"/>
          <w:sz w:val="22"/>
          <w:szCs w:val="22"/>
        </w:rPr>
        <w:t xml:space="preserve"> neboť</w:t>
      </w:r>
      <w:r w:rsidRPr="003D60E6">
        <w:rPr>
          <w:rFonts w:asciiTheme="minorHAnsi" w:hAnsiTheme="minorHAnsi"/>
          <w:sz w:val="22"/>
          <w:szCs w:val="22"/>
        </w:rPr>
        <w:t xml:space="preserve"> by těmito prostředky mohl ÚSC krýt svůj rozpočtový deficit). Naopak záporné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financující operace by vypovídaly o tom, k čemu slouží přebytek rozpočtu ÚSC. Může se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jednat o splátky vydaných dluhopisů, splátky půjček či výdaje na operace řízení likvidity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(ÚSC by měnil peníze za jinou, výnosnější formu aktiva, např. obligace, akcie, pohledávky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vůči jiným subjektům). 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706767" w:rsidRPr="003D60E6">
        <w:rPr>
          <w:rStyle w:val="Znakapoznpodarou"/>
          <w:rFonts w:asciiTheme="minorHAnsi" w:hAnsiTheme="minorHAnsi"/>
          <w:b/>
          <w:bCs/>
          <w:sz w:val="22"/>
          <w:szCs w:val="22"/>
        </w:rPr>
        <w:footnoteReference w:id="1"/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 základě údajů v tabulce se pokuste říci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na jakou pol</w:t>
      </w:r>
      <w:r w:rsidR="00D53E1A" w:rsidRPr="003D60E6">
        <w:rPr>
          <w:rFonts w:asciiTheme="minorHAnsi" w:hAnsiTheme="minorHAnsi"/>
          <w:sz w:val="22"/>
          <w:szCs w:val="22"/>
        </w:rPr>
        <w:t>ožku financování byste zatřídili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následující operace (pokud byste měl</w:t>
      </w:r>
      <w:r w:rsidR="00D53E1A" w:rsidRPr="003D60E6">
        <w:rPr>
          <w:rFonts w:asciiTheme="minorHAnsi" w:hAnsiTheme="minorHAnsi"/>
          <w:sz w:val="22"/>
          <w:szCs w:val="22"/>
        </w:rPr>
        <w:t>i</w:t>
      </w:r>
      <w:r w:rsidRPr="003D60E6">
        <w:rPr>
          <w:rFonts w:asciiTheme="minorHAnsi" w:hAnsiTheme="minorHAnsi"/>
          <w:sz w:val="22"/>
          <w:szCs w:val="22"/>
        </w:rPr>
        <w:t xml:space="preserve"> problémy</w:t>
      </w:r>
      <w:r w:rsidR="00D53E1A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použijte 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skladbu):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přijetí bankovního úvěru v České republice se splatností 5 let,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nákup</w:t>
      </w:r>
      <w:r w:rsidR="00D53E1A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akcií na tuzemské burze cenných papírů s cílem jejich zhodnocení do dvou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měsíců,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územním samosprávným celkem vydaných desetiletých obligací, kotovaných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tuzemské burze cenných papírů,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příjem z prodeje dluhopisů v zahraničí po pěti měsících jejich držení,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krátkodobého úvěru vydaného bankou na území České republiky,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lastRenderedPageBreak/>
        <w:t>převod prostředků na dvouletý termínovaný vklad u banky na území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České republiky,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dlouhodobé půjčky ze zahraničí (splácí ÚSC).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proofErr w:type="gramStart"/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>.</w:t>
      </w:r>
      <w:r w:rsidR="00816D91" w:rsidRPr="003D60E6">
        <w:rPr>
          <w:rFonts w:asciiTheme="minorHAnsi" w:hAnsiTheme="minorHAnsi"/>
          <w:b/>
          <w:bCs/>
        </w:rPr>
        <w:t>2</w:t>
      </w:r>
      <w:proofErr w:type="gramEnd"/>
      <w:r w:rsidR="00816D91" w:rsidRPr="003D60E6">
        <w:rPr>
          <w:rFonts w:asciiTheme="minorHAnsi" w:hAnsiTheme="minorHAnsi"/>
          <w:b/>
          <w:bCs/>
        </w:rPr>
        <w:t xml:space="preserve"> Odvětvové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peněžních operací doplňuje druhové třídění tím, že poskytuje informaci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na jaký účel byl daný výdaj použit, z jaké oblasti byly příjmy realizovány. Odvětvové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členění je pro obce také povinné. Odvětvové členění se nevztahuje na všechny peněžní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operace, které obec realizuje, nebo</w:t>
      </w:r>
      <w:r w:rsidR="00EA4D80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u některých typů operací nám postačují informace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získané z druhového členění peněžních operací a odvětvové členění by zde nemělo smysl.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Odvětvovým členěním se klasifikují veškeré výdaje, tedy operace třídy </w:t>
      </w:r>
      <w:smartTag w:uri="urn:schemas-microsoft-com:office:smarttags" w:element="metricconverter">
        <w:smartTagPr>
          <w:attr w:name="ProductID" w:val="5 a"/>
        </w:smartTagPr>
        <w:r w:rsidRPr="003D60E6">
          <w:rPr>
            <w:rFonts w:asciiTheme="minorHAnsi" w:hAnsiTheme="minorHAnsi"/>
            <w:sz w:val="22"/>
            <w:szCs w:val="22"/>
          </w:rPr>
          <w:t>5 a</w:t>
        </w:r>
      </w:smartTag>
      <w:r w:rsidRPr="003D60E6">
        <w:rPr>
          <w:rFonts w:asciiTheme="minorHAnsi" w:hAnsiTheme="minorHAnsi"/>
          <w:sz w:val="22"/>
          <w:szCs w:val="22"/>
        </w:rPr>
        <w:t xml:space="preserve"> 6, kapitálové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příjmy a nedaňové příjmy s výjimkou splátek půjček poskytnutých za účelem rozpočtové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politiky (viz § 2 odst. 4 Vyhlášky č. 323/2002, o rozpočtové skladbě, v platném znění).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se tedy nevztahuje na daňové příjmy, příjmy z dotací a financující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operace - třídy 1, </w:t>
      </w:r>
      <w:smartTag w:uri="urn:schemas-microsoft-com:office:smarttags" w:element="metricconverter">
        <w:smartTagPr>
          <w:attr w:name="ProductID" w:val="4 a"/>
        </w:smartTagPr>
        <w:r w:rsidRPr="003D60E6">
          <w:rPr>
            <w:rFonts w:asciiTheme="minorHAnsi" w:hAnsiTheme="minorHAnsi"/>
            <w:sz w:val="22"/>
            <w:szCs w:val="22"/>
          </w:rPr>
          <w:t>4 a</w:t>
        </w:r>
      </w:smartTag>
      <w:r w:rsidRPr="003D60E6">
        <w:rPr>
          <w:rFonts w:asciiTheme="minorHAnsi" w:hAnsiTheme="minorHAnsi"/>
          <w:sz w:val="22"/>
          <w:szCs w:val="22"/>
        </w:rPr>
        <w:t xml:space="preserve"> 8. </w:t>
      </w:r>
      <w:r w:rsidR="00E9649F" w:rsidRPr="003D60E6">
        <w:rPr>
          <w:rFonts w:asciiTheme="minorHAnsi" w:hAnsiTheme="minorHAnsi"/>
          <w:sz w:val="22"/>
          <w:szCs w:val="22"/>
        </w:rPr>
        <w:t xml:space="preserve">Také se nevztahuje ve třídě 2 na seskupení položek 24 – přijaté splátky půjčených prostředků. (V těchto případech se někdy hovoří též o tzv. „nultém paragrafu.“) </w:t>
      </w:r>
      <w:r w:rsidR="007976E3">
        <w:rPr>
          <w:rFonts w:asciiTheme="minorHAnsi" w:hAnsiTheme="minorHAnsi"/>
          <w:sz w:val="22"/>
          <w:szCs w:val="22"/>
        </w:rPr>
        <w:t xml:space="preserve">Naopak výjimka </w:t>
      </w:r>
      <w:proofErr w:type="spellStart"/>
      <w:r w:rsidR="007976E3">
        <w:rPr>
          <w:rFonts w:asciiTheme="minorHAnsi" w:hAnsiTheme="minorHAnsi"/>
          <w:sz w:val="22"/>
          <w:szCs w:val="22"/>
        </w:rPr>
        <w:t>jeod</w:t>
      </w:r>
      <w:proofErr w:type="spellEnd"/>
      <w:r w:rsidR="007976E3">
        <w:rPr>
          <w:rFonts w:asciiTheme="minorHAnsi" w:hAnsiTheme="minorHAnsi"/>
          <w:sz w:val="22"/>
          <w:szCs w:val="22"/>
        </w:rPr>
        <w:t xml:space="preserve"> roku 2015 nově u položek </w:t>
      </w:r>
      <w:proofErr w:type="spellStart"/>
      <w:r w:rsidR="007976E3">
        <w:rPr>
          <w:rFonts w:asciiTheme="minorHAnsi" w:hAnsiTheme="minorHAnsi"/>
          <w:sz w:val="22"/>
          <w:szCs w:val="22"/>
        </w:rPr>
        <w:t>podseskupení</w:t>
      </w:r>
      <w:proofErr w:type="spellEnd"/>
      <w:r w:rsidR="007976E3">
        <w:rPr>
          <w:rFonts w:asciiTheme="minorHAnsi" w:hAnsiTheme="minorHAnsi"/>
          <w:sz w:val="22"/>
          <w:szCs w:val="22"/>
        </w:rPr>
        <w:t xml:space="preserve"> 413x, kde se odvětvové členění používá, ačkoliv se jedná o přijaté transfery (konkrétně paragraf 6330 odvětvového členění). </w:t>
      </w:r>
      <w:r w:rsidRPr="003D60E6">
        <w:rPr>
          <w:rFonts w:asciiTheme="minorHAnsi" w:hAnsiTheme="minorHAnsi"/>
          <w:sz w:val="22"/>
          <w:szCs w:val="22"/>
        </w:rPr>
        <w:t xml:space="preserve">Toto členění opět využívá čtyři úrovně podrobnosti, přičemž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skupiny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EA4D80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1: zemědělství, lesní hospodářství a rybářství,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2: průmyslová a ostatní odvětví hospodářství,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3: služby pro obyvatelstvo,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4: sociální věci a politika zaměstnanosti,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skupina 5: bezpečnost </w:t>
      </w:r>
      <w:r w:rsidR="00EA4D80" w:rsidRPr="003D60E6">
        <w:rPr>
          <w:rFonts w:asciiTheme="minorHAnsi" w:hAnsiTheme="minorHAnsi"/>
          <w:sz w:val="22"/>
          <w:szCs w:val="22"/>
        </w:rPr>
        <w:t xml:space="preserve">státu </w:t>
      </w:r>
      <w:r w:rsidRPr="003D60E6">
        <w:rPr>
          <w:rFonts w:asciiTheme="minorHAnsi" w:hAnsiTheme="minorHAnsi"/>
          <w:sz w:val="22"/>
          <w:szCs w:val="22"/>
        </w:rPr>
        <w:t>a právní ochrana,</w:t>
      </w:r>
    </w:p>
    <w:p w:rsidR="00816D91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6: všeobecná veřejná správa a služby.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oddíly, pododdíly a nejnižší úrovní jsou paragrafy.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E4A2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lepší pochopení logiky členění peněžních operací rozpočtovou skladbou si nyní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vezměte Vyhlášku č. 323/2002 Sb., o rozpočtové skladbě a v její příloze části C si projděte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oddíly skupiny 3 - Služby pro obyvatelstvo.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13EF" w:rsidP="00706767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proofErr w:type="gramStart"/>
      <w:r w:rsidRPr="003D60E6">
        <w:rPr>
          <w:rFonts w:asciiTheme="minorHAnsi" w:hAnsiTheme="minorHAnsi"/>
          <w:b/>
          <w:bCs/>
        </w:rPr>
        <w:t>II.2.3</w:t>
      </w:r>
      <w:proofErr w:type="gramEnd"/>
      <w:r w:rsidR="00706767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Konsolidační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Rozpočtová skladba definuje ještě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konsolidační členění </w:t>
      </w:r>
      <w:r w:rsidRPr="003D60E6">
        <w:rPr>
          <w:rFonts w:asciiTheme="minorHAnsi" w:hAnsiTheme="minorHAnsi"/>
          <w:sz w:val="22"/>
          <w:szCs w:val="22"/>
        </w:rPr>
        <w:t>(§ 2 odst. 5 vyhlášky č. 23/2002 Sb.,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rozpočtové skladbě). I toto členění je pro obce povinné. Toto členění používá třímístný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kód, </w:t>
      </w:r>
      <w:r w:rsidRPr="003D60E6">
        <w:rPr>
          <w:rFonts w:asciiTheme="minorHAnsi" w:hAnsiTheme="minorHAnsi"/>
          <w:b/>
          <w:bCs/>
          <w:sz w:val="22"/>
          <w:szCs w:val="22"/>
        </w:rPr>
        <w:t>záznamovou jednotku</w:t>
      </w:r>
      <w:r w:rsidRPr="003D60E6">
        <w:rPr>
          <w:rFonts w:asciiTheme="minorHAnsi" w:hAnsiTheme="minorHAnsi"/>
          <w:sz w:val="22"/>
          <w:szCs w:val="22"/>
        </w:rPr>
        <w:t>, kterou se klasifikují peněžní operace pro potřeby konsolidace.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Toto členění poskytuje potřebné informace o převodech prostředků uvnitř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rozpočtů, které druhové ani jiné třídění rozpočtové skladby neposkytuje. Na základě těchto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informací je potom možné vyloučit převody uvnitř organizační jednotky, za kterou se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sestavuje výkaz o plnění veřejných rozpočtů.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66D2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Například pokud se sestavuje výkaz za krajskou úroveň veřejných rozpočtů, můžeme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pomocí konsolidačního členění vyloučit převody prostředků mezi jednotlivými obcemi</w:t>
      </w:r>
      <w:r w:rsidR="00A66D27" w:rsidRPr="003D60E6">
        <w:rPr>
          <w:rFonts w:asciiTheme="minorHAnsi" w:hAnsiTheme="minorHAnsi"/>
          <w:sz w:val="22"/>
          <w:szCs w:val="22"/>
        </w:rPr>
        <w:t xml:space="preserve"> uvnitř kraje, neboť</w:t>
      </w:r>
      <w:r w:rsidRPr="003D60E6">
        <w:rPr>
          <w:rFonts w:asciiTheme="minorHAnsi" w:hAnsiTheme="minorHAnsi"/>
          <w:sz w:val="22"/>
          <w:szCs w:val="22"/>
        </w:rPr>
        <w:t xml:space="preserve"> se nejedná o faktický výdaj veřejných prostředků a faktický příjem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veřejných prostředků, ale pouze o jejich přesun uvnitř kraje. Konsolidace sumáře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 na úrovni kraje se tedy provádí snížení jeho příjmů, výdajů a financování právě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tyto převody. Konsolidace se provádí i u obecních či </w:t>
      </w:r>
      <w:r w:rsidRPr="003D60E6">
        <w:rPr>
          <w:rFonts w:asciiTheme="minorHAnsi" w:hAnsiTheme="minorHAnsi"/>
          <w:sz w:val="22"/>
          <w:szCs w:val="22"/>
        </w:rPr>
        <w:lastRenderedPageBreak/>
        <w:t>krajských rozpočtů, kdy se z</w:t>
      </w:r>
      <w:r w:rsidR="00A66D27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výkazu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 ÚSC vylučují převody mezi jednotlivými bankovními účty, které musí být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klasifikovány rozpočtovou skladbou, protože u jednoho účtu se jedná o výdaj a u druhého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příjem, ale fakticky ÚSC prostředky ani nevydal, ani nepřijal. Jedná se o konsolidaci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příjmů a výdajů za danou rozpočtovou jednotku (obec, kraj). Pro potřeby konsolidace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úrovni obce či kraje se však využívá pro tyto účely určených položek druhového členění.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Jaké položky a záznamové jednotky se konsolidují na úrovni vykazující jednotky, okresu a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kraje stanoví příloha č. 6 k vyhlášce č. 535/2002 Sb., která novelizovala vyhlášku č. 16/2001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Sb., o způsobu, termínech a rozsahu údajů předkládaných pro hodnocení plnění státního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5C394E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rozpočtů státních fondů a rozpočtů ÚSC. Konsolidace se neprovádí průběžně,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ale při sumarizaci peněžních operací za určité období, zpravidla při sestavování výkazu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Nyní si vezměte Vyhlášku č. 323/2002 Sb., o rozpočtové skladbě a v její příloze - části D. si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najděte jednotlivé záznamové jednotky a promyslete jejich obsah.</w:t>
      </w:r>
    </w:p>
    <w:p w:rsidR="007013EF" w:rsidRPr="003D60E6" w:rsidRDefault="007013E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FE4A2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Obec i kraj mohou mít zřízeno více bankovních účtů. Přes</w:t>
      </w:r>
      <w:r w:rsidR="00012F58" w:rsidRPr="003D60E6">
        <w:rPr>
          <w:rFonts w:asciiTheme="minorHAnsi" w:hAnsiTheme="minorHAnsi"/>
          <w:sz w:val="22"/>
          <w:szCs w:val="22"/>
        </w:rPr>
        <w:t>uny prostředků mezi těmito účty</w:t>
      </w:r>
      <w:r w:rsidRPr="003D60E6">
        <w:rPr>
          <w:rFonts w:asciiTheme="minorHAnsi" w:hAnsiTheme="minorHAnsi"/>
          <w:sz w:val="22"/>
          <w:szCs w:val="22"/>
        </w:rPr>
        <w:t xml:space="preserve"> budou klasifikovány rozpočtovou skladbou. Takže když obec bude posílat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prostředky </w:t>
      </w:r>
      <w:r w:rsidR="00012F58" w:rsidRPr="003D60E6">
        <w:rPr>
          <w:rFonts w:asciiTheme="minorHAnsi" w:hAnsiTheme="minorHAnsi"/>
          <w:sz w:val="22"/>
          <w:szCs w:val="22"/>
        </w:rPr>
        <w:t xml:space="preserve">jednoho </w:t>
      </w:r>
      <w:r w:rsidRPr="003D60E6">
        <w:rPr>
          <w:rFonts w:asciiTheme="minorHAnsi" w:hAnsiTheme="minorHAnsi"/>
          <w:sz w:val="22"/>
          <w:szCs w:val="22"/>
        </w:rPr>
        <w:t xml:space="preserve">běžného účtu na </w:t>
      </w:r>
      <w:r w:rsidR="00012F58" w:rsidRPr="003D60E6">
        <w:rPr>
          <w:rFonts w:asciiTheme="minorHAnsi" w:hAnsiTheme="minorHAnsi"/>
          <w:sz w:val="22"/>
          <w:szCs w:val="22"/>
        </w:rPr>
        <w:t>druhý</w:t>
      </w:r>
      <w:r w:rsidRPr="003D60E6">
        <w:rPr>
          <w:rFonts w:asciiTheme="minorHAnsi" w:hAnsiTheme="minorHAnsi"/>
          <w:sz w:val="22"/>
          <w:szCs w:val="22"/>
        </w:rPr>
        <w:t xml:space="preserve">, bude se jednat o výdaj u </w:t>
      </w:r>
      <w:r w:rsidR="00012F58" w:rsidRPr="003D60E6">
        <w:rPr>
          <w:rFonts w:asciiTheme="minorHAnsi" w:hAnsiTheme="minorHAnsi"/>
          <w:sz w:val="22"/>
          <w:szCs w:val="22"/>
        </w:rPr>
        <w:t>prvního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běžného účtu a příjem u </w:t>
      </w:r>
      <w:r w:rsidR="00012F58" w:rsidRPr="003D60E6">
        <w:rPr>
          <w:rFonts w:asciiTheme="minorHAnsi" w:hAnsiTheme="minorHAnsi"/>
          <w:sz w:val="22"/>
          <w:szCs w:val="22"/>
        </w:rPr>
        <w:t>druhého</w:t>
      </w:r>
      <w:r w:rsidRPr="003D60E6">
        <w:rPr>
          <w:rFonts w:asciiTheme="minorHAnsi" w:hAnsiTheme="minorHAnsi"/>
          <w:sz w:val="22"/>
          <w:szCs w:val="22"/>
        </w:rPr>
        <w:t xml:space="preserve"> účtu</w:t>
      </w:r>
      <w:r w:rsidR="00012F58" w:rsidRPr="003D60E6">
        <w:rPr>
          <w:rFonts w:asciiTheme="minorHAnsi" w:hAnsiTheme="minorHAnsi"/>
          <w:sz w:val="22"/>
          <w:szCs w:val="22"/>
        </w:rPr>
        <w:t>. Tyto operace by však zvyšovaly</w:t>
      </w:r>
      <w:r w:rsidRPr="003D60E6">
        <w:rPr>
          <w:rFonts w:asciiTheme="minorHAnsi" w:hAnsiTheme="minorHAnsi"/>
          <w:sz w:val="22"/>
          <w:szCs w:val="22"/>
        </w:rPr>
        <w:t xml:space="preserve"> příjmy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i když se jedná o přesuny prostředků uvnitř rozpočtové jednotky. Budou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podléhat konsolidaci. V tomto případě bude konsolidace ve stejné výši na straně příjmů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výdajů. Konsolidace se může vztahovat i na financující operace. Např. v případě krajského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sumáře veřejných rozpočtů, kdy se budou ze sumáře vylučovat půjčky např. kraje obcím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jejich splátky.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proofErr w:type="gramStart"/>
      <w:r w:rsidRPr="003D60E6">
        <w:rPr>
          <w:rFonts w:asciiTheme="minorHAnsi" w:hAnsiTheme="minorHAnsi"/>
          <w:b/>
          <w:bCs/>
        </w:rPr>
        <w:t>II.3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Interpretace</w:t>
      </w:r>
      <w:proofErr w:type="gramEnd"/>
      <w:r w:rsidR="00816D91" w:rsidRPr="003D60E6">
        <w:rPr>
          <w:rFonts w:asciiTheme="minorHAnsi" w:hAnsiTheme="minorHAnsi"/>
          <w:b/>
          <w:bCs/>
        </w:rPr>
        <w:t xml:space="preserve"> výsledku</w:t>
      </w:r>
      <w:r w:rsidR="005A0C9D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rozpočtového hospodaření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bylo již výše uvedeno, obsah financování jako jedné ze základních kategorií rozpočtu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ÚSC vypovídá o tom, jakým způsobem lze pohlížet na výsledek hospodaření,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přebytkový nebo deficitní rozpočet ÚSC.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hodnocení výsledku rozpočtového hospodaření někdy dochází k mytizaci a mylné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interpretaci schodku či přebytku rozpočtového hospodaření. </w:t>
      </w:r>
      <w:r w:rsidRPr="003D60E6">
        <w:rPr>
          <w:rFonts w:asciiTheme="minorHAnsi" w:hAnsiTheme="minorHAnsi"/>
          <w:b/>
          <w:bCs/>
          <w:sz w:val="22"/>
          <w:szCs w:val="22"/>
        </w:rPr>
        <w:t>Rozpočtové hospodaření obce</w:t>
      </w:r>
      <w:r w:rsidR="005A0C9D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může skončit buď jako </w:t>
      </w:r>
      <w:r w:rsidRPr="003D60E6">
        <w:rPr>
          <w:rFonts w:asciiTheme="minorHAnsi" w:hAnsiTheme="minorHAnsi"/>
          <w:b/>
          <w:bCs/>
          <w:sz w:val="22"/>
          <w:szCs w:val="22"/>
        </w:rPr>
        <w:t>vyrovnané</w:t>
      </w:r>
      <w:r w:rsidRPr="003D60E6">
        <w:rPr>
          <w:rFonts w:asciiTheme="minorHAnsi" w:hAnsiTheme="minorHAnsi"/>
          <w:sz w:val="22"/>
          <w:szCs w:val="22"/>
        </w:rPr>
        <w:t>, v tomto případě se příjmy rovnají výdajům a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je výsledně nulové, nebo </w:t>
      </w:r>
      <w:r w:rsidRPr="003D60E6">
        <w:rPr>
          <w:rFonts w:asciiTheme="minorHAnsi" w:hAnsiTheme="minorHAnsi"/>
          <w:b/>
          <w:bCs/>
          <w:sz w:val="22"/>
          <w:szCs w:val="22"/>
        </w:rPr>
        <w:t>přebytkové</w:t>
      </w:r>
      <w:r w:rsidRPr="003D60E6">
        <w:rPr>
          <w:rFonts w:asciiTheme="minorHAnsi" w:hAnsiTheme="minorHAnsi"/>
          <w:sz w:val="22"/>
          <w:szCs w:val="22"/>
        </w:rPr>
        <w:t>, kdy příjmy jsou v daném roce vyšší než rozpočtové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výdaje a financování rozpočtu je tedy záporné, a konečně jako </w:t>
      </w:r>
      <w:r w:rsidRPr="003D60E6">
        <w:rPr>
          <w:rFonts w:asciiTheme="minorHAnsi" w:hAnsiTheme="minorHAnsi"/>
          <w:b/>
          <w:bCs/>
          <w:sz w:val="22"/>
          <w:szCs w:val="22"/>
        </w:rPr>
        <w:t>deficitní</w:t>
      </w:r>
      <w:r w:rsidRPr="003D60E6">
        <w:rPr>
          <w:rFonts w:asciiTheme="minorHAnsi" w:hAnsiTheme="minorHAnsi"/>
          <w:sz w:val="22"/>
          <w:szCs w:val="22"/>
        </w:rPr>
        <w:t>, kdy výdaje jsou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daném rozpočtovém roce vyšší než příjmy a financující operace jsou tedy kladné.</w:t>
      </w:r>
      <w:r w:rsidR="002A648C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Uvedené skutečnosti vyplývají z již dříve zmíněné základní rovnice rozpočtu.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Bez dalších informací však nelze říci, že přebytkový rozpočet je jevem pozitivním a deficitní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nelze hodnotit z hlediska hospodaření obce jako negativní. To, z čeho můžeme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více zjistit o finanční situaci obce, je ukryto právě v obsahu osmé třídy rozpočtových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 - tedy ve financování. Často je třeba doplnit informace obsažené v rozpočtu ještě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dalšími informacemi, např. z účetnictví obce, o výši závazku, účelu přijetí závazku,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splátek, době trvání závazku, úročení závazku apod.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 případě přebytkového rozpočtu nám charakter financujících operací říká, zda byl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přebytek rozpočtu vytvořen, protože došlo k úsporám rozpočtových prostředků a obci se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tedy zvýšily prostředky na jejích bankovních účtech, případně uložené v jiné formě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výnosnějších aktiv než jsou peníze na běžném účtu. Obec však může být k</w:t>
      </w:r>
      <w:r w:rsidR="005A0C9D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vytvoření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</w:t>
      </w:r>
      <w:r w:rsidR="005A0C9D" w:rsidRPr="003D60E6">
        <w:rPr>
          <w:rFonts w:asciiTheme="minorHAnsi" w:hAnsiTheme="minorHAnsi"/>
          <w:sz w:val="22"/>
          <w:szCs w:val="22"/>
        </w:rPr>
        <w:t>čtového přebytku donucena, neboť</w:t>
      </w:r>
      <w:r w:rsidRPr="003D60E6">
        <w:rPr>
          <w:rFonts w:asciiTheme="minorHAnsi" w:hAnsiTheme="minorHAnsi"/>
          <w:sz w:val="22"/>
          <w:szCs w:val="22"/>
        </w:rPr>
        <w:t xml:space="preserve"> v daném roce musí splatit závazky přijaté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minulosti. Protože nemá na svých bankovních účtech naspořené prostředky pro realizaci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splátky těchto závazků, musí v dan</w:t>
      </w:r>
      <w:r w:rsidR="00012F58" w:rsidRPr="003D60E6">
        <w:rPr>
          <w:rFonts w:asciiTheme="minorHAnsi" w:hAnsiTheme="minorHAnsi"/>
          <w:sz w:val="22"/>
          <w:szCs w:val="22"/>
        </w:rPr>
        <w:t>ém roce hospodařit s přebytkovým</w:t>
      </w:r>
      <w:r w:rsidRPr="003D60E6">
        <w:rPr>
          <w:rFonts w:asciiTheme="minorHAnsi" w:hAnsiTheme="minorHAnsi"/>
          <w:sz w:val="22"/>
          <w:szCs w:val="22"/>
        </w:rPr>
        <w:t xml:space="preserve"> rozpočtem. Tím, že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uspoří např. na straně kapitálových výdajů, umožní jí to prostředky na splacení závazků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získat. Může se jednat o splátku úvěru, emitovaných obligací či jiné půjčky. Informaci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zda obec splácí přijaté závazky, nalezneme opět v kategorii financování. Bez bližší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analýzy financujících operací tedy nelze přebytkový rozpočet jakkoli hodnotit.</w:t>
      </w:r>
    </w:p>
    <w:p w:rsidR="00012F58" w:rsidRPr="003D60E6" w:rsidRDefault="00012F5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1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Obce A </w:t>
      </w:r>
      <w:proofErr w:type="spellStart"/>
      <w:r w:rsidRPr="003D60E6">
        <w:rPr>
          <w:rFonts w:asciiTheme="minorHAnsi" w:hAnsiTheme="minorHAnsi"/>
          <w:sz w:val="22"/>
          <w:szCs w:val="22"/>
        </w:rPr>
        <w:t>a</w:t>
      </w:r>
      <w:proofErr w:type="spellEnd"/>
      <w:r w:rsidRPr="003D60E6">
        <w:rPr>
          <w:rFonts w:asciiTheme="minorHAnsi" w:hAnsiTheme="minorHAnsi"/>
          <w:sz w:val="22"/>
          <w:szCs w:val="22"/>
        </w:rPr>
        <w:t xml:space="preserve"> B hospodaří obě s rozpočtem, kde příjmy jsou ve výši 6 000 000 Kč výdaje ve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4 000 000 Kč. Obě tedy vytváří přebytek 2 000 000 Kč. Obec A má v kategorii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položku 8128 (1 200 000 Kč) a 8115 (800 000 Kč) a obec B položku 8124 (2 000 000 Kč).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Jaký je rozdíl mezi dosaženými přebytky rozpočtu?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 xml:space="preserve">Přebytek obce A znamená, že obec tyto prostředky uspořila 1 200 000 Kč </w:t>
      </w:r>
      <w:r w:rsidR="00012F58" w:rsidRPr="003D60E6">
        <w:rPr>
          <w:rFonts w:asciiTheme="minorHAnsi" w:hAnsiTheme="minorHAnsi"/>
          <w:i/>
          <w:sz w:val="22"/>
          <w:szCs w:val="22"/>
        </w:rPr>
        <w:t xml:space="preserve">a </w:t>
      </w:r>
      <w:r w:rsidRPr="003D60E6">
        <w:rPr>
          <w:rFonts w:asciiTheme="minorHAnsi" w:hAnsiTheme="minorHAnsi"/>
          <w:i/>
          <w:sz w:val="22"/>
          <w:szCs w:val="22"/>
        </w:rPr>
        <w:t>použila na nákup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likvidnějších forem aktiv, než jsou peníze na bankovním účtu. Dalších 800 000 Kč si pak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ponechala na svém bankovním účtu. Naopak přebytek obce B Slouží ke splácení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dlouhodobé přijaté půjčky. Obec tento přebytek v rozpočtu vytváří právě proto, že půjčku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splácí.</w:t>
      </w:r>
      <w:r w:rsidR="005C394E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Stejně tak není možné bez podrobnější analýzy jakkoli 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dnotit deficitní rozpočet, neboť </w:t>
      </w:r>
      <w:r w:rsidRPr="003D60E6">
        <w:rPr>
          <w:rFonts w:asciiTheme="minorHAnsi" w:hAnsiTheme="minorHAnsi"/>
          <w:i/>
          <w:sz w:val="22"/>
          <w:szCs w:val="22"/>
        </w:rPr>
        <w:t>existují dva základní způsoby, jak může být deficitní rozpočet financován. To, že obec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daném roce hospodaří s deficitním rozpočtem, může znamenat, že realizuje rozsáhlou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investiční akci, na jejíž realizaci v minulosti spořila finanční prostředky, které v tomto roce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použije. Deficit je tedy financován pomocí jejích zdrojů a obec se nikterak nezadlužuje.</w:t>
      </w:r>
      <w:r w:rsidR="002A648C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Na druhou stranu může být deficit financován pomocí přijatých cizích prostředků. Zde je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spojenými s přijetím a existencí závazku a schopností obce daný závazek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splatit.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2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Obce A </w:t>
      </w:r>
      <w:proofErr w:type="spellStart"/>
      <w:r w:rsidRPr="003D60E6">
        <w:rPr>
          <w:rFonts w:asciiTheme="minorHAnsi" w:hAnsiTheme="minorHAnsi"/>
          <w:sz w:val="22"/>
          <w:szCs w:val="22"/>
        </w:rPr>
        <w:t>a</w:t>
      </w:r>
      <w:proofErr w:type="spellEnd"/>
      <w:r w:rsidRPr="003D60E6">
        <w:rPr>
          <w:rFonts w:asciiTheme="minorHAnsi" w:hAnsiTheme="minorHAnsi"/>
          <w:sz w:val="22"/>
          <w:szCs w:val="22"/>
        </w:rPr>
        <w:t xml:space="preserve"> B hospodaří obě s rozpočtem, kde příjmy jsou ve výši 5 000 000 Kč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výši 6 300 000 Kč. Jejich rozpočet tedy vykazuje deficit 1 300 000 Kč. Obec A má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financujících operacích položku 8115 (1 300 000 Kč) a obec B má ve financujících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operacích položky 8123 (1 000 000 Kč) a 8117 (200 000 Kč). Jaký je rozdíl v povaze obou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deficitů?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012F58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>Obec A kryje svůj deficit prostředky ze svého bankovního účtu (vytvořenými z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minulých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přebytků). I když je její rozpočet deficitní, nebere na sebe žádný závazek do budoucnosti.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 xml:space="preserve">Obec </w:t>
      </w:r>
      <w:r w:rsidR="005C394E" w:rsidRPr="003D60E6">
        <w:rPr>
          <w:rFonts w:asciiTheme="minorHAnsi" w:hAnsiTheme="minorHAnsi"/>
          <w:i/>
          <w:sz w:val="22"/>
          <w:szCs w:val="22"/>
        </w:rPr>
        <w:t>B kryje část svého deficitu (200</w:t>
      </w:r>
      <w:r w:rsidRPr="003D60E6">
        <w:rPr>
          <w:rFonts w:asciiTheme="minorHAnsi" w:hAnsiTheme="minorHAnsi"/>
          <w:i/>
          <w:sz w:val="22"/>
          <w:szCs w:val="22"/>
        </w:rPr>
        <w:t>000 Kč) prodejem likvidních aktiv, které měla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držení, na pokrytí další části deficitu (1 000 000 Kč) si půjčuje dlouhodobé prostředky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(např. přijala dlouhodobý úvěr v bance). S touto operací je již spjat závazek budoucího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splácení přijaté půjčky, náklady půjčky a určité riziko, zda obec bude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schopna svým závazkům dostát.</w:t>
      </w:r>
    </w:p>
    <w:p w:rsidR="00836387" w:rsidRDefault="00836387" w:rsidP="00084A6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</w:p>
    <w:p w:rsidR="00836387" w:rsidRDefault="00836387">
      <w:pPr>
        <w:rPr>
          <w:rFonts w:ascii="Arial" w:hAnsi="Arial" w:cs="Arial"/>
          <w:b/>
          <w:bCs/>
          <w:color w:val="0044D2"/>
          <w:kern w:val="32"/>
          <w:sz w:val="32"/>
          <w:szCs w:val="32"/>
        </w:rPr>
      </w:pPr>
      <w:bookmarkStart w:id="1" w:name="_Toc385268427"/>
      <w:bookmarkStart w:id="2" w:name="_Toc385507272"/>
      <w:r>
        <w:rPr>
          <w:color w:val="0044D2"/>
        </w:rPr>
        <w:br w:type="page"/>
      </w:r>
    </w:p>
    <w:p w:rsidR="00836387" w:rsidRDefault="00836387" w:rsidP="00836387">
      <w:pPr>
        <w:pStyle w:val="Nadpis1"/>
        <w:jc w:val="both"/>
        <w:rPr>
          <w:color w:val="0044D2"/>
        </w:rPr>
      </w:pPr>
      <w:r>
        <w:rPr>
          <w:color w:val="0044D2"/>
        </w:rPr>
        <w:lastRenderedPageBreak/>
        <w:t>P</w:t>
      </w:r>
      <w:r w:rsidRPr="00F1574F">
        <w:rPr>
          <w:color w:val="0044D2"/>
        </w:rPr>
        <w:t>říklad</w:t>
      </w:r>
      <w:r>
        <w:rPr>
          <w:color w:val="0044D2"/>
        </w:rPr>
        <w:t xml:space="preserve"> NA ROZPOČTOVOU SKLADBU</w:t>
      </w:r>
    </w:p>
    <w:p w:rsidR="00836387" w:rsidRPr="00225A97" w:rsidRDefault="00836387" w:rsidP="00836387"/>
    <w:tbl>
      <w:tblPr>
        <w:tblStyle w:val="Mkatabulky"/>
        <w:tblW w:w="9482" w:type="dxa"/>
        <w:tblInd w:w="108" w:type="dxa"/>
        <w:tblLayout w:type="fixed"/>
        <w:tblLook w:val="0000"/>
      </w:tblPr>
      <w:tblGrid>
        <w:gridCol w:w="567"/>
        <w:gridCol w:w="6379"/>
        <w:gridCol w:w="1268"/>
        <w:gridCol w:w="1268"/>
      </w:tblGrid>
      <w:tr w:rsidR="00836387" w:rsidRPr="00F1574F" w:rsidTr="00836387">
        <w:trPr>
          <w:trHeight w:val="255"/>
        </w:trPr>
        <w:tc>
          <w:tcPr>
            <w:tcW w:w="567" w:type="dxa"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379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proofErr w:type="spellStart"/>
            <w:r w:rsidRPr="001C1198">
              <w:t>pol</w:t>
            </w:r>
            <w:proofErr w:type="spellEnd"/>
            <w:r w:rsidRPr="001C1198">
              <w:t>.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836387" w:rsidRDefault="00836387" w:rsidP="00836387"/>
    <w:p w:rsidR="00836387" w:rsidRDefault="00836387">
      <w:pPr>
        <w:rPr>
          <w:rFonts w:ascii="Arial" w:hAnsi="Arial" w:cs="Arial"/>
          <w:b/>
          <w:bCs/>
          <w:color w:val="0044D2"/>
          <w:kern w:val="32"/>
          <w:sz w:val="32"/>
          <w:szCs w:val="32"/>
        </w:rPr>
      </w:pPr>
      <w:r>
        <w:rPr>
          <w:color w:val="0044D2"/>
        </w:rPr>
        <w:br w:type="page"/>
      </w:r>
    </w:p>
    <w:p w:rsidR="00836387" w:rsidRDefault="00836387" w:rsidP="00836387">
      <w:pPr>
        <w:pStyle w:val="Nadpis1"/>
        <w:ind w:left="432" w:hanging="432"/>
        <w:jc w:val="both"/>
        <w:rPr>
          <w:color w:val="0044D2"/>
        </w:rPr>
      </w:pPr>
      <w:r w:rsidRPr="00F1574F">
        <w:rPr>
          <w:color w:val="0044D2"/>
        </w:rPr>
        <w:lastRenderedPageBreak/>
        <w:t>Řešení příklad</w:t>
      </w:r>
      <w:bookmarkEnd w:id="1"/>
      <w:bookmarkEnd w:id="2"/>
      <w:r>
        <w:rPr>
          <w:color w:val="0044D2"/>
        </w:rPr>
        <w:t>u NA ROZPOČTOVOU SKLADBU</w:t>
      </w:r>
    </w:p>
    <w:p w:rsidR="00836387" w:rsidRPr="00225A97" w:rsidRDefault="00836387" w:rsidP="00836387"/>
    <w:tbl>
      <w:tblPr>
        <w:tblStyle w:val="Mkatabulky"/>
        <w:tblW w:w="9482" w:type="dxa"/>
        <w:tblInd w:w="108" w:type="dxa"/>
        <w:tblLayout w:type="fixed"/>
        <w:tblLook w:val="0000"/>
      </w:tblPr>
      <w:tblGrid>
        <w:gridCol w:w="567"/>
        <w:gridCol w:w="6379"/>
        <w:gridCol w:w="1268"/>
        <w:gridCol w:w="1268"/>
      </w:tblGrid>
      <w:tr w:rsidR="00836387" w:rsidRPr="00F1574F" w:rsidTr="00836387">
        <w:trPr>
          <w:trHeight w:val="255"/>
        </w:trPr>
        <w:tc>
          <w:tcPr>
            <w:tcW w:w="567" w:type="dxa"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379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proofErr w:type="spellStart"/>
            <w:r w:rsidRPr="001C1198">
              <w:t>pol</w:t>
            </w:r>
            <w:proofErr w:type="spellEnd"/>
            <w:r w:rsidRPr="001C1198">
              <w:t>.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1113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5167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6171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1340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1361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4122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6310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5169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3722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5156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3745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5136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3314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4131</w:t>
            </w:r>
          </w:p>
        </w:tc>
        <w:tc>
          <w:tcPr>
            <w:tcW w:w="1268" w:type="dxa"/>
            <w:noWrap/>
          </w:tcPr>
          <w:p w:rsidR="00836387" w:rsidRPr="00F1574F" w:rsidRDefault="00836387" w:rsidP="00A93825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  <w:r w:rsidR="00A93825">
              <w:rPr>
                <w:rFonts w:ascii="Arial" w:hAnsi="Arial" w:cs="Arial"/>
                <w:i/>
                <w:sz w:val="18"/>
                <w:szCs w:val="20"/>
              </w:rPr>
              <w:t>6330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2132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5193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2221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2460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5331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4350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3112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3612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5171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2219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5660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4341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5011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5311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6123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5512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4112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</w:tbl>
    <w:p w:rsidR="00836387" w:rsidRDefault="00836387" w:rsidP="00836387"/>
    <w:p w:rsidR="00836387" w:rsidRPr="003D60E6" w:rsidRDefault="0083638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836387" w:rsidRPr="003D60E6" w:rsidSect="00012F58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53" w:rsidRDefault="000D4B53">
      <w:r>
        <w:separator/>
      </w:r>
    </w:p>
  </w:endnote>
  <w:endnote w:type="continuationSeparator" w:id="0">
    <w:p w:rsidR="000D4B53" w:rsidRDefault="000D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23" w:rsidRDefault="00F10F89" w:rsidP="00C415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E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1E23" w:rsidRDefault="00981E23" w:rsidP="009E6B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23" w:rsidRPr="004C6199" w:rsidRDefault="00F10F89" w:rsidP="00C415F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4C6199">
      <w:rPr>
        <w:rStyle w:val="slostrnky"/>
        <w:sz w:val="20"/>
        <w:szCs w:val="20"/>
      </w:rPr>
      <w:fldChar w:fldCharType="begin"/>
    </w:r>
    <w:r w:rsidR="00981E23" w:rsidRPr="004C6199">
      <w:rPr>
        <w:rStyle w:val="slostrnky"/>
        <w:sz w:val="20"/>
        <w:szCs w:val="20"/>
      </w:rPr>
      <w:instrText xml:space="preserve">PAGE  </w:instrText>
    </w:r>
    <w:r w:rsidRPr="004C6199">
      <w:rPr>
        <w:rStyle w:val="slostrnky"/>
        <w:sz w:val="20"/>
        <w:szCs w:val="20"/>
      </w:rPr>
      <w:fldChar w:fldCharType="separate"/>
    </w:r>
    <w:r w:rsidR="00A93825">
      <w:rPr>
        <w:rStyle w:val="slostrnky"/>
        <w:noProof/>
        <w:sz w:val="20"/>
        <w:szCs w:val="20"/>
      </w:rPr>
      <w:t>10</w:t>
    </w:r>
    <w:r w:rsidRPr="004C6199">
      <w:rPr>
        <w:rStyle w:val="slostrnky"/>
        <w:sz w:val="20"/>
        <w:szCs w:val="20"/>
      </w:rPr>
      <w:fldChar w:fldCharType="end"/>
    </w:r>
  </w:p>
  <w:p w:rsidR="00981E23" w:rsidRPr="004C6199" w:rsidRDefault="00981E23" w:rsidP="007013EF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53" w:rsidRDefault="000D4B53">
      <w:r>
        <w:separator/>
      </w:r>
    </w:p>
  </w:footnote>
  <w:footnote w:type="continuationSeparator" w:id="0">
    <w:p w:rsidR="000D4B53" w:rsidRDefault="000D4B53">
      <w:r>
        <w:continuationSeparator/>
      </w:r>
    </w:p>
  </w:footnote>
  <w:footnote w:id="1">
    <w:p w:rsidR="00981E23" w:rsidRPr="00706767" w:rsidRDefault="00981E23" w:rsidP="0070676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6767">
        <w:rPr>
          <w:rStyle w:val="Znakapoznpodarou"/>
          <w:sz w:val="20"/>
          <w:szCs w:val="20"/>
        </w:rPr>
        <w:footnoteRef/>
      </w:r>
      <w:r w:rsidRPr="00706767">
        <w:rPr>
          <w:sz w:val="20"/>
          <w:szCs w:val="20"/>
        </w:rPr>
        <w:t xml:space="preserve"> Řešení: a) 8123 (+); b) 8118 (-); c) 8122 (-); d) 8217 (+); e) 8114 (-); f) 8128 (-); g) 8224 (-)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23" w:rsidRPr="00B463BF" w:rsidRDefault="00B463BF" w:rsidP="00B463BF">
    <w:pPr>
      <w:jc w:val="center"/>
      <w:rPr>
        <w:sz w:val="20"/>
        <w:szCs w:val="20"/>
      </w:rPr>
    </w:pPr>
    <w:r w:rsidRPr="00B463BF">
      <w:rPr>
        <w:b/>
        <w:sz w:val="20"/>
        <w:szCs w:val="20"/>
      </w:rPr>
      <w:t xml:space="preserve">Účetnictví a rozbory ve veřejném sektoru - </w:t>
    </w:r>
    <w:r w:rsidRPr="00B463BF">
      <w:rPr>
        <w:sz w:val="20"/>
        <w:szCs w:val="20"/>
      </w:rPr>
      <w:t>studijní podklady k</w:t>
    </w:r>
    <w:r w:rsidR="00981E23" w:rsidRPr="00B463BF">
      <w:rPr>
        <w:sz w:val="20"/>
        <w:szCs w:val="20"/>
      </w:rPr>
      <w:t> přednášce.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083"/>
    <w:multiLevelType w:val="hybridMultilevel"/>
    <w:tmpl w:val="F836D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5207"/>
    <w:multiLevelType w:val="hybridMultilevel"/>
    <w:tmpl w:val="68947A26"/>
    <w:lvl w:ilvl="0" w:tplc="99BAE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51701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1117C6"/>
    <w:multiLevelType w:val="hybridMultilevel"/>
    <w:tmpl w:val="2436B6FC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357D5"/>
    <w:multiLevelType w:val="hybridMultilevel"/>
    <w:tmpl w:val="D2489CD0"/>
    <w:lvl w:ilvl="0" w:tplc="C592E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0443C"/>
    <w:multiLevelType w:val="hybridMultilevel"/>
    <w:tmpl w:val="CD04B690"/>
    <w:lvl w:ilvl="0" w:tplc="3AE00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1822EE">
      <w:start w:val="130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4B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50F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083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1A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2F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4E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6B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CA30965"/>
    <w:multiLevelType w:val="hybridMultilevel"/>
    <w:tmpl w:val="3E0A8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07A78"/>
    <w:multiLevelType w:val="hybridMultilevel"/>
    <w:tmpl w:val="93FE1B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148D9"/>
    <w:multiLevelType w:val="hybridMultilevel"/>
    <w:tmpl w:val="EDC2E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604EF"/>
    <w:multiLevelType w:val="hybridMultilevel"/>
    <w:tmpl w:val="E7AC757C"/>
    <w:lvl w:ilvl="0" w:tplc="2A2AD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40FA5"/>
    <w:multiLevelType w:val="hybridMultilevel"/>
    <w:tmpl w:val="AD54DD3E"/>
    <w:lvl w:ilvl="0" w:tplc="9A68FD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7620500"/>
    <w:multiLevelType w:val="multilevel"/>
    <w:tmpl w:val="09F8E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8476920"/>
    <w:multiLevelType w:val="hybridMultilevel"/>
    <w:tmpl w:val="F68C05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0AE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033F2"/>
    <w:multiLevelType w:val="hybridMultilevel"/>
    <w:tmpl w:val="70DE6CBE"/>
    <w:lvl w:ilvl="0" w:tplc="03868A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73A7D"/>
    <w:multiLevelType w:val="hybridMultilevel"/>
    <w:tmpl w:val="60029C86"/>
    <w:lvl w:ilvl="0" w:tplc="6054CA6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805F2E">
      <w:numFmt w:val="none"/>
      <w:lvlText w:val=""/>
      <w:lvlJc w:val="left"/>
      <w:pPr>
        <w:tabs>
          <w:tab w:val="num" w:pos="360"/>
        </w:tabs>
      </w:pPr>
    </w:lvl>
    <w:lvl w:ilvl="2" w:tplc="E960CD06">
      <w:numFmt w:val="none"/>
      <w:lvlText w:val=""/>
      <w:lvlJc w:val="left"/>
      <w:pPr>
        <w:tabs>
          <w:tab w:val="num" w:pos="360"/>
        </w:tabs>
      </w:pPr>
    </w:lvl>
    <w:lvl w:ilvl="3" w:tplc="D40C5AF8">
      <w:numFmt w:val="none"/>
      <w:lvlText w:val=""/>
      <w:lvlJc w:val="left"/>
      <w:pPr>
        <w:tabs>
          <w:tab w:val="num" w:pos="360"/>
        </w:tabs>
      </w:pPr>
    </w:lvl>
    <w:lvl w:ilvl="4" w:tplc="63ECEF2C">
      <w:numFmt w:val="none"/>
      <w:lvlText w:val=""/>
      <w:lvlJc w:val="left"/>
      <w:pPr>
        <w:tabs>
          <w:tab w:val="num" w:pos="360"/>
        </w:tabs>
      </w:pPr>
    </w:lvl>
    <w:lvl w:ilvl="5" w:tplc="11C29B94">
      <w:numFmt w:val="none"/>
      <w:lvlText w:val=""/>
      <w:lvlJc w:val="left"/>
      <w:pPr>
        <w:tabs>
          <w:tab w:val="num" w:pos="360"/>
        </w:tabs>
      </w:pPr>
    </w:lvl>
    <w:lvl w:ilvl="6" w:tplc="FC087964">
      <w:numFmt w:val="none"/>
      <w:lvlText w:val=""/>
      <w:lvlJc w:val="left"/>
      <w:pPr>
        <w:tabs>
          <w:tab w:val="num" w:pos="360"/>
        </w:tabs>
      </w:pPr>
    </w:lvl>
    <w:lvl w:ilvl="7" w:tplc="8C3431CE">
      <w:numFmt w:val="none"/>
      <w:lvlText w:val=""/>
      <w:lvlJc w:val="left"/>
      <w:pPr>
        <w:tabs>
          <w:tab w:val="num" w:pos="360"/>
        </w:tabs>
      </w:pPr>
    </w:lvl>
    <w:lvl w:ilvl="8" w:tplc="FC1EB39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D095EB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F6578EF"/>
    <w:multiLevelType w:val="hybridMultilevel"/>
    <w:tmpl w:val="7FEC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324A4"/>
    <w:multiLevelType w:val="hybridMultilevel"/>
    <w:tmpl w:val="1AFA5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84F53"/>
    <w:multiLevelType w:val="hybridMultilevel"/>
    <w:tmpl w:val="158E67AC"/>
    <w:lvl w:ilvl="0" w:tplc="AE9291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7AD090">
      <w:numFmt w:val="none"/>
      <w:lvlText w:val=""/>
      <w:lvlJc w:val="left"/>
      <w:pPr>
        <w:tabs>
          <w:tab w:val="num" w:pos="360"/>
        </w:tabs>
      </w:pPr>
    </w:lvl>
    <w:lvl w:ilvl="2" w:tplc="B1B01956">
      <w:numFmt w:val="none"/>
      <w:lvlText w:val=""/>
      <w:lvlJc w:val="left"/>
      <w:pPr>
        <w:tabs>
          <w:tab w:val="num" w:pos="360"/>
        </w:tabs>
      </w:pPr>
    </w:lvl>
    <w:lvl w:ilvl="3" w:tplc="7EB8B63E">
      <w:numFmt w:val="none"/>
      <w:lvlText w:val=""/>
      <w:lvlJc w:val="left"/>
      <w:pPr>
        <w:tabs>
          <w:tab w:val="num" w:pos="360"/>
        </w:tabs>
      </w:pPr>
    </w:lvl>
    <w:lvl w:ilvl="4" w:tplc="F9D40428">
      <w:numFmt w:val="none"/>
      <w:lvlText w:val=""/>
      <w:lvlJc w:val="left"/>
      <w:pPr>
        <w:tabs>
          <w:tab w:val="num" w:pos="360"/>
        </w:tabs>
      </w:pPr>
    </w:lvl>
    <w:lvl w:ilvl="5" w:tplc="BCD49F34">
      <w:numFmt w:val="none"/>
      <w:lvlText w:val=""/>
      <w:lvlJc w:val="left"/>
      <w:pPr>
        <w:tabs>
          <w:tab w:val="num" w:pos="360"/>
        </w:tabs>
      </w:pPr>
    </w:lvl>
    <w:lvl w:ilvl="6" w:tplc="0B9A5238">
      <w:numFmt w:val="none"/>
      <w:lvlText w:val=""/>
      <w:lvlJc w:val="left"/>
      <w:pPr>
        <w:tabs>
          <w:tab w:val="num" w:pos="360"/>
        </w:tabs>
      </w:pPr>
    </w:lvl>
    <w:lvl w:ilvl="7" w:tplc="C8D07F88">
      <w:numFmt w:val="none"/>
      <w:lvlText w:val=""/>
      <w:lvlJc w:val="left"/>
      <w:pPr>
        <w:tabs>
          <w:tab w:val="num" w:pos="360"/>
        </w:tabs>
      </w:pPr>
    </w:lvl>
    <w:lvl w:ilvl="8" w:tplc="187236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7421A75"/>
    <w:multiLevelType w:val="hybridMultilevel"/>
    <w:tmpl w:val="8AC4FBC2"/>
    <w:lvl w:ilvl="0" w:tplc="58263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D6F5A"/>
    <w:multiLevelType w:val="hybridMultilevel"/>
    <w:tmpl w:val="7300555A"/>
    <w:lvl w:ilvl="0" w:tplc="C66E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84921"/>
    <w:multiLevelType w:val="hybridMultilevel"/>
    <w:tmpl w:val="9FB44296"/>
    <w:lvl w:ilvl="0" w:tplc="EE1EA4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AC6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822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A601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4BE01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57BFE"/>
    <w:multiLevelType w:val="hybridMultilevel"/>
    <w:tmpl w:val="3DBEE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3437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14D69E3"/>
    <w:multiLevelType w:val="hybridMultilevel"/>
    <w:tmpl w:val="C8CCBC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910010"/>
    <w:multiLevelType w:val="hybridMultilevel"/>
    <w:tmpl w:val="BA0AC1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AF8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D6106"/>
    <w:multiLevelType w:val="hybridMultilevel"/>
    <w:tmpl w:val="80129C4E"/>
    <w:lvl w:ilvl="0" w:tplc="A786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95086"/>
    <w:multiLevelType w:val="hybridMultilevel"/>
    <w:tmpl w:val="35E27A1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685755"/>
    <w:multiLevelType w:val="hybridMultilevel"/>
    <w:tmpl w:val="2D6E2884"/>
    <w:lvl w:ilvl="0" w:tplc="1B726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882837"/>
    <w:multiLevelType w:val="hybridMultilevel"/>
    <w:tmpl w:val="DBF4D75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33425E"/>
    <w:multiLevelType w:val="hybridMultilevel"/>
    <w:tmpl w:val="BC0CA8C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C217AD"/>
    <w:multiLevelType w:val="hybridMultilevel"/>
    <w:tmpl w:val="B3C4E928"/>
    <w:lvl w:ilvl="0" w:tplc="13CE35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819D6"/>
    <w:multiLevelType w:val="hybridMultilevel"/>
    <w:tmpl w:val="90C8CB8E"/>
    <w:lvl w:ilvl="0" w:tplc="A5F4FF88">
      <w:start w:val="51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C52E2C"/>
    <w:multiLevelType w:val="hybridMultilevel"/>
    <w:tmpl w:val="DA7A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46E69"/>
    <w:multiLevelType w:val="hybridMultilevel"/>
    <w:tmpl w:val="FB6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E6BF5"/>
    <w:multiLevelType w:val="hybridMultilevel"/>
    <w:tmpl w:val="2BBE79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50EC8"/>
    <w:multiLevelType w:val="hybridMultilevel"/>
    <w:tmpl w:val="D6040A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A6FA7"/>
    <w:multiLevelType w:val="hybridMultilevel"/>
    <w:tmpl w:val="5BC4E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D72E2"/>
    <w:multiLevelType w:val="hybridMultilevel"/>
    <w:tmpl w:val="E2325E32"/>
    <w:lvl w:ilvl="0" w:tplc="00F642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F0784D"/>
    <w:multiLevelType w:val="hybridMultilevel"/>
    <w:tmpl w:val="FF60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74795"/>
    <w:multiLevelType w:val="hybridMultilevel"/>
    <w:tmpl w:val="71A8B7D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67A15C27"/>
    <w:multiLevelType w:val="hybridMultilevel"/>
    <w:tmpl w:val="F7447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687FB1"/>
    <w:multiLevelType w:val="hybridMultilevel"/>
    <w:tmpl w:val="10365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DC0FB4"/>
    <w:multiLevelType w:val="hybridMultilevel"/>
    <w:tmpl w:val="85E8926C"/>
    <w:lvl w:ilvl="0" w:tplc="02D4D2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D60054"/>
    <w:multiLevelType w:val="hybridMultilevel"/>
    <w:tmpl w:val="F790E5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275E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F821C3"/>
    <w:multiLevelType w:val="multilevel"/>
    <w:tmpl w:val="B7CC87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9E0661C"/>
    <w:multiLevelType w:val="hybridMultilevel"/>
    <w:tmpl w:val="0AC23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21"/>
  </w:num>
  <w:num w:numId="5">
    <w:abstractNumId w:val="43"/>
  </w:num>
  <w:num w:numId="6">
    <w:abstractNumId w:val="4"/>
  </w:num>
  <w:num w:numId="7">
    <w:abstractNumId w:val="14"/>
  </w:num>
  <w:num w:numId="8">
    <w:abstractNumId w:val="18"/>
  </w:num>
  <w:num w:numId="9">
    <w:abstractNumId w:val="37"/>
  </w:num>
  <w:num w:numId="10">
    <w:abstractNumId w:val="12"/>
  </w:num>
  <w:num w:numId="11">
    <w:abstractNumId w:val="24"/>
  </w:num>
  <w:num w:numId="12">
    <w:abstractNumId w:val="42"/>
  </w:num>
  <w:num w:numId="13">
    <w:abstractNumId w:val="35"/>
  </w:num>
  <w:num w:numId="14">
    <w:abstractNumId w:val="10"/>
  </w:num>
  <w:num w:numId="15">
    <w:abstractNumId w:val="28"/>
  </w:num>
  <w:num w:numId="16">
    <w:abstractNumId w:val="22"/>
  </w:num>
  <w:num w:numId="17">
    <w:abstractNumId w:val="32"/>
  </w:num>
  <w:num w:numId="18">
    <w:abstractNumId w:val="45"/>
  </w:num>
  <w:num w:numId="19">
    <w:abstractNumId w:val="0"/>
  </w:num>
  <w:num w:numId="20">
    <w:abstractNumId w:val="38"/>
  </w:num>
  <w:num w:numId="21">
    <w:abstractNumId w:val="5"/>
  </w:num>
  <w:num w:numId="22">
    <w:abstractNumId w:val="13"/>
  </w:num>
  <w:num w:numId="23">
    <w:abstractNumId w:val="41"/>
  </w:num>
  <w:num w:numId="24">
    <w:abstractNumId w:val="15"/>
  </w:num>
  <w:num w:numId="25">
    <w:abstractNumId w:val="2"/>
  </w:num>
  <w:num w:numId="26">
    <w:abstractNumId w:val="23"/>
  </w:num>
  <w:num w:numId="27">
    <w:abstractNumId w:val="11"/>
  </w:num>
  <w:num w:numId="28">
    <w:abstractNumId w:val="7"/>
  </w:num>
  <w:num w:numId="29">
    <w:abstractNumId w:val="19"/>
  </w:num>
  <w:num w:numId="30">
    <w:abstractNumId w:val="17"/>
  </w:num>
  <w:num w:numId="31">
    <w:abstractNumId w:val="8"/>
  </w:num>
  <w:num w:numId="32">
    <w:abstractNumId w:val="34"/>
  </w:num>
  <w:num w:numId="33">
    <w:abstractNumId w:val="16"/>
  </w:num>
  <w:num w:numId="34">
    <w:abstractNumId w:val="40"/>
  </w:num>
  <w:num w:numId="35">
    <w:abstractNumId w:val="39"/>
  </w:num>
  <w:num w:numId="36">
    <w:abstractNumId w:val="46"/>
  </w:num>
  <w:num w:numId="37">
    <w:abstractNumId w:val="33"/>
  </w:num>
  <w:num w:numId="38">
    <w:abstractNumId w:val="3"/>
  </w:num>
  <w:num w:numId="39">
    <w:abstractNumId w:val="36"/>
  </w:num>
  <w:num w:numId="40">
    <w:abstractNumId w:val="6"/>
  </w:num>
  <w:num w:numId="41">
    <w:abstractNumId w:val="20"/>
  </w:num>
  <w:num w:numId="42">
    <w:abstractNumId w:val="44"/>
  </w:num>
  <w:num w:numId="43">
    <w:abstractNumId w:val="27"/>
  </w:num>
  <w:num w:numId="44">
    <w:abstractNumId w:val="26"/>
  </w:num>
  <w:num w:numId="45">
    <w:abstractNumId w:val="9"/>
  </w:num>
  <w:num w:numId="46">
    <w:abstractNumId w:val="3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BB9"/>
    <w:rsid w:val="00010D44"/>
    <w:rsid w:val="00012F58"/>
    <w:rsid w:val="00013FD0"/>
    <w:rsid w:val="0003778B"/>
    <w:rsid w:val="00084A67"/>
    <w:rsid w:val="000A0868"/>
    <w:rsid w:val="000D4B53"/>
    <w:rsid w:val="001575D0"/>
    <w:rsid w:val="00170261"/>
    <w:rsid w:val="00194773"/>
    <w:rsid w:val="001A7BEE"/>
    <w:rsid w:val="00201B57"/>
    <w:rsid w:val="00220851"/>
    <w:rsid w:val="002509FD"/>
    <w:rsid w:val="002614BB"/>
    <w:rsid w:val="002A648C"/>
    <w:rsid w:val="00340273"/>
    <w:rsid w:val="003664D9"/>
    <w:rsid w:val="003764AD"/>
    <w:rsid w:val="00384473"/>
    <w:rsid w:val="003C7246"/>
    <w:rsid w:val="003D60E6"/>
    <w:rsid w:val="004139A8"/>
    <w:rsid w:val="00440C8B"/>
    <w:rsid w:val="00463A9E"/>
    <w:rsid w:val="004652F7"/>
    <w:rsid w:val="0049056D"/>
    <w:rsid w:val="004C6199"/>
    <w:rsid w:val="00514A08"/>
    <w:rsid w:val="00531193"/>
    <w:rsid w:val="00533ED8"/>
    <w:rsid w:val="00551755"/>
    <w:rsid w:val="00565D96"/>
    <w:rsid w:val="005A0C9D"/>
    <w:rsid w:val="005A3FBC"/>
    <w:rsid w:val="005C394E"/>
    <w:rsid w:val="005D40D0"/>
    <w:rsid w:val="005E4196"/>
    <w:rsid w:val="00604629"/>
    <w:rsid w:val="00611502"/>
    <w:rsid w:val="00640BB4"/>
    <w:rsid w:val="00645E74"/>
    <w:rsid w:val="006906EE"/>
    <w:rsid w:val="007013EF"/>
    <w:rsid w:val="00706767"/>
    <w:rsid w:val="00716B3D"/>
    <w:rsid w:val="00730538"/>
    <w:rsid w:val="007976E3"/>
    <w:rsid w:val="007B1A5F"/>
    <w:rsid w:val="007D08F3"/>
    <w:rsid w:val="007F381E"/>
    <w:rsid w:val="007F4133"/>
    <w:rsid w:val="00806281"/>
    <w:rsid w:val="00816D91"/>
    <w:rsid w:val="00831D6B"/>
    <w:rsid w:val="008337E0"/>
    <w:rsid w:val="00836387"/>
    <w:rsid w:val="00843623"/>
    <w:rsid w:val="0088363E"/>
    <w:rsid w:val="008967D7"/>
    <w:rsid w:val="008C14D4"/>
    <w:rsid w:val="00934EF6"/>
    <w:rsid w:val="0094401A"/>
    <w:rsid w:val="009803DF"/>
    <w:rsid w:val="0098199B"/>
    <w:rsid w:val="00981E23"/>
    <w:rsid w:val="009E6BB9"/>
    <w:rsid w:val="00A4725A"/>
    <w:rsid w:val="00A60059"/>
    <w:rsid w:val="00A6567D"/>
    <w:rsid w:val="00A66D27"/>
    <w:rsid w:val="00A773E1"/>
    <w:rsid w:val="00A81A9E"/>
    <w:rsid w:val="00A93825"/>
    <w:rsid w:val="00AA4DCF"/>
    <w:rsid w:val="00AC7900"/>
    <w:rsid w:val="00AF15D7"/>
    <w:rsid w:val="00B463BF"/>
    <w:rsid w:val="00B54DF9"/>
    <w:rsid w:val="00B72AD6"/>
    <w:rsid w:val="00B82C05"/>
    <w:rsid w:val="00BB23C8"/>
    <w:rsid w:val="00C415F5"/>
    <w:rsid w:val="00C61ACB"/>
    <w:rsid w:val="00C80957"/>
    <w:rsid w:val="00CD51A7"/>
    <w:rsid w:val="00CE31A4"/>
    <w:rsid w:val="00D437FD"/>
    <w:rsid w:val="00D53E1A"/>
    <w:rsid w:val="00E150C3"/>
    <w:rsid w:val="00E17958"/>
    <w:rsid w:val="00E468F9"/>
    <w:rsid w:val="00E9649F"/>
    <w:rsid w:val="00EA4D80"/>
    <w:rsid w:val="00EF762F"/>
    <w:rsid w:val="00F10F89"/>
    <w:rsid w:val="00F736A9"/>
    <w:rsid w:val="00FA0A4F"/>
    <w:rsid w:val="00FD0823"/>
    <w:rsid w:val="00FD1FF1"/>
    <w:rsid w:val="00FE4A21"/>
    <w:rsid w:val="00FE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4DF9"/>
    <w:rPr>
      <w:sz w:val="24"/>
      <w:szCs w:val="24"/>
    </w:rPr>
  </w:style>
  <w:style w:type="paragraph" w:styleId="Nadpis1">
    <w:name w:val="heading 1"/>
    <w:basedOn w:val="Normln"/>
    <w:next w:val="Normln"/>
    <w:qFormat/>
    <w:rsid w:val="009E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3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656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139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509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716B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46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B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E6B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E6BB9"/>
    <w:rPr>
      <w:color w:val="0000FF"/>
      <w:u w:val="single"/>
    </w:rPr>
  </w:style>
  <w:style w:type="character" w:styleId="slostrnky">
    <w:name w:val="page number"/>
    <w:basedOn w:val="Standardnpsmoodstavce"/>
    <w:rsid w:val="009E6BB9"/>
  </w:style>
  <w:style w:type="paragraph" w:styleId="Textpoznpodarou">
    <w:name w:val="footnote text"/>
    <w:basedOn w:val="Normln"/>
    <w:semiHidden/>
    <w:rsid w:val="002509F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509FD"/>
    <w:rPr>
      <w:vertAlign w:val="superscript"/>
    </w:rPr>
  </w:style>
  <w:style w:type="paragraph" w:customStyle="1" w:styleId="Diplomka-textodstavce">
    <w:name w:val="Diplomka - text odstavce"/>
    <w:rsid w:val="004139A8"/>
    <w:pPr>
      <w:spacing w:before="120" w:after="120" w:line="360" w:lineRule="auto"/>
      <w:jc w:val="both"/>
    </w:pPr>
    <w:rPr>
      <w:sz w:val="24"/>
    </w:rPr>
  </w:style>
  <w:style w:type="paragraph" w:styleId="Zkladntextodsazen3">
    <w:name w:val="Body Text Indent 3"/>
    <w:basedOn w:val="Normln"/>
    <w:rsid w:val="004139A8"/>
    <w:pPr>
      <w:spacing w:line="360" w:lineRule="auto"/>
      <w:ind w:firstLine="708"/>
      <w:jc w:val="both"/>
    </w:pPr>
  </w:style>
  <w:style w:type="character" w:customStyle="1" w:styleId="Nadpis3Char">
    <w:name w:val="Nadpis 3 Char"/>
    <w:basedOn w:val="Standardnpsmoodstavce"/>
    <w:link w:val="Nadpis3"/>
    <w:rsid w:val="00A6567D"/>
    <w:rPr>
      <w:b/>
      <w:bCs/>
      <w:sz w:val="26"/>
      <w:szCs w:val="26"/>
    </w:rPr>
  </w:style>
  <w:style w:type="paragraph" w:styleId="Normlnweb">
    <w:name w:val="Normal (Web)"/>
    <w:aliases w:val="Normální (síť WWW)"/>
    <w:basedOn w:val="Normln"/>
    <w:rsid w:val="00201B57"/>
  </w:style>
  <w:style w:type="paragraph" w:styleId="Zkladntextodsazen">
    <w:name w:val="Body Text Indent"/>
    <w:basedOn w:val="Normln"/>
    <w:link w:val="ZkladntextodsazenChar"/>
    <w:rsid w:val="009440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401A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468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E468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68F9"/>
    <w:rPr>
      <w:sz w:val="24"/>
      <w:szCs w:val="24"/>
    </w:rPr>
  </w:style>
  <w:style w:type="paragraph" w:styleId="Zkladntext2">
    <w:name w:val="Body Text 2"/>
    <w:basedOn w:val="Normln"/>
    <w:link w:val="Zkladntext2Char"/>
    <w:rsid w:val="00E46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468F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16B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6B3D"/>
    <w:rPr>
      <w:sz w:val="24"/>
      <w:szCs w:val="24"/>
    </w:rPr>
  </w:style>
  <w:style w:type="character" w:customStyle="1" w:styleId="Nadpis5Char">
    <w:name w:val="Nadpis 5 Char"/>
    <w:basedOn w:val="Standardnpsmoodstavce"/>
    <w:rsid w:val="00716B3D"/>
    <w:rPr>
      <w:b/>
      <w:bCs/>
      <w:sz w:val="24"/>
      <w:szCs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716B3D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4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4A6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4A67"/>
    <w:rPr>
      <w:sz w:val="24"/>
      <w:szCs w:val="24"/>
    </w:rPr>
  </w:style>
  <w:style w:type="table" w:styleId="Mkatabulky">
    <w:name w:val="Table Grid"/>
    <w:basedOn w:val="Normlntabulka"/>
    <w:uiPriority w:val="59"/>
    <w:rsid w:val="0008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rsid w:val="00F736A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013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a1">
    <w:name w:val="TAbulka1"/>
    <w:rsid w:val="00836387"/>
    <w:pPr>
      <w:jc w:val="center"/>
    </w:pPr>
    <w:rPr>
      <w:rFonts w:ascii="Arial" w:hAnsi="Arial" w:cs="Arial"/>
      <w:b/>
      <w:bCs/>
      <w:i/>
      <w:color w:val="0033CC"/>
      <w:sz w:val="18"/>
    </w:rPr>
  </w:style>
  <w:style w:type="paragraph" w:customStyle="1" w:styleId="Tabulka2">
    <w:name w:val="Tabulka2"/>
    <w:rsid w:val="00836387"/>
    <w:rPr>
      <w:rFonts w:ascii="Arial" w:hAnsi="Arial" w:cs="Arial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E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3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656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139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509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716B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46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B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E6B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E6BB9"/>
    <w:rPr>
      <w:color w:val="0000FF"/>
      <w:u w:val="single"/>
    </w:rPr>
  </w:style>
  <w:style w:type="character" w:styleId="slostrnky">
    <w:name w:val="page number"/>
    <w:basedOn w:val="Standardnpsmoodstavce"/>
    <w:rsid w:val="009E6BB9"/>
  </w:style>
  <w:style w:type="paragraph" w:styleId="Textpoznpodarou">
    <w:name w:val="footnote text"/>
    <w:basedOn w:val="Normln"/>
    <w:semiHidden/>
    <w:rsid w:val="002509F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509FD"/>
    <w:rPr>
      <w:vertAlign w:val="superscript"/>
    </w:rPr>
  </w:style>
  <w:style w:type="paragraph" w:customStyle="1" w:styleId="Diplomka-textodstavce">
    <w:name w:val="Diplomka - text odstavce"/>
    <w:rsid w:val="004139A8"/>
    <w:pPr>
      <w:spacing w:before="120" w:after="120" w:line="360" w:lineRule="auto"/>
      <w:jc w:val="both"/>
    </w:pPr>
    <w:rPr>
      <w:sz w:val="24"/>
    </w:rPr>
  </w:style>
  <w:style w:type="paragraph" w:styleId="Zkladntextodsazen3">
    <w:name w:val="Body Text Indent 3"/>
    <w:basedOn w:val="Normln"/>
    <w:rsid w:val="004139A8"/>
    <w:pPr>
      <w:spacing w:line="360" w:lineRule="auto"/>
      <w:ind w:firstLine="708"/>
      <w:jc w:val="both"/>
    </w:pPr>
  </w:style>
  <w:style w:type="character" w:customStyle="1" w:styleId="Nadpis3Char">
    <w:name w:val="Nadpis 3 Char"/>
    <w:basedOn w:val="Standardnpsmoodstavce"/>
    <w:link w:val="Nadpis3"/>
    <w:rsid w:val="00A6567D"/>
    <w:rPr>
      <w:b/>
      <w:bCs/>
      <w:sz w:val="26"/>
      <w:szCs w:val="26"/>
    </w:rPr>
  </w:style>
  <w:style w:type="paragraph" w:styleId="Normlnweb">
    <w:name w:val="Normal (Web)"/>
    <w:aliases w:val="Normální (síť WWW)"/>
    <w:basedOn w:val="Normln"/>
    <w:rsid w:val="00201B57"/>
  </w:style>
  <w:style w:type="paragraph" w:styleId="Zkladntextodsazen">
    <w:name w:val="Body Text Indent"/>
    <w:basedOn w:val="Normln"/>
    <w:link w:val="ZkladntextodsazenChar"/>
    <w:rsid w:val="009440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401A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468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E468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68F9"/>
    <w:rPr>
      <w:sz w:val="24"/>
      <w:szCs w:val="24"/>
    </w:rPr>
  </w:style>
  <w:style w:type="paragraph" w:styleId="Zkladntext2">
    <w:name w:val="Body Text 2"/>
    <w:basedOn w:val="Normln"/>
    <w:link w:val="Zkladntext2Char"/>
    <w:rsid w:val="00E46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468F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16B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6B3D"/>
    <w:rPr>
      <w:sz w:val="24"/>
      <w:szCs w:val="24"/>
    </w:rPr>
  </w:style>
  <w:style w:type="character" w:customStyle="1" w:styleId="Nadpis5Char">
    <w:name w:val="Nadpis 5 Char"/>
    <w:basedOn w:val="Standardnpsmoodstavce"/>
    <w:rsid w:val="00716B3D"/>
    <w:rPr>
      <w:b/>
      <w:bCs/>
      <w:sz w:val="24"/>
      <w:szCs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716B3D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4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4A6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4A67"/>
    <w:rPr>
      <w:sz w:val="24"/>
      <w:szCs w:val="24"/>
    </w:rPr>
  </w:style>
  <w:style w:type="table" w:styleId="Mkatabulky">
    <w:name w:val="Table Grid"/>
    <w:basedOn w:val="Normlntabulka"/>
    <w:rsid w:val="0008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F736A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013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51">
                  <w:marLeft w:val="283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4373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Irena Opluštilová</vt:lpstr>
    </vt:vector>
  </TitlesOfParts>
  <Company>ESF - MU</Company>
  <LinksUpToDate>false</LinksUpToDate>
  <CharactersWithSpaces>29230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mailto:oplustii@econ.muni.cz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Irena Opluštilová</dc:title>
  <dc:creator>oplustii</dc:creator>
  <cp:lastModifiedBy>Radek</cp:lastModifiedBy>
  <cp:revision>2</cp:revision>
  <dcterms:created xsi:type="dcterms:W3CDTF">2017-05-06T15:31:00Z</dcterms:created>
  <dcterms:modified xsi:type="dcterms:W3CDTF">2017-05-06T15:31:00Z</dcterms:modified>
</cp:coreProperties>
</file>