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E1" w:rsidRDefault="00C968E1">
      <w:pPr>
        <w:rPr>
          <w:rFonts w:ascii="Arial" w:hAnsi="Arial" w:cs="Arial"/>
          <w:b/>
          <w:color w:val="000000"/>
          <w:sz w:val="24"/>
          <w:szCs w:val="24"/>
          <w:shd w:val="clear" w:color="auto" w:fill="FDFDFE"/>
        </w:rPr>
      </w:pPr>
      <w:r w:rsidRPr="00C968E1">
        <w:rPr>
          <w:rFonts w:ascii="Arial" w:hAnsi="Arial" w:cs="Arial"/>
          <w:b/>
          <w:color w:val="000000"/>
          <w:sz w:val="24"/>
          <w:szCs w:val="24"/>
          <w:shd w:val="clear" w:color="auto" w:fill="FDFDFE"/>
        </w:rPr>
        <w:t>OTÁZKY NA ZKOUŠKU</w:t>
      </w:r>
    </w:p>
    <w:p w:rsidR="00263BB2" w:rsidRPr="00263BB2" w:rsidRDefault="00263BB2" w:rsidP="00263BB2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</w:pPr>
      <w:r w:rsidRPr="00263BB2"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  <w:t xml:space="preserve">Na zkoušce jsou povoleny zákony na přípravě (10 minut). Zkoušející si vytáhne jednu otázku. Doplňující otázky mohou být i z jiných okruhů otázek. </w:t>
      </w:r>
      <w:bookmarkStart w:id="0" w:name="_GoBack"/>
      <w:bookmarkEnd w:id="0"/>
    </w:p>
    <w:p w:rsidR="003C58AD" w:rsidRDefault="00C968E1" w:rsidP="00CA12B0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1. </w:t>
      </w:r>
      <w:r w:rsidR="003C58AD"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Právo jako pravidlo chování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v zákonem stanovené</w:t>
      </w:r>
      <w:r w:rsidR="003C58AD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DFDFE"/>
        </w:rPr>
        <w:t> 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formě</w:t>
      </w:r>
      <w:r w:rsidR="003C58AD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DFDFE"/>
        </w:rPr>
        <w:t> 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a vynutitelné státní mocí, právní normy, systém práva v ČR, l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ex </w:t>
      </w:r>
      <w:proofErr w:type="spellStart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generalis</w:t>
      </w:r>
      <w:proofErr w:type="spellEnd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a lex </w:t>
      </w:r>
      <w:proofErr w:type="spellStart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specialis</w:t>
      </w:r>
      <w:proofErr w:type="spellEnd"/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, prameny práva, právní skutečnosti, s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ystematika občanského zákoníku</w:t>
      </w:r>
      <w:r w:rsidR="00263BB2">
        <w:rPr>
          <w:rFonts w:ascii="Arial" w:hAnsi="Arial" w:cs="Arial"/>
          <w:color w:val="000000"/>
          <w:sz w:val="19"/>
          <w:szCs w:val="19"/>
          <w:shd w:val="clear" w:color="auto" w:fill="FDFDFE"/>
        </w:rPr>
        <w:t>, lhůty</w:t>
      </w:r>
    </w:p>
    <w:p w:rsidR="003C58AD" w:rsidRDefault="003C58AD" w:rsidP="00CA12B0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2.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Občanský zákoník a jeho vztah k obchodnímu právu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: zásady soukromého práva, p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rávnické osoby (vznik, název, sídlo, jednání za právnickou osobu, zrušení, zánik, likvidace, firma, podnikatel, zastoupení, obchodní tajemství) </w:t>
      </w:r>
    </w:p>
    <w:p w:rsidR="003C58AD" w:rsidRDefault="003C58AD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3.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Obchodní korporace v zá</w:t>
      </w:r>
      <w:r w:rsidR="00CA12B0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koně o obchodních korporacích</w:t>
      </w:r>
      <w:r w:rsidR="00CA12B0"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:</w:t>
      </w:r>
      <w:r w:rsidR="00CA12B0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z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aložení a vzni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k korporace, zakladatelské právní jednání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, základní kapitál, vklad, nepeněžitý vklad společníka, podíl, jednání jménem společno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sti, statutární orgán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, j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ednání členů statutárn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ího orgánu obchodní korporace, s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rovnávání jednotlivých forem obchodních korporací (v.o.s.,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k.s.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, s.r.o., a.s.) </w:t>
      </w:r>
    </w:p>
    <w:p w:rsidR="003C58AD" w:rsidRDefault="003C58AD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4.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Osobní společnosti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: 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p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ředpoklady založení osobníc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h společností (v.o.s. a </w:t>
      </w:r>
      <w:proofErr w:type="gramStart"/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k.s.</w:t>
      </w:r>
      <w:proofErr w:type="gramEnd"/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), m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ajetkov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é poměry osobních společností, n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ezbytné předpoklady pro založení a vznik osobní obchodní korporace, pov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inné orgány a jejich pravomoc, z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rušení a zánik osobní obchodní korporace </w:t>
      </w:r>
    </w:p>
    <w:p w:rsidR="003C58AD" w:rsidRDefault="003C58AD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5.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Společnost s ručením omezeným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: 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p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rávní charakteristika 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společnosti s ručením omezeným, v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znik s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polečnosti s ručením omezeným, p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rávní postavení sp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olečníků ve společnosti s.r.o., obchodní podíl, vnitřní organizace s.r.o., vnější vztahy s.r.o., zrušení a zánik s.r.o., z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ákaz konkurence, péče řádnéh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o hospodáře</w:t>
      </w:r>
    </w:p>
    <w:p w:rsidR="003C58AD" w:rsidRDefault="003C58AD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6.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Živnostenské podnikání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: </w:t>
      </w:r>
      <w:proofErr w:type="spellStart"/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def</w:t>
      </w:r>
      <w:proofErr w:type="spellEnd"/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>. ž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ivnosti, druhy živností, předpoklady, odpovědný zástupce, provozovna, přerušení živnosti, živnostenské oprávnění a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osoba nezletilá, zánik živnost, příslušnost živnostenského úřadu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7. </w:t>
      </w:r>
      <w:r w:rsidR="00CA12B0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Smluvní právo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: </w:t>
      </w:r>
      <w:r w:rsidR="00CA12B0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právní úprava smluv, smlouvy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pojmenované a nepojmenované, smluvní svoboda, forma, dobrá víra, obchodní podmínky, záruka, odpovědnost z porušení smluv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, kogentní a dispozitivní normy (obsah smluv)</w:t>
      </w:r>
    </w:p>
    <w:p w:rsidR="00C968E1" w:rsidRPr="00B93AA3" w:rsidRDefault="003C58AD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8.</w:t>
      </w:r>
      <w:r w:rsid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r w:rsidR="00C968E1"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Kupní smlouva</w:t>
      </w:r>
      <w:r w:rsidR="006152B8"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:</w:t>
      </w:r>
      <w:r w:rsidR="006152B8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smluvní strany, obsah, předmět, </w:t>
      </w:r>
      <w:r w:rsid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forma smlouvy,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faktické a právní vady, povinnost prodávajícího, nesplnění povinnosti prodávajícím, záruka, podstatné a nepodstatné porušení smlouvy, prodej věci od </w:t>
      </w:r>
      <w:proofErr w:type="spellStart"/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nevlastníka</w:t>
      </w:r>
      <w:proofErr w:type="spellEnd"/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, povinnost kupujícího, vedlejší ujednání</w:t>
      </w:r>
    </w:p>
    <w:p w:rsidR="00C968E1" w:rsidRPr="00B93AA3" w:rsidRDefault="00C968E1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>9.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Nájemní smlouva</w:t>
      </w:r>
      <w:r w:rsidR="006152B8"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:</w:t>
      </w:r>
      <w:r w:rsidR="006152B8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smluvní strany, obsah, forma, povinnosti smluvních stran, nájemné, skončení nájmu, podnájem, nájem bytu, jistota</w:t>
      </w:r>
    </w:p>
    <w:p w:rsidR="00C968E1" w:rsidRPr="00B93AA3" w:rsidRDefault="00C968E1" w:rsidP="006152B8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>10.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Smlouva o výpůjčce a zápůjčce</w:t>
      </w:r>
      <w:r w:rsidR="006152B8"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:</w:t>
      </w:r>
      <w:r w:rsidR="006152B8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smluvní strany, předmět, obsah, forma, úplatnost a </w:t>
      </w:r>
      <w:proofErr w:type="spellStart"/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bezúplatnost</w:t>
      </w:r>
      <w:proofErr w:type="spellEnd"/>
    </w:p>
    <w:p w:rsidR="00B9586A" w:rsidRPr="006152B8" w:rsidRDefault="00C968E1" w:rsidP="006152B8">
      <w:pPr>
        <w:jc w:val="both"/>
        <w:rPr>
          <w:rFonts w:ascii="Arial" w:hAnsi="Arial" w:cs="Arial"/>
          <w:b/>
          <w:strike/>
          <w:color w:val="000000"/>
          <w:sz w:val="19"/>
          <w:szCs w:val="19"/>
          <w:shd w:val="clear" w:color="auto" w:fill="FDFDFE"/>
        </w:rPr>
      </w:pPr>
      <w:r w:rsidRPr="006152B8">
        <w:rPr>
          <w:rFonts w:ascii="Arial" w:hAnsi="Arial" w:cs="Arial"/>
          <w:strike/>
          <w:color w:val="000000"/>
          <w:sz w:val="19"/>
          <w:szCs w:val="19"/>
          <w:shd w:val="clear" w:color="auto" w:fill="FDFDFE"/>
        </w:rPr>
        <w:t>11.</w:t>
      </w:r>
      <w:r w:rsidRPr="006152B8">
        <w:rPr>
          <w:rFonts w:ascii="Arial" w:hAnsi="Arial" w:cs="Arial"/>
          <w:b/>
          <w:strike/>
          <w:color w:val="000000"/>
          <w:sz w:val="19"/>
          <w:szCs w:val="19"/>
          <w:shd w:val="clear" w:color="auto" w:fill="FDFDFE"/>
        </w:rPr>
        <w:t xml:space="preserve"> Smlouva zprostředkovatelská,</w:t>
      </w:r>
      <w:r w:rsidR="003C58AD" w:rsidRPr="006152B8">
        <w:rPr>
          <w:rFonts w:ascii="Arial" w:hAnsi="Arial" w:cs="Arial"/>
          <w:b/>
          <w:strike/>
          <w:color w:val="000000"/>
          <w:sz w:val="19"/>
          <w:szCs w:val="19"/>
          <w:shd w:val="clear" w:color="auto" w:fill="FDFDFE"/>
        </w:rPr>
        <w:t xml:space="preserve"> příkazní </w:t>
      </w:r>
      <w:r w:rsidRPr="006152B8">
        <w:rPr>
          <w:rFonts w:ascii="Arial" w:hAnsi="Arial" w:cs="Arial"/>
          <w:b/>
          <w:strike/>
          <w:color w:val="000000"/>
          <w:sz w:val="19"/>
          <w:szCs w:val="19"/>
          <w:shd w:val="clear" w:color="auto" w:fill="FDFDFE"/>
        </w:rPr>
        <w:t>smlouva, komisionářská smlouva</w:t>
      </w:r>
      <w:r w:rsidR="006152B8" w:rsidRPr="006152B8">
        <w:rPr>
          <w:rFonts w:ascii="Arial" w:hAnsi="Arial" w:cs="Arial"/>
          <w:strike/>
          <w:color w:val="000000"/>
          <w:sz w:val="19"/>
          <w:szCs w:val="19"/>
          <w:shd w:val="clear" w:color="auto" w:fill="FDFDFE"/>
        </w:rPr>
        <w:t xml:space="preserve">: </w:t>
      </w:r>
      <w:r w:rsidR="00B9586A" w:rsidRPr="006152B8">
        <w:rPr>
          <w:rFonts w:ascii="Arial" w:hAnsi="Arial" w:cs="Arial"/>
          <w:strike/>
          <w:color w:val="000000"/>
          <w:sz w:val="19"/>
          <w:szCs w:val="19"/>
          <w:shd w:val="clear" w:color="auto" w:fill="FDFDFE"/>
        </w:rPr>
        <w:t xml:space="preserve">smluvní strany, obsah, forma, provize u zprostředkovatelské smlouvy, náhrada nákladů, zánik </w:t>
      </w:r>
      <w:proofErr w:type="spellStart"/>
      <w:r w:rsidR="00B9586A" w:rsidRPr="006152B8">
        <w:rPr>
          <w:rFonts w:ascii="Arial" w:hAnsi="Arial" w:cs="Arial"/>
          <w:strike/>
          <w:color w:val="000000"/>
          <w:sz w:val="19"/>
          <w:szCs w:val="19"/>
          <w:shd w:val="clear" w:color="auto" w:fill="FDFDFE"/>
        </w:rPr>
        <w:t>závazkusmluvní</w:t>
      </w:r>
      <w:proofErr w:type="spellEnd"/>
      <w:r w:rsidR="00B9586A" w:rsidRPr="006152B8">
        <w:rPr>
          <w:rFonts w:ascii="Arial" w:hAnsi="Arial" w:cs="Arial"/>
          <w:strike/>
          <w:color w:val="000000"/>
          <w:sz w:val="19"/>
          <w:szCs w:val="19"/>
          <w:shd w:val="clear" w:color="auto" w:fill="FDFDFE"/>
        </w:rPr>
        <w:t xml:space="preserve"> strany, obsah, forma, příkaz, substitut, pomocník, zpráva o plnění příkazu, záloha, odměna, plná moc, zánik závazku</w:t>
      </w:r>
      <w:r w:rsidR="006152B8" w:rsidRPr="006152B8">
        <w:rPr>
          <w:rFonts w:ascii="Arial" w:hAnsi="Arial" w:cs="Arial"/>
          <w:b/>
          <w:strike/>
          <w:color w:val="000000"/>
          <w:sz w:val="19"/>
          <w:szCs w:val="19"/>
          <w:shd w:val="clear" w:color="auto" w:fill="FDFDFE"/>
        </w:rPr>
        <w:t xml:space="preserve">, </w:t>
      </w:r>
      <w:r w:rsidR="00B9586A" w:rsidRPr="006152B8">
        <w:rPr>
          <w:rFonts w:ascii="Arial" w:hAnsi="Arial" w:cs="Arial"/>
          <w:strike/>
          <w:color w:val="000000"/>
          <w:sz w:val="19"/>
          <w:szCs w:val="19"/>
          <w:shd w:val="clear" w:color="auto" w:fill="FDFDFE"/>
        </w:rPr>
        <w:t>smluvní strany, obsah, forma</w:t>
      </w:r>
    </w:p>
    <w:p w:rsidR="00723261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12.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proofErr w:type="spellStart"/>
      <w:r w:rsidR="006152B8" w:rsidRPr="006152B8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Nekalosoutěžní</w:t>
      </w:r>
      <w:proofErr w:type="spellEnd"/>
      <w:r w:rsidR="006152B8" w:rsidRPr="006152B8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chování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: Generální klauzule, s</w:t>
      </w:r>
      <w:r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kutkové pods</w:t>
      </w:r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taty </w:t>
      </w:r>
      <w:proofErr w:type="spellStart"/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nekalosoutěžního</w:t>
      </w:r>
      <w:proofErr w:type="spellEnd"/>
      <w:r w:rsid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chování, p</w:t>
      </w:r>
      <w:r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rávní důsledky </w:t>
      </w:r>
      <w:proofErr w:type="spellStart"/>
      <w:r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>nekalosoutěžního</w:t>
      </w:r>
      <w:proofErr w:type="spellEnd"/>
      <w:r w:rsidRPr="006152B8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chování</w:t>
      </w:r>
    </w:p>
    <w:p w:rsidR="006152B8" w:rsidRPr="006152B8" w:rsidRDefault="006152B8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13. </w:t>
      </w:r>
      <w:r w:rsidRPr="006152B8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Oddlužení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: </w:t>
      </w:r>
      <w:r w:rsidR="00263BB2">
        <w:rPr>
          <w:rFonts w:ascii="Arial" w:hAnsi="Arial" w:cs="Arial"/>
          <w:color w:val="000000"/>
          <w:sz w:val="19"/>
          <w:szCs w:val="19"/>
          <w:shd w:val="clear" w:color="auto" w:fill="FDFDFE"/>
        </w:rPr>
        <w:t>definice úpadku, způsob oddlužení, podmínky pro úspěšné oddlužení, postavení věřitele a dlužníka v rámci oddlužení</w:t>
      </w:r>
    </w:p>
    <w:sectPr w:rsidR="006152B8" w:rsidRPr="0061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D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3BB2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C58AD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152B8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3AA3"/>
    <w:rsid w:val="00B9473B"/>
    <w:rsid w:val="00B9586A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968E1"/>
    <w:rsid w:val="00CA12B0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C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cp:lastPrinted>2018-05-22T10:17:00Z</cp:lastPrinted>
  <dcterms:created xsi:type="dcterms:W3CDTF">2018-05-22T10:23:00Z</dcterms:created>
  <dcterms:modified xsi:type="dcterms:W3CDTF">2018-05-22T10:23:00Z</dcterms:modified>
</cp:coreProperties>
</file>