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726071" w:rsidRDefault="00810829">
      <w:pPr>
        <w:pBdr>
          <w:bottom w:val="single" w:sz="12" w:space="1" w:color="auto"/>
        </w:pBdr>
        <w:rPr>
          <w:b/>
          <w:sz w:val="28"/>
          <w:szCs w:val="28"/>
        </w:rPr>
      </w:pPr>
      <w:r w:rsidRPr="00A54F46">
        <w:rPr>
          <w:b/>
          <w:sz w:val="36"/>
          <w:szCs w:val="36"/>
        </w:rPr>
        <w:t xml:space="preserve">Příklad </w:t>
      </w:r>
      <w:r w:rsidR="00E7044F">
        <w:rPr>
          <w:b/>
          <w:sz w:val="36"/>
          <w:szCs w:val="36"/>
        </w:rPr>
        <w:t xml:space="preserve">II. </w:t>
      </w:r>
      <w:r w:rsidRPr="00A54F46">
        <w:rPr>
          <w:b/>
          <w:sz w:val="36"/>
          <w:szCs w:val="36"/>
        </w:rPr>
        <w:t xml:space="preserve">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726071" w:rsidRPr="00726071">
        <w:rPr>
          <w:b/>
          <w:bCs/>
          <w:sz w:val="28"/>
          <w:szCs w:val="28"/>
        </w:rPr>
        <w:t xml:space="preserve">Pevné vyrovnání skladových proložek </w:t>
      </w:r>
      <w:r w:rsidR="00726071" w:rsidRPr="00726071">
        <w:rPr>
          <w:b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128BD">
        <w:t>1</w:t>
      </w:r>
      <w:r w:rsidR="00E7044F">
        <w:t>2</w:t>
      </w:r>
      <w:r w:rsidR="00B128BD">
        <w:t>.3</w:t>
      </w:r>
      <w:r>
        <w:t>.20</w:t>
      </w:r>
      <w:r w:rsidR="00A54F46">
        <w:t>1</w:t>
      </w:r>
      <w:r w:rsidR="00B128BD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="00726071">
        <w:t>Úvod do MS Dynamics NAV_</w:t>
      </w:r>
      <w:r w:rsidR="00726071" w:rsidRPr="00726071">
        <w:rPr>
          <w:bCs/>
          <w:sz w:val="20"/>
          <w:szCs w:val="20"/>
        </w:rPr>
        <w:t xml:space="preserve">Pevné vyrovnání skladových proložek </w:t>
      </w:r>
    </w:p>
    <w:p w:rsidR="001862E2" w:rsidRDefault="001862E2" w:rsidP="001862E2">
      <w:pPr>
        <w:jc w:val="left"/>
        <w:rPr>
          <w:b/>
        </w:rPr>
      </w:pPr>
    </w:p>
    <w:p w:rsidR="00810829" w:rsidRDefault="00544931" w:rsidP="001862E2">
      <w:pPr>
        <w:jc w:val="left"/>
        <w:rPr>
          <w:sz w:val="20"/>
          <w:szCs w:val="20"/>
        </w:rPr>
      </w:pPr>
      <w:r w:rsidRPr="00544931">
        <w:rPr>
          <w:b/>
        </w:rPr>
        <w:t>Sešit vyrovnání:</w:t>
      </w:r>
      <w:r>
        <w:rPr>
          <w:b/>
        </w:rPr>
        <w:t xml:space="preserve"> </w:t>
      </w:r>
      <w:r w:rsidRPr="00544931">
        <w:rPr>
          <w:sz w:val="20"/>
          <w:szCs w:val="20"/>
        </w:rPr>
        <w:t xml:space="preserve">Umožňuje odebrat vyrovnání mezi vstupní a výstupní položkou zboží a vyrovnávat </w:t>
      </w:r>
      <w:r>
        <w:rPr>
          <w:sz w:val="20"/>
          <w:szCs w:val="20"/>
        </w:rPr>
        <w:t>položky ručně</w:t>
      </w:r>
      <w:r w:rsidR="00E7044F">
        <w:rPr>
          <w:sz w:val="20"/>
          <w:szCs w:val="20"/>
        </w:rPr>
        <w:t xml:space="preserve"> Toto navazuje na Původní( </w:t>
      </w:r>
      <w:r w:rsidR="00E7044F" w:rsidRPr="00E7044F">
        <w:rPr>
          <w:b/>
          <w:sz w:val="20"/>
          <w:szCs w:val="20"/>
        </w:rPr>
        <w:t>nečíslovaný</w:t>
      </w:r>
      <w:r w:rsidR="00E7044F">
        <w:rPr>
          <w:sz w:val="20"/>
          <w:szCs w:val="20"/>
        </w:rPr>
        <w:t xml:space="preserve"> )  Příklad na pevné vyrovnání skladových položek.</w:t>
      </w:r>
      <w:r>
        <w:rPr>
          <w:sz w:val="20"/>
          <w:szCs w:val="20"/>
        </w:rPr>
        <w:t xml:space="preserve">  </w:t>
      </w:r>
    </w:p>
    <w:p w:rsidR="001862E2" w:rsidRDefault="001862E2" w:rsidP="001862E2">
      <w:pPr>
        <w:jc w:val="left"/>
        <w:rPr>
          <w:sz w:val="20"/>
          <w:szCs w:val="20"/>
        </w:rPr>
      </w:pPr>
    </w:p>
    <w:p w:rsidR="001862E2" w:rsidRDefault="001862E2" w:rsidP="001862E2">
      <w:pPr>
        <w:pStyle w:val="Odstavecseseznamem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Vytvořte nová zboží s číslem  FIFO_Test , </w:t>
      </w:r>
      <w:r w:rsidR="0047315F">
        <w:rPr>
          <w:sz w:val="20"/>
          <w:szCs w:val="20"/>
        </w:rPr>
        <w:t>Z</w:t>
      </w:r>
      <w:r>
        <w:rPr>
          <w:sz w:val="20"/>
          <w:szCs w:val="20"/>
        </w:rPr>
        <w:t>ákladní skladová jednotka = ks, Jednotková cena =100 Kč, Metoda ocenění =FIFO, Obecná Účto Skupina Zboží=Obchod, DPH Účto Skupina Zboží = DPH25</w:t>
      </w:r>
      <w:r w:rsidR="00523103">
        <w:rPr>
          <w:sz w:val="20"/>
          <w:szCs w:val="20"/>
        </w:rPr>
        <w:t xml:space="preserve"> (toto se nastaví automaticky)</w:t>
      </w:r>
      <w:r>
        <w:rPr>
          <w:sz w:val="20"/>
          <w:szCs w:val="20"/>
        </w:rPr>
        <w:t xml:space="preserve"> a  Účto Skupina Zboží = Prodej. Toto jednoduché nastavení pro náš příklad bude dostatečné. Vyučující ukáže jak jsou tyto kódy skupin nastaveny  a  k čemu slouží (jde o předkontaci). </w:t>
      </w:r>
    </w:p>
    <w:p w:rsidR="001862E2" w:rsidRDefault="001862E2" w:rsidP="001862E2">
      <w:pPr>
        <w:jc w:val="left"/>
        <w:rPr>
          <w:sz w:val="20"/>
          <w:szCs w:val="20"/>
        </w:rPr>
      </w:pPr>
    </w:p>
    <w:p w:rsidR="006358C4" w:rsidRDefault="001862E2" w:rsidP="000B61B6">
      <w:pPr>
        <w:pStyle w:val="Odstavecseseznamem"/>
        <w:numPr>
          <w:ilvl w:val="0"/>
          <w:numId w:val="5"/>
        </w:numPr>
        <w:jc w:val="left"/>
        <w:rPr>
          <w:sz w:val="20"/>
          <w:szCs w:val="20"/>
        </w:rPr>
      </w:pPr>
      <w:r w:rsidRPr="00523103">
        <w:rPr>
          <w:sz w:val="20"/>
          <w:szCs w:val="20"/>
        </w:rPr>
        <w:t>Nakupte s pomocí Deníku zboží, tedy nikoliv s pomocí Nákupní objednávky jako v předešlém případě 10 ks zboží FIFO</w:t>
      </w:r>
      <w:r w:rsidR="0047315F">
        <w:rPr>
          <w:sz w:val="20"/>
          <w:szCs w:val="20"/>
        </w:rPr>
        <w:t>_</w:t>
      </w:r>
      <w:r w:rsidRPr="00523103">
        <w:rPr>
          <w:sz w:val="20"/>
          <w:szCs w:val="20"/>
        </w:rPr>
        <w:t xml:space="preserve">Test za 80 Kč.   Jak </w:t>
      </w:r>
      <w:r w:rsidR="006358C4" w:rsidRPr="00523103">
        <w:rPr>
          <w:sz w:val="20"/>
          <w:szCs w:val="20"/>
        </w:rPr>
        <w:t>se dostanete k</w:t>
      </w:r>
      <w:r w:rsidRPr="00523103">
        <w:rPr>
          <w:sz w:val="20"/>
          <w:szCs w:val="20"/>
        </w:rPr>
        <w:t xml:space="preserve"> </w:t>
      </w:r>
      <w:r w:rsidR="0047315F">
        <w:rPr>
          <w:sz w:val="20"/>
          <w:szCs w:val="20"/>
        </w:rPr>
        <w:t>D</w:t>
      </w:r>
      <w:r w:rsidRPr="00523103">
        <w:rPr>
          <w:sz w:val="20"/>
          <w:szCs w:val="20"/>
        </w:rPr>
        <w:t xml:space="preserve">eníku zboží? S pomocí vyhledávacího okna nebo </w:t>
      </w:r>
      <w:r w:rsidR="006358C4" w:rsidRPr="00523103">
        <w:rPr>
          <w:sz w:val="20"/>
          <w:szCs w:val="20"/>
        </w:rPr>
        <w:t xml:space="preserve">z hlavního menu </w:t>
      </w:r>
      <w:r w:rsidRPr="00523103">
        <w:rPr>
          <w:sz w:val="20"/>
          <w:szCs w:val="20"/>
        </w:rPr>
        <w:t xml:space="preserve">Oblasti-&gt;Sklad-&gt;Zásoby-&gt;Úkoly-&gt;Deníky zboží. Rozdíl je v tom, že nemáme </w:t>
      </w:r>
      <w:r w:rsidR="006358C4" w:rsidRPr="00523103">
        <w:rPr>
          <w:sz w:val="20"/>
          <w:szCs w:val="20"/>
        </w:rPr>
        <w:t>při nákupu D</w:t>
      </w:r>
      <w:r w:rsidRPr="00523103">
        <w:rPr>
          <w:sz w:val="20"/>
          <w:szCs w:val="20"/>
        </w:rPr>
        <w:t xml:space="preserve">odavatele a tedy ani nebudeme zvyšovat částku na účtech 321xxx (Dal).  Stejně budeme později postupovat při prodeji. </w:t>
      </w:r>
      <w:r w:rsidR="00523103" w:rsidRPr="00523103">
        <w:rPr>
          <w:sz w:val="20"/>
          <w:szCs w:val="20"/>
        </w:rPr>
        <w:t xml:space="preserve">Pozor </w:t>
      </w:r>
      <w:r w:rsidR="0047315F">
        <w:rPr>
          <w:sz w:val="20"/>
          <w:szCs w:val="20"/>
        </w:rPr>
        <w:t>! D</w:t>
      </w:r>
      <w:r w:rsidR="00523103" w:rsidRPr="00523103">
        <w:rPr>
          <w:sz w:val="20"/>
          <w:szCs w:val="20"/>
        </w:rPr>
        <w:t xml:space="preserve">o řádku deníku zadejte skladovou lokací=Modrý </w:t>
      </w:r>
      <w:r w:rsidR="00AC735D">
        <w:rPr>
          <w:sz w:val="20"/>
          <w:szCs w:val="20"/>
        </w:rPr>
        <w:t xml:space="preserve">a </w:t>
      </w:r>
      <w:r w:rsidR="009063CE">
        <w:rPr>
          <w:sz w:val="20"/>
          <w:szCs w:val="20"/>
        </w:rPr>
        <w:t xml:space="preserve"> </w:t>
      </w:r>
      <w:r w:rsidR="00AC735D">
        <w:rPr>
          <w:sz w:val="20"/>
          <w:szCs w:val="20"/>
        </w:rPr>
        <w:t>d</w:t>
      </w:r>
      <w:r w:rsidR="009063CE">
        <w:rPr>
          <w:sz w:val="20"/>
          <w:szCs w:val="20"/>
        </w:rPr>
        <w:t>o políčk</w:t>
      </w:r>
      <w:r w:rsidR="0047315F">
        <w:rPr>
          <w:sz w:val="20"/>
          <w:szCs w:val="20"/>
        </w:rPr>
        <w:t xml:space="preserve">a </w:t>
      </w:r>
      <w:r w:rsidR="009063CE">
        <w:rPr>
          <w:sz w:val="20"/>
          <w:szCs w:val="20"/>
        </w:rPr>
        <w:t xml:space="preserve"> Pořizovací cena zadejte cenu 80 Kč. </w:t>
      </w:r>
    </w:p>
    <w:p w:rsidR="00940E2E" w:rsidRPr="00940E2E" w:rsidRDefault="00940E2E" w:rsidP="00940E2E">
      <w:pPr>
        <w:pStyle w:val="Odstavecseseznamem"/>
        <w:rPr>
          <w:sz w:val="20"/>
          <w:szCs w:val="20"/>
        </w:rPr>
      </w:pPr>
    </w:p>
    <w:p w:rsidR="00940E2E" w:rsidRPr="00940E2E" w:rsidRDefault="00940E2E" w:rsidP="00940E2E">
      <w:pPr>
        <w:jc w:val="left"/>
        <w:rPr>
          <w:sz w:val="20"/>
          <w:szCs w:val="20"/>
        </w:rPr>
      </w:pPr>
    </w:p>
    <w:p w:rsidR="006358C4" w:rsidRPr="001862E2" w:rsidRDefault="00523103" w:rsidP="001862E2">
      <w:pPr>
        <w:pStyle w:val="Odstavecseseznamem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Deník před zaúčtováním prvního prodeje vypadá takto: </w:t>
      </w:r>
    </w:p>
    <w:p w:rsidR="001862E2" w:rsidRDefault="001862E2" w:rsidP="00544931">
      <w:pPr>
        <w:ind w:left="1068"/>
        <w:jc w:val="left"/>
        <w:rPr>
          <w:sz w:val="20"/>
          <w:szCs w:val="20"/>
        </w:rPr>
      </w:pPr>
    </w:p>
    <w:p w:rsidR="009063CE" w:rsidRDefault="009063CE" w:rsidP="00544931">
      <w:pPr>
        <w:ind w:left="1068"/>
        <w:jc w:val="left"/>
        <w:rPr>
          <w:sz w:val="20"/>
          <w:szCs w:val="20"/>
        </w:rPr>
      </w:pPr>
    </w:p>
    <w:p w:rsidR="009063CE" w:rsidRDefault="009063CE" w:rsidP="009063CE">
      <w:pPr>
        <w:ind w:left="70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540E3F5" wp14:editId="1C3D2436">
            <wp:extent cx="5441522" cy="943509"/>
            <wp:effectExtent l="19050" t="19050" r="6985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570" cy="9492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9063CE" w:rsidRDefault="009063CE" w:rsidP="009063CE">
      <w:pPr>
        <w:ind w:left="709"/>
        <w:jc w:val="left"/>
        <w:rPr>
          <w:sz w:val="20"/>
          <w:szCs w:val="20"/>
        </w:rPr>
      </w:pPr>
    </w:p>
    <w:p w:rsidR="009063CE" w:rsidRDefault="009063CE" w:rsidP="009063C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Deník zaúčtujte s pomocí ikony Účto nebo klávesou </w:t>
      </w:r>
      <w:r w:rsidRPr="00AC735D">
        <w:rPr>
          <w:b/>
          <w:sz w:val="20"/>
          <w:szCs w:val="20"/>
        </w:rPr>
        <w:t>F9</w:t>
      </w:r>
      <w:r>
        <w:rPr>
          <w:sz w:val="20"/>
          <w:szCs w:val="20"/>
        </w:rPr>
        <w:t>. Tuto stejnou operaci proveďte podruhé se stejným zbožím</w:t>
      </w:r>
      <w:r w:rsidR="00AC735D">
        <w:rPr>
          <w:sz w:val="20"/>
          <w:szCs w:val="20"/>
        </w:rPr>
        <w:t>,</w:t>
      </w:r>
      <w:r>
        <w:rPr>
          <w:sz w:val="20"/>
          <w:szCs w:val="20"/>
        </w:rPr>
        <w:t xml:space="preserve"> ale s pořizovací cenou 70 Kč. Při následném prodeji provedeme operaci, která „odblokuje“ vyrovnávací předpis postaven</w:t>
      </w:r>
      <w:r w:rsidR="00AC735D">
        <w:rPr>
          <w:sz w:val="20"/>
          <w:szCs w:val="20"/>
        </w:rPr>
        <w:t>ý</w:t>
      </w:r>
      <w:r>
        <w:rPr>
          <w:sz w:val="20"/>
          <w:szCs w:val="20"/>
        </w:rPr>
        <w:t xml:space="preserve"> na principu FIFO, který byl prezentován v předchozím příkladu.  Půjde o princip tak zvaného </w:t>
      </w:r>
      <w:r w:rsidR="0047315F">
        <w:rPr>
          <w:sz w:val="20"/>
          <w:szCs w:val="20"/>
        </w:rPr>
        <w:t>P</w:t>
      </w:r>
      <w:r>
        <w:rPr>
          <w:sz w:val="20"/>
          <w:szCs w:val="20"/>
        </w:rPr>
        <w:t>evného vyrovnání</w:t>
      </w:r>
      <w:r w:rsidR="00633061">
        <w:rPr>
          <w:sz w:val="20"/>
          <w:szCs w:val="20"/>
        </w:rPr>
        <w:t xml:space="preserve">, kde </w:t>
      </w:r>
      <w:r>
        <w:rPr>
          <w:sz w:val="20"/>
          <w:szCs w:val="20"/>
        </w:rPr>
        <w:t xml:space="preserve">princip </w:t>
      </w:r>
      <w:r w:rsidR="00633061">
        <w:rPr>
          <w:sz w:val="20"/>
          <w:szCs w:val="20"/>
        </w:rPr>
        <w:t xml:space="preserve">Pevného vyrovnání </w:t>
      </w:r>
      <w:r>
        <w:rPr>
          <w:sz w:val="20"/>
          <w:szCs w:val="20"/>
        </w:rPr>
        <w:t xml:space="preserve">bude </w:t>
      </w:r>
      <w:r w:rsidR="00633061">
        <w:rPr>
          <w:sz w:val="20"/>
          <w:szCs w:val="20"/>
        </w:rPr>
        <w:t xml:space="preserve">zřejmý </w:t>
      </w:r>
      <w:r>
        <w:rPr>
          <w:sz w:val="20"/>
          <w:szCs w:val="20"/>
        </w:rPr>
        <w:t xml:space="preserve">až </w:t>
      </w:r>
      <w:r w:rsidR="00633061">
        <w:rPr>
          <w:sz w:val="20"/>
          <w:szCs w:val="20"/>
        </w:rPr>
        <w:t xml:space="preserve">potom co </w:t>
      </w:r>
      <w:r>
        <w:rPr>
          <w:sz w:val="20"/>
          <w:szCs w:val="20"/>
        </w:rPr>
        <w:t>vytvoříme řád</w:t>
      </w:r>
      <w:r w:rsidR="00AC735D">
        <w:rPr>
          <w:sz w:val="20"/>
          <w:szCs w:val="20"/>
        </w:rPr>
        <w:t>ky</w:t>
      </w:r>
      <w:r>
        <w:rPr>
          <w:sz w:val="20"/>
          <w:szCs w:val="20"/>
        </w:rPr>
        <w:t xml:space="preserve"> deníku reprezentující </w:t>
      </w:r>
      <w:r w:rsidR="00633061">
        <w:rPr>
          <w:sz w:val="20"/>
          <w:szCs w:val="20"/>
        </w:rPr>
        <w:t>prodej</w:t>
      </w:r>
      <w:r w:rsidR="00AC735D">
        <w:rPr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 w:rsidR="00633061">
        <w:rPr>
          <w:sz w:val="20"/>
          <w:szCs w:val="20"/>
        </w:rPr>
        <w:t xml:space="preserve">ve kterém </w:t>
      </w:r>
      <w:r>
        <w:rPr>
          <w:sz w:val="20"/>
          <w:szCs w:val="20"/>
        </w:rPr>
        <w:t>si vyberem</w:t>
      </w:r>
      <w:r w:rsidR="00633061">
        <w:rPr>
          <w:sz w:val="20"/>
          <w:szCs w:val="20"/>
        </w:rPr>
        <w:t>e</w:t>
      </w:r>
      <w:r>
        <w:rPr>
          <w:sz w:val="20"/>
          <w:szCs w:val="20"/>
        </w:rPr>
        <w:t xml:space="preserve"> „na tvrdo“ čísl</w:t>
      </w:r>
      <w:r w:rsidR="00633061">
        <w:rPr>
          <w:sz w:val="20"/>
          <w:szCs w:val="20"/>
        </w:rPr>
        <w:t>a</w:t>
      </w:r>
      <w:r>
        <w:rPr>
          <w:sz w:val="20"/>
          <w:szCs w:val="20"/>
        </w:rPr>
        <w:t xml:space="preserve"> polož</w:t>
      </w:r>
      <w:r w:rsidR="00633061">
        <w:rPr>
          <w:sz w:val="20"/>
          <w:szCs w:val="20"/>
        </w:rPr>
        <w:t>e</w:t>
      </w:r>
      <w:r>
        <w:rPr>
          <w:sz w:val="20"/>
          <w:szCs w:val="20"/>
        </w:rPr>
        <w:t>k</w:t>
      </w:r>
      <w:r w:rsidR="00AC735D">
        <w:rPr>
          <w:sz w:val="20"/>
          <w:szCs w:val="20"/>
        </w:rPr>
        <w:t>,</w:t>
      </w:r>
      <w:r>
        <w:rPr>
          <w:sz w:val="20"/>
          <w:szCs w:val="20"/>
        </w:rPr>
        <w:t xml:space="preserve"> která nám bud</w:t>
      </w:r>
      <w:r w:rsidR="00633061">
        <w:rPr>
          <w:sz w:val="20"/>
          <w:szCs w:val="20"/>
        </w:rPr>
        <w:t>ou</w:t>
      </w:r>
      <w:r>
        <w:rPr>
          <w:sz w:val="20"/>
          <w:szCs w:val="20"/>
        </w:rPr>
        <w:t xml:space="preserve"> vyrovnávat </w:t>
      </w:r>
      <w:r w:rsidR="00633061">
        <w:rPr>
          <w:sz w:val="20"/>
          <w:szCs w:val="20"/>
        </w:rPr>
        <w:t xml:space="preserve">ten který </w:t>
      </w:r>
      <w:r>
        <w:rPr>
          <w:sz w:val="20"/>
          <w:szCs w:val="20"/>
        </w:rPr>
        <w:t>nákup. Za normálních okoln</w:t>
      </w:r>
      <w:r w:rsidR="00633061">
        <w:rPr>
          <w:sz w:val="20"/>
          <w:szCs w:val="20"/>
        </w:rPr>
        <w:t>o</w:t>
      </w:r>
      <w:r>
        <w:rPr>
          <w:sz w:val="20"/>
          <w:szCs w:val="20"/>
        </w:rPr>
        <w:t xml:space="preserve">stí by se vyrovnávala napřed položka za pořizovací cenu 80 Kč a teprve </w:t>
      </w:r>
      <w:r w:rsidR="00633061">
        <w:rPr>
          <w:sz w:val="20"/>
          <w:szCs w:val="20"/>
        </w:rPr>
        <w:t xml:space="preserve">až </w:t>
      </w:r>
      <w:r>
        <w:rPr>
          <w:sz w:val="20"/>
          <w:szCs w:val="20"/>
        </w:rPr>
        <w:t>potom položka za pořizovací cenu 70 Kč. My s pomocí principu Pevného vyrovnání prodáme 3 Ks FIFO</w:t>
      </w:r>
      <w:r w:rsidR="00A91BA8">
        <w:rPr>
          <w:sz w:val="20"/>
          <w:szCs w:val="20"/>
        </w:rPr>
        <w:t>_</w:t>
      </w:r>
      <w:r>
        <w:rPr>
          <w:sz w:val="20"/>
          <w:szCs w:val="20"/>
        </w:rPr>
        <w:t>Test za 70 Kč a 5 ks FIFO</w:t>
      </w:r>
      <w:r w:rsidR="00A91BA8">
        <w:rPr>
          <w:sz w:val="20"/>
          <w:szCs w:val="20"/>
        </w:rPr>
        <w:t>_</w:t>
      </w:r>
      <w:r>
        <w:rPr>
          <w:sz w:val="20"/>
          <w:szCs w:val="20"/>
        </w:rPr>
        <w:t xml:space="preserve">Test  za 80 Kč.    </w:t>
      </w:r>
    </w:p>
    <w:p w:rsidR="00633061" w:rsidRDefault="00633061" w:rsidP="009063CE">
      <w:pPr>
        <w:ind w:left="709"/>
        <w:jc w:val="left"/>
        <w:rPr>
          <w:sz w:val="20"/>
          <w:szCs w:val="20"/>
        </w:rPr>
      </w:pPr>
    </w:p>
    <w:p w:rsidR="00AC735D" w:rsidRDefault="00AC735D" w:rsidP="009063CE">
      <w:pPr>
        <w:ind w:left="709"/>
        <w:jc w:val="left"/>
        <w:rPr>
          <w:sz w:val="20"/>
          <w:szCs w:val="20"/>
        </w:rPr>
      </w:pPr>
    </w:p>
    <w:p w:rsidR="00633061" w:rsidRDefault="00633061" w:rsidP="009063C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Druhý řádek reprezentující nákup (před zaúčtováním): </w:t>
      </w:r>
    </w:p>
    <w:p w:rsidR="001862E2" w:rsidRDefault="001862E2" w:rsidP="00544931">
      <w:pPr>
        <w:ind w:left="1068"/>
        <w:jc w:val="left"/>
        <w:rPr>
          <w:sz w:val="20"/>
          <w:szCs w:val="20"/>
        </w:rPr>
      </w:pPr>
    </w:p>
    <w:p w:rsidR="00633061" w:rsidRDefault="00633061" w:rsidP="00633061">
      <w:pPr>
        <w:ind w:left="1068" w:hanging="35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515E614" wp14:editId="74EB1CBA">
            <wp:extent cx="5575596" cy="492760"/>
            <wp:effectExtent l="19050" t="19050" r="25400" b="215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4105" cy="493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735D" w:rsidRDefault="00AC735D" w:rsidP="00633061">
      <w:pPr>
        <w:ind w:left="1068" w:hanging="359"/>
        <w:jc w:val="left"/>
        <w:rPr>
          <w:sz w:val="20"/>
          <w:szCs w:val="20"/>
        </w:rPr>
      </w:pPr>
    </w:p>
    <w:p w:rsidR="00AC735D" w:rsidRDefault="00AC735D" w:rsidP="00633061">
      <w:pPr>
        <w:ind w:left="1068" w:hanging="359"/>
        <w:jc w:val="left"/>
        <w:rPr>
          <w:sz w:val="20"/>
          <w:szCs w:val="20"/>
        </w:rPr>
      </w:pPr>
    </w:p>
    <w:p w:rsidR="00AC735D" w:rsidRDefault="00AC735D" w:rsidP="00633061">
      <w:pPr>
        <w:ind w:left="1068" w:hanging="359"/>
        <w:jc w:val="left"/>
        <w:rPr>
          <w:sz w:val="20"/>
          <w:szCs w:val="20"/>
        </w:rPr>
      </w:pPr>
    </w:p>
    <w:p w:rsidR="00AC735D" w:rsidRDefault="00AC735D" w:rsidP="00633061">
      <w:pPr>
        <w:ind w:left="1068" w:hanging="359"/>
        <w:jc w:val="left"/>
        <w:rPr>
          <w:sz w:val="20"/>
          <w:szCs w:val="20"/>
        </w:rPr>
      </w:pPr>
    </w:p>
    <w:p w:rsidR="00AC735D" w:rsidRDefault="00AC735D" w:rsidP="00633061">
      <w:pPr>
        <w:ind w:left="1068" w:hanging="359"/>
        <w:jc w:val="left"/>
        <w:rPr>
          <w:sz w:val="20"/>
          <w:szCs w:val="20"/>
        </w:rPr>
      </w:pPr>
    </w:p>
    <w:p w:rsidR="00633061" w:rsidRDefault="00633061" w:rsidP="00633061">
      <w:pPr>
        <w:ind w:left="1068" w:hanging="359"/>
        <w:jc w:val="left"/>
        <w:rPr>
          <w:sz w:val="20"/>
          <w:szCs w:val="20"/>
        </w:rPr>
      </w:pPr>
    </w:p>
    <w:p w:rsidR="00633061" w:rsidRDefault="00633061" w:rsidP="005114C2">
      <w:pPr>
        <w:pStyle w:val="Odstavecseseznamem"/>
        <w:numPr>
          <w:ilvl w:val="0"/>
          <w:numId w:val="5"/>
        </w:numPr>
        <w:ind w:left="1068" w:hanging="359"/>
        <w:jc w:val="left"/>
        <w:rPr>
          <w:sz w:val="20"/>
          <w:szCs w:val="20"/>
        </w:rPr>
      </w:pPr>
      <w:r w:rsidRPr="00633061">
        <w:rPr>
          <w:sz w:val="20"/>
          <w:szCs w:val="20"/>
        </w:rPr>
        <w:t>Položky zboží FIFO</w:t>
      </w:r>
      <w:r w:rsidR="00A91BA8">
        <w:rPr>
          <w:sz w:val="20"/>
          <w:szCs w:val="20"/>
        </w:rPr>
        <w:t>_</w:t>
      </w:r>
      <w:r w:rsidRPr="00633061">
        <w:rPr>
          <w:sz w:val="20"/>
          <w:szCs w:val="20"/>
        </w:rPr>
        <w:t>Test po zaúčtování</w:t>
      </w:r>
      <w:r>
        <w:rPr>
          <w:sz w:val="20"/>
          <w:szCs w:val="20"/>
        </w:rPr>
        <w:t xml:space="preserve"> Deníku zboží</w:t>
      </w:r>
      <w:r w:rsidR="0047315F">
        <w:rPr>
          <w:sz w:val="20"/>
          <w:szCs w:val="20"/>
        </w:rPr>
        <w:t xml:space="preserve">. V tomto okně byla pole Číslo vyrovnání posunuta více doleva, aby byl následný princip Pevného vyrovnání zřetelnější. </w:t>
      </w:r>
    </w:p>
    <w:p w:rsidR="00633061" w:rsidRPr="00633061" w:rsidRDefault="00633061" w:rsidP="00633061">
      <w:pPr>
        <w:jc w:val="left"/>
        <w:rPr>
          <w:sz w:val="20"/>
          <w:szCs w:val="20"/>
        </w:rPr>
      </w:pPr>
    </w:p>
    <w:p w:rsidR="00523103" w:rsidRDefault="00AC735D" w:rsidP="00AC735D">
      <w:pPr>
        <w:ind w:left="70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6EE8665" wp14:editId="354712C6">
            <wp:extent cx="5760720" cy="591185"/>
            <wp:effectExtent l="19050" t="19050" r="11430" b="1841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735D" w:rsidRDefault="00AC735D" w:rsidP="00AC735D">
      <w:pPr>
        <w:ind w:left="709"/>
        <w:jc w:val="left"/>
        <w:rPr>
          <w:sz w:val="20"/>
          <w:szCs w:val="20"/>
        </w:rPr>
      </w:pPr>
    </w:p>
    <w:p w:rsidR="00AC735D" w:rsidRDefault="00AC735D" w:rsidP="00AC735D">
      <w:pPr>
        <w:ind w:left="709"/>
        <w:jc w:val="left"/>
        <w:rPr>
          <w:sz w:val="20"/>
          <w:szCs w:val="20"/>
        </w:rPr>
      </w:pPr>
    </w:p>
    <w:p w:rsidR="00AC735D" w:rsidRPr="004635C0" w:rsidRDefault="00AC735D" w:rsidP="004635C0">
      <w:pPr>
        <w:pStyle w:val="Odstavecseseznamem"/>
        <w:numPr>
          <w:ilvl w:val="0"/>
          <w:numId w:val="5"/>
        </w:numPr>
        <w:tabs>
          <w:tab w:val="left" w:pos="567"/>
        </w:tabs>
        <w:ind w:left="1134" w:hanging="425"/>
        <w:jc w:val="left"/>
        <w:rPr>
          <w:sz w:val="20"/>
          <w:szCs w:val="20"/>
        </w:rPr>
      </w:pPr>
      <w:r w:rsidRPr="004635C0">
        <w:rPr>
          <w:sz w:val="20"/>
          <w:szCs w:val="20"/>
        </w:rPr>
        <w:t xml:space="preserve">Řádky deníku po vyplnění (typ řádku=Prodej). Napřed vybereme </w:t>
      </w:r>
      <w:r w:rsidR="00940E2E">
        <w:rPr>
          <w:sz w:val="20"/>
          <w:szCs w:val="20"/>
        </w:rPr>
        <w:t>v políčku Vyrovnává položku hodnotu v Čísle položky =</w:t>
      </w:r>
      <w:r w:rsidRPr="004635C0">
        <w:rPr>
          <w:sz w:val="20"/>
          <w:szCs w:val="20"/>
        </w:rPr>
        <w:t xml:space="preserve">467 pro 3 ks FIFO_Test za 70 Kč a následně teprve </w:t>
      </w:r>
      <w:r w:rsidR="00940E2E">
        <w:rPr>
          <w:sz w:val="20"/>
          <w:szCs w:val="20"/>
        </w:rPr>
        <w:t xml:space="preserve">v políčku Vyrovnává položku hodnotu </w:t>
      </w:r>
      <w:r w:rsidRPr="004635C0">
        <w:rPr>
          <w:sz w:val="20"/>
          <w:szCs w:val="20"/>
        </w:rPr>
        <w:t xml:space="preserve">Číslo položky=466 pro 5 ks FIFO_Test za 80 Kč. Pokud bychom  toto neprovedli, automaticky bychom vyrovnali oba prodeje podle  principu FIFO , tedy 8  Ks FIFO_Test  z položky typu Nákup za 80 Kč.  </w:t>
      </w:r>
      <w:r w:rsidR="00940E2E">
        <w:rPr>
          <w:sz w:val="20"/>
          <w:szCs w:val="20"/>
        </w:rPr>
        <w:t>Je vidět, že průměrná pořizovací cena je 75 Kč = (700+800)/20.</w:t>
      </w:r>
    </w:p>
    <w:p w:rsidR="004635C0" w:rsidRDefault="004635C0" w:rsidP="00AC735D">
      <w:pPr>
        <w:ind w:left="709"/>
        <w:jc w:val="left"/>
        <w:rPr>
          <w:sz w:val="20"/>
          <w:szCs w:val="20"/>
        </w:rPr>
      </w:pPr>
    </w:p>
    <w:p w:rsidR="004635C0" w:rsidRDefault="004635C0" w:rsidP="00AC735D">
      <w:pPr>
        <w:ind w:left="709"/>
        <w:jc w:val="left"/>
        <w:rPr>
          <w:sz w:val="20"/>
          <w:szCs w:val="20"/>
        </w:rPr>
      </w:pPr>
    </w:p>
    <w:p w:rsidR="004635C0" w:rsidRDefault="00940E2E" w:rsidP="00AC735D">
      <w:pPr>
        <w:ind w:left="70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70BE1BF" wp14:editId="31E8222A">
            <wp:extent cx="5760720" cy="588010"/>
            <wp:effectExtent l="19050" t="19050" r="11430" b="2159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62E2" w:rsidRDefault="001862E2" w:rsidP="00544931">
      <w:pPr>
        <w:ind w:left="1068"/>
        <w:jc w:val="left"/>
        <w:rPr>
          <w:sz w:val="20"/>
          <w:szCs w:val="20"/>
        </w:rPr>
      </w:pPr>
    </w:p>
    <w:p w:rsidR="00940E2E" w:rsidRDefault="00940E2E" w:rsidP="00544931">
      <w:pPr>
        <w:ind w:left="106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Řádky deníku zaúčtujeme s pomocí ikony Účto nebo klávesou F9. Dostaneme tyto tři položky zboží  FIFO_Test (z karty nebo seznamu s pomocí ikony Položky nebo kombinací kláves Ctrl-F.  </w:t>
      </w:r>
    </w:p>
    <w:p w:rsidR="00940E2E" w:rsidRDefault="00940E2E" w:rsidP="00544931">
      <w:pPr>
        <w:ind w:left="1068"/>
        <w:jc w:val="left"/>
        <w:rPr>
          <w:sz w:val="20"/>
          <w:szCs w:val="20"/>
        </w:rPr>
      </w:pPr>
    </w:p>
    <w:p w:rsidR="001862E2" w:rsidRDefault="00940E2E" w:rsidP="00940E2E">
      <w:pPr>
        <w:ind w:left="70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6B02936" wp14:editId="5A01FD48">
            <wp:extent cx="5827792" cy="857850"/>
            <wp:effectExtent l="19050" t="19050" r="20955" b="190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3029" cy="8733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940E2E" w:rsidRDefault="00940E2E" w:rsidP="00940E2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0E2E" w:rsidRDefault="00940E2E" w:rsidP="00940E2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>Odečetlo se 3*70 + 5*80=210+400=610 a na sklad nám zbylo hodnota zboží FIFO_Test 1500-610=</w:t>
      </w:r>
      <w:r w:rsidR="0079359A">
        <w:rPr>
          <w:sz w:val="20"/>
          <w:szCs w:val="20"/>
        </w:rPr>
        <w:t>890</w:t>
      </w:r>
    </w:p>
    <w:p w:rsidR="0079359A" w:rsidRDefault="0079359A" w:rsidP="00940E2E">
      <w:pPr>
        <w:ind w:left="709"/>
        <w:jc w:val="left"/>
        <w:rPr>
          <w:sz w:val="20"/>
          <w:szCs w:val="20"/>
        </w:rPr>
      </w:pPr>
    </w:p>
    <w:p w:rsidR="0079359A" w:rsidRDefault="0079359A" w:rsidP="00940E2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>V poli Průměrná cena (záložka fakturace na kartě zboží FIFO_Test) uvidíme Přehled výpočtu průměrné pořizovací ceny, kde 74,17= 890/(20-3-8)=890/12</w:t>
      </w:r>
    </w:p>
    <w:p w:rsidR="0079359A" w:rsidRDefault="0079359A" w:rsidP="00940E2E">
      <w:pPr>
        <w:ind w:left="709"/>
        <w:jc w:val="left"/>
        <w:rPr>
          <w:sz w:val="20"/>
          <w:szCs w:val="20"/>
        </w:rPr>
      </w:pPr>
    </w:p>
    <w:p w:rsidR="0079359A" w:rsidRDefault="0079359A" w:rsidP="00940E2E">
      <w:pPr>
        <w:ind w:left="709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FD95F54" wp14:editId="3FB74753">
            <wp:extent cx="5381812" cy="1413674"/>
            <wp:effectExtent l="19050" t="19050" r="9525" b="1524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3703" cy="14220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79359A" w:rsidRDefault="0079359A" w:rsidP="00940E2E">
      <w:pPr>
        <w:ind w:left="709"/>
        <w:jc w:val="left"/>
        <w:rPr>
          <w:sz w:val="20"/>
          <w:szCs w:val="20"/>
        </w:rPr>
      </w:pPr>
    </w:p>
    <w:p w:rsidR="0079359A" w:rsidRDefault="0079359A" w:rsidP="00940E2E">
      <w:pPr>
        <w:ind w:left="709"/>
        <w:jc w:val="left"/>
        <w:rPr>
          <w:sz w:val="20"/>
          <w:szCs w:val="20"/>
        </w:rPr>
      </w:pPr>
    </w:p>
    <w:p w:rsidR="0079359A" w:rsidRDefault="0079359A" w:rsidP="00940E2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Pokud zboží FIFO_Test adjustujeme tak jak jsem to dělali v předchozím příkladu (Oblasti-&gt;Správa financí_&gt;Zásoby-&gt;Úkoly-&gt;Ocenění-&gt;Adjustace nákladů-položky zboží) </w:t>
      </w:r>
    </w:p>
    <w:p w:rsidR="0079359A" w:rsidRDefault="0079359A" w:rsidP="00940E2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862E2" w:rsidRDefault="001862E2" w:rsidP="00544931">
      <w:pPr>
        <w:ind w:left="1068"/>
        <w:jc w:val="left"/>
        <w:rPr>
          <w:sz w:val="20"/>
          <w:szCs w:val="20"/>
        </w:rPr>
      </w:pPr>
    </w:p>
    <w:p w:rsidR="001862E2" w:rsidRDefault="001862E2" w:rsidP="00544931">
      <w:pPr>
        <w:ind w:left="1068"/>
        <w:jc w:val="left"/>
        <w:rPr>
          <w:sz w:val="20"/>
          <w:szCs w:val="20"/>
        </w:rPr>
      </w:pPr>
    </w:p>
    <w:p w:rsidR="001862E2" w:rsidRDefault="0079359A" w:rsidP="00544931">
      <w:pPr>
        <w:ind w:left="1068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855FC6">
        <w:rPr>
          <w:noProof/>
          <w:lang w:eastAsia="cs-CZ"/>
        </w:rPr>
        <w:drawing>
          <wp:inline distT="0" distB="0" distL="0" distR="0" wp14:anchorId="5CEFEDDA" wp14:editId="29DAAF01">
            <wp:extent cx="2600000" cy="1704762"/>
            <wp:effectExtent l="19050" t="19050" r="10160" b="1016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17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359A" w:rsidRDefault="0079359A" w:rsidP="00544931">
      <w:pPr>
        <w:ind w:left="1068"/>
        <w:jc w:val="left"/>
        <w:rPr>
          <w:sz w:val="20"/>
          <w:szCs w:val="20"/>
        </w:rPr>
      </w:pPr>
    </w:p>
    <w:p w:rsidR="0011563E" w:rsidRDefault="00855FC6" w:rsidP="0011563E">
      <w:pPr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Pomocí klávesy Ok tuto dávkovou úlohu nastartujeme.  Pokud jste nezaškrtli pole Účtovat, což se díky typu Nastavení zásob nemusí podařit pak je potřeba ještě spustit další dávkovou úlohu, která </w:t>
      </w:r>
      <w:r w:rsidR="001156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přenese </w:t>
      </w:r>
      <w:r w:rsidR="0011563E">
        <w:rPr>
          <w:sz w:val="20"/>
          <w:szCs w:val="20"/>
        </w:rPr>
        <w:t>zaúčtované skladové pohyby do hlavní knihy s pomocí (Oblasti-&gt;Správa financí_&gt;Zásoby-&gt;Sestavy a Analýzy-&gt;Ocenění-&gt;Účtování nákladů na zboží</w:t>
      </w:r>
      <w:r>
        <w:rPr>
          <w:sz w:val="20"/>
          <w:szCs w:val="20"/>
        </w:rPr>
        <w:t xml:space="preserve">)  </w:t>
      </w:r>
      <w:r w:rsidR="0011563E">
        <w:rPr>
          <w:sz w:val="20"/>
          <w:szCs w:val="20"/>
        </w:rPr>
        <w:t xml:space="preserve"> </w:t>
      </w:r>
    </w:p>
    <w:p w:rsidR="0079359A" w:rsidRDefault="0079359A" w:rsidP="00544931">
      <w:pPr>
        <w:ind w:left="1068"/>
        <w:jc w:val="left"/>
        <w:rPr>
          <w:sz w:val="20"/>
          <w:szCs w:val="20"/>
        </w:rPr>
      </w:pPr>
    </w:p>
    <w:p w:rsidR="00855FC6" w:rsidRDefault="00855FC6" w:rsidP="00855FC6">
      <w:pPr>
        <w:ind w:left="567"/>
        <w:jc w:val="left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D8AEC11" wp14:editId="19D6B8B7">
            <wp:extent cx="2760030" cy="2090764"/>
            <wp:effectExtent l="19050" t="19050" r="21590" b="2413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5895" cy="20952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855FC6" w:rsidRDefault="00855FC6" w:rsidP="00855FC6">
      <w:pPr>
        <w:ind w:left="567"/>
        <w:jc w:val="left"/>
        <w:rPr>
          <w:sz w:val="20"/>
          <w:szCs w:val="20"/>
        </w:rPr>
      </w:pPr>
    </w:p>
    <w:p w:rsidR="00855FC6" w:rsidRDefault="00C1749D" w:rsidP="00855FC6">
      <w:pPr>
        <w:ind w:left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Jako konečný výsledek dostaneme (Správa financí-&gt;Finance-&gt;Archiv-&gt;Historie -&gt;Finanční žurnály) a poslední </w:t>
      </w:r>
      <w:r w:rsidR="00365643">
        <w:rPr>
          <w:sz w:val="20"/>
          <w:szCs w:val="20"/>
        </w:rPr>
        <w:t xml:space="preserve">řádky s Kódem původu = HODSKLADU. Pozor-&gt;na níže uvedené obrazovce jde již o vyfiltrované řádky na datum a Kód  </w:t>
      </w:r>
      <w:r>
        <w:rPr>
          <w:sz w:val="20"/>
          <w:szCs w:val="20"/>
        </w:rPr>
        <w:t xml:space="preserve"> </w:t>
      </w:r>
      <w:r w:rsidR="00365643">
        <w:rPr>
          <w:sz w:val="20"/>
          <w:szCs w:val="20"/>
        </w:rPr>
        <w:t xml:space="preserve">původu.  </w:t>
      </w:r>
    </w:p>
    <w:p w:rsidR="0011563E" w:rsidRDefault="00855FC6" w:rsidP="00855FC6">
      <w:pPr>
        <w:ind w:left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563E" w:rsidRPr="00544931" w:rsidRDefault="0011563E" w:rsidP="00544931">
      <w:pPr>
        <w:ind w:left="1068"/>
        <w:jc w:val="left"/>
        <w:rPr>
          <w:sz w:val="20"/>
          <w:szCs w:val="20"/>
        </w:rPr>
      </w:pPr>
    </w:p>
    <w:p w:rsidR="00810829" w:rsidRDefault="00365643">
      <w:r>
        <w:rPr>
          <w:noProof/>
          <w:lang w:eastAsia="cs-CZ"/>
        </w:rPr>
        <w:drawing>
          <wp:inline distT="0" distB="0" distL="0" distR="0" wp14:anchorId="2701BC2B" wp14:editId="48E1451C">
            <wp:extent cx="5760720" cy="1661795"/>
            <wp:effectExtent l="19050" t="19050" r="11430" b="1460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1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65643" w:rsidRDefault="00365643"/>
    <w:p w:rsidR="00365643" w:rsidRDefault="00365643">
      <w:r>
        <w:t>Věcné položky budo</w:t>
      </w:r>
      <w:r w:rsidR="00A8621E">
        <w:t>u</w:t>
      </w:r>
      <w:r>
        <w:t xml:space="preserve"> vypadat takto  </w:t>
      </w:r>
      <w:r w:rsidR="00A8621E">
        <w:t xml:space="preserve">po </w:t>
      </w:r>
      <w:r>
        <w:t>nast</w:t>
      </w:r>
      <w:r w:rsidR="00A8621E">
        <w:t>a</w:t>
      </w:r>
      <w:r>
        <w:t>v</w:t>
      </w:r>
      <w:r w:rsidR="00A8621E">
        <w:t>e</w:t>
      </w:r>
      <w:r>
        <w:t xml:space="preserve">ní filtru na čísla položek </w:t>
      </w:r>
      <w:r w:rsidR="00C860F9">
        <w:t xml:space="preserve">3339..3350. Adjustace doladila rozdíly mezi původní průměrnou cenou 75 Kč=1500/20 a skutečnými cenami 200=3*70 a 400=5*80. Takže místo snížení stavu o 3*75=225 a 5*75=375 se zaúčtovala hodnota 210 a 400.  </w:t>
      </w:r>
    </w:p>
    <w:p w:rsidR="00365643" w:rsidRDefault="00365643">
      <w:r>
        <w:rPr>
          <w:noProof/>
          <w:lang w:eastAsia="cs-CZ"/>
        </w:rPr>
        <w:lastRenderedPageBreak/>
        <w:drawing>
          <wp:inline distT="0" distB="0" distL="0" distR="0" wp14:anchorId="3E0068CA" wp14:editId="6B7FA0D4">
            <wp:extent cx="5760720" cy="2004060"/>
            <wp:effectExtent l="19050" t="19050" r="11430" b="1524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4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860F9">
        <w:t xml:space="preserve"> </w:t>
      </w:r>
    </w:p>
    <w:p w:rsidR="00C860F9" w:rsidRDefault="00C860F9"/>
    <w:p w:rsidR="00956942" w:rsidRDefault="00C860F9" w:rsidP="00C860F9">
      <w:pPr>
        <w:jc w:val="left"/>
      </w:pPr>
      <w:r>
        <w:t xml:space="preserve">Když spustíme zprávu Hodnota skladu (Finance-&gt;Zásoby-&gt;Sestavy a Analýzy-&gt;Sestavy-&gt;Hodnota zásob) dostaneme </w:t>
      </w:r>
      <w:r w:rsidR="00365643">
        <w:t xml:space="preserve">  </w:t>
      </w:r>
    </w:p>
    <w:p w:rsidR="00956942" w:rsidRDefault="00956942" w:rsidP="009D1C48">
      <w:pPr>
        <w:jc w:val="left"/>
      </w:pPr>
    </w:p>
    <w:p w:rsidR="00C860F9" w:rsidRDefault="00C860F9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42B20BDB" wp14:editId="65F1D5DC">
            <wp:extent cx="5760720" cy="2179955"/>
            <wp:effectExtent l="19050" t="19050" r="11430" b="1079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860F9" w:rsidRDefault="00C860F9" w:rsidP="009D1C48">
      <w:pPr>
        <w:jc w:val="left"/>
      </w:pPr>
    </w:p>
    <w:p w:rsidR="00C860F9" w:rsidRDefault="00C860F9" w:rsidP="009D1C48">
      <w:pPr>
        <w:jc w:val="left"/>
      </w:pPr>
      <w:r>
        <w:t>Položky ocenění u obou položek zboží typu Podej pak budou</w:t>
      </w:r>
    </w:p>
    <w:p w:rsidR="00C860F9" w:rsidRDefault="00C860F9" w:rsidP="009D1C48">
      <w:pPr>
        <w:jc w:val="left"/>
      </w:pPr>
    </w:p>
    <w:p w:rsidR="00C860F9" w:rsidRDefault="007C539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447FF260" wp14:editId="219FB8AE">
            <wp:extent cx="5760720" cy="2033270"/>
            <wp:effectExtent l="19050" t="19050" r="11430" b="2413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C5397" w:rsidRDefault="007C5397" w:rsidP="009D1C48">
      <w:pPr>
        <w:jc w:val="left"/>
      </w:pPr>
    </w:p>
    <w:p w:rsidR="007C5397" w:rsidRDefault="007C5397" w:rsidP="009D1C48">
      <w:pPr>
        <w:jc w:val="left"/>
      </w:pPr>
      <w:r>
        <w:t xml:space="preserve">Z položek zboží je možné spustit (z pásu karet Sešit vyrovnání, kde je možné nastavené pevné vyrovnání odstranit a vyrovnat jiným způsobem. Sešit vyrovnání -&gt;kurzor na první a následně na druhou položku typu Prodej-&gt; ikona </w:t>
      </w:r>
      <w:r w:rsidRPr="007C5397">
        <w:rPr>
          <w:b/>
          <w:color w:val="00B050"/>
        </w:rPr>
        <w:t>Vyrovnané položky</w:t>
      </w:r>
      <w:r w:rsidRPr="007C5397">
        <w:rPr>
          <w:color w:val="00B050"/>
        </w:rPr>
        <w:t xml:space="preserve"> </w:t>
      </w:r>
      <w:r>
        <w:t xml:space="preserve">a  ikonou  </w:t>
      </w:r>
      <w:r w:rsidRPr="007C5397">
        <w:rPr>
          <w:b/>
          <w:color w:val="FF0000"/>
        </w:rPr>
        <w:t>Odebrat vyrovnání</w:t>
      </w:r>
      <w:r>
        <w:rPr>
          <w:b/>
          <w:color w:val="FF0000"/>
        </w:rPr>
        <w:t xml:space="preserve"> </w:t>
      </w:r>
      <w:r>
        <w:t xml:space="preserve">odebereme vyrovnání a dostaneme 4 otevřené položky </w:t>
      </w:r>
    </w:p>
    <w:p w:rsidR="00C860F9" w:rsidRDefault="00C860F9" w:rsidP="009D1C48">
      <w:pPr>
        <w:jc w:val="left"/>
      </w:pPr>
    </w:p>
    <w:p w:rsidR="007C5397" w:rsidRDefault="007C5397" w:rsidP="009D1C48">
      <w:pPr>
        <w:jc w:val="left"/>
      </w:pPr>
    </w:p>
    <w:p w:rsidR="007C5397" w:rsidRDefault="007C5397" w:rsidP="009D1C48">
      <w:pPr>
        <w:jc w:val="left"/>
      </w:pPr>
    </w:p>
    <w:p w:rsidR="007C5397" w:rsidRDefault="00F75BF7" w:rsidP="009D1C48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03035EF5" wp14:editId="66183C37">
            <wp:extent cx="5760720" cy="1784350"/>
            <wp:effectExtent l="19050" t="19050" r="11430" b="2540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5BF7" w:rsidRDefault="00F75BF7" w:rsidP="009D1C48">
      <w:pPr>
        <w:jc w:val="left"/>
      </w:pPr>
      <w:r>
        <w:t xml:space="preserve">Odebrané první vyrovnání </w:t>
      </w:r>
    </w:p>
    <w:p w:rsidR="00F75BF7" w:rsidRDefault="00F75BF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164A60C5" wp14:editId="4C7601B4">
            <wp:extent cx="5760720" cy="1090295"/>
            <wp:effectExtent l="19050" t="19050" r="11430" b="146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5BF7" w:rsidRDefault="00F75BF7" w:rsidP="009D1C48">
      <w:pPr>
        <w:jc w:val="left"/>
      </w:pPr>
      <w:r>
        <w:t xml:space="preserve">Odebrané druhé vyrovnání  </w:t>
      </w:r>
    </w:p>
    <w:p w:rsidR="00F75BF7" w:rsidRDefault="00F75BF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3C7D7B00" wp14:editId="10AF5A65">
            <wp:extent cx="5760720" cy="1129030"/>
            <wp:effectExtent l="19050" t="19050" r="11430" b="139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5BF7" w:rsidRDefault="00F75BF7" w:rsidP="009D1C48">
      <w:pPr>
        <w:jc w:val="left"/>
      </w:pPr>
    </w:p>
    <w:p w:rsidR="00F75BF7" w:rsidRDefault="00F75BF7" w:rsidP="009D1C48">
      <w:pPr>
        <w:jc w:val="left"/>
      </w:pPr>
      <w:r>
        <w:t xml:space="preserve">Vše je otevřeno </w:t>
      </w:r>
    </w:p>
    <w:p w:rsidR="00F75BF7" w:rsidRDefault="00F75BF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1419EC42" wp14:editId="735FD07D">
            <wp:extent cx="5760720" cy="1242695"/>
            <wp:effectExtent l="19050" t="19050" r="11430" b="146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2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5BF7" w:rsidRDefault="00F75BF7" w:rsidP="009D1C48">
      <w:pPr>
        <w:jc w:val="left"/>
      </w:pPr>
    </w:p>
    <w:p w:rsidR="00F75BF7" w:rsidRDefault="00F75BF7" w:rsidP="009D1C48">
      <w:pPr>
        <w:jc w:val="left"/>
      </w:pPr>
      <w:r>
        <w:t xml:space="preserve">Pokud Sešit „opustíme“ pak dostaneme zprávu, že se položky opět vyrovnají  , ovšem v tomto případě podle principu FIOFO. Nebo lze     s pomocí ikony Nevyrovnané položky provést opět půvdoní vyrovnání což nebudeme v tomto příkladu už dělat. Vybereme tedy v panelu pro uzavření Sešitu vyrovnání ANO a dostaneme </w:t>
      </w:r>
      <w:r w:rsidR="00084F8F">
        <w:t xml:space="preserve">vyrovnání 5 + 3  z prvního nákupu. </w:t>
      </w:r>
    </w:p>
    <w:p w:rsidR="00F75BF7" w:rsidRDefault="00F75BF7" w:rsidP="009D1C48">
      <w:pPr>
        <w:jc w:val="left"/>
      </w:pPr>
    </w:p>
    <w:p w:rsidR="00F75BF7" w:rsidRDefault="00F75BF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2778E7BC" wp14:editId="3170AC59">
            <wp:extent cx="2193438" cy="701268"/>
            <wp:effectExtent l="19050" t="19050" r="16510" b="228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11442" cy="7070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4F8F" w:rsidRDefault="00084F8F" w:rsidP="009D1C48">
      <w:pPr>
        <w:jc w:val="left"/>
      </w:pPr>
    </w:p>
    <w:p w:rsidR="00F75BF7" w:rsidRDefault="00F75BF7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7BDFE368" wp14:editId="0284C4C2">
            <wp:extent cx="5760720" cy="532765"/>
            <wp:effectExtent l="19050" t="19050" r="11430" b="196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4F8F" w:rsidRDefault="00084F8F" w:rsidP="009D1C48">
      <w:pPr>
        <w:jc w:val="left"/>
      </w:pPr>
    </w:p>
    <w:p w:rsidR="00084F8F" w:rsidRDefault="00084F8F" w:rsidP="009D1C48">
      <w:pPr>
        <w:jc w:val="left"/>
      </w:pPr>
      <w:r>
        <w:lastRenderedPageBreak/>
        <w:t xml:space="preserve">Výsledkem této malé „eskapády“ bude samozřejmě jiná cena ve Výpočtu průměrné pořizovací ceny. </w:t>
      </w:r>
    </w:p>
    <w:p w:rsidR="00084F8F" w:rsidRDefault="00084F8F" w:rsidP="009D1C48">
      <w:pPr>
        <w:jc w:val="left"/>
      </w:pPr>
    </w:p>
    <w:p w:rsidR="00084F8F" w:rsidRDefault="00084F8F" w:rsidP="009D1C48">
      <w:pPr>
        <w:jc w:val="left"/>
      </w:pPr>
    </w:p>
    <w:p w:rsidR="00084F8F" w:rsidRDefault="00084F8F" w:rsidP="009D1C48">
      <w:pPr>
        <w:jc w:val="left"/>
      </w:pPr>
      <w:r>
        <w:rPr>
          <w:noProof/>
          <w:lang w:eastAsia="cs-CZ"/>
        </w:rPr>
        <w:drawing>
          <wp:inline distT="0" distB="0" distL="0" distR="0" wp14:anchorId="039ABF43" wp14:editId="06A52945">
            <wp:extent cx="5760720" cy="1313180"/>
            <wp:effectExtent l="19050" t="19050" r="11430" b="203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3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84F8F" w:rsidRDefault="00084F8F" w:rsidP="009D1C48">
      <w:pPr>
        <w:jc w:val="left"/>
      </w:pPr>
    </w:p>
    <w:p w:rsidR="00084F8F" w:rsidRDefault="00084F8F" w:rsidP="009D1C48">
      <w:pPr>
        <w:jc w:val="left"/>
      </w:pPr>
      <w:bookmarkStart w:id="0" w:name="_GoBack"/>
      <w:bookmarkEnd w:id="0"/>
    </w:p>
    <w:p w:rsidR="00F75BF7" w:rsidRDefault="00F75BF7" w:rsidP="009D1C48">
      <w:pPr>
        <w:jc w:val="left"/>
      </w:pPr>
    </w:p>
    <w:sectPr w:rsidR="00F75BF7" w:rsidSect="00506725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3E" w:rsidRDefault="002C1E3E" w:rsidP="00894429">
      <w:r>
        <w:separator/>
      </w:r>
    </w:p>
  </w:endnote>
  <w:endnote w:type="continuationSeparator" w:id="0">
    <w:p w:rsidR="002C1E3E" w:rsidRDefault="002C1E3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F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3E" w:rsidRDefault="002C1E3E" w:rsidP="00894429">
      <w:r>
        <w:separator/>
      </w:r>
    </w:p>
  </w:footnote>
  <w:footnote w:type="continuationSeparator" w:id="0">
    <w:p w:rsidR="002C1E3E" w:rsidRDefault="002C1E3E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 w15:restartNumberingAfterBreak="0">
    <w:nsid w:val="65A23A0B"/>
    <w:multiLevelType w:val="hybridMultilevel"/>
    <w:tmpl w:val="169A8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MDY1t7A0NTM0MTZX0lEKTi0uzszPAykwqwUA/hwLXiwAAAA="/>
  </w:docVars>
  <w:rsids>
    <w:rsidRoot w:val="00810829"/>
    <w:rsid w:val="000121C7"/>
    <w:rsid w:val="00084F8F"/>
    <w:rsid w:val="001102C6"/>
    <w:rsid w:val="0011563E"/>
    <w:rsid w:val="00133D05"/>
    <w:rsid w:val="00165E0E"/>
    <w:rsid w:val="001862E2"/>
    <w:rsid w:val="001B58FA"/>
    <w:rsid w:val="001D16D5"/>
    <w:rsid w:val="00276C79"/>
    <w:rsid w:val="002C1E3E"/>
    <w:rsid w:val="002D3FD2"/>
    <w:rsid w:val="002E6D95"/>
    <w:rsid w:val="00311531"/>
    <w:rsid w:val="0032560D"/>
    <w:rsid w:val="00365643"/>
    <w:rsid w:val="00372A77"/>
    <w:rsid w:val="003B43AF"/>
    <w:rsid w:val="00411947"/>
    <w:rsid w:val="00444B97"/>
    <w:rsid w:val="004635C0"/>
    <w:rsid w:val="00464F1D"/>
    <w:rsid w:val="0047315F"/>
    <w:rsid w:val="0049298D"/>
    <w:rsid w:val="004D2AE0"/>
    <w:rsid w:val="00506725"/>
    <w:rsid w:val="00523103"/>
    <w:rsid w:val="005344FB"/>
    <w:rsid w:val="00544931"/>
    <w:rsid w:val="005509EB"/>
    <w:rsid w:val="00555D3C"/>
    <w:rsid w:val="005637A0"/>
    <w:rsid w:val="00603160"/>
    <w:rsid w:val="00620D6A"/>
    <w:rsid w:val="00633061"/>
    <w:rsid w:val="006358C4"/>
    <w:rsid w:val="006E4A9F"/>
    <w:rsid w:val="006F2EA0"/>
    <w:rsid w:val="00715CA5"/>
    <w:rsid w:val="00726071"/>
    <w:rsid w:val="0078286F"/>
    <w:rsid w:val="0079359A"/>
    <w:rsid w:val="007A3555"/>
    <w:rsid w:val="007C5397"/>
    <w:rsid w:val="007E2FB4"/>
    <w:rsid w:val="00810829"/>
    <w:rsid w:val="0081775A"/>
    <w:rsid w:val="00855FC6"/>
    <w:rsid w:val="00894429"/>
    <w:rsid w:val="008B6A24"/>
    <w:rsid w:val="008F62C8"/>
    <w:rsid w:val="009063CE"/>
    <w:rsid w:val="00940E2E"/>
    <w:rsid w:val="00956942"/>
    <w:rsid w:val="0096133E"/>
    <w:rsid w:val="009965CA"/>
    <w:rsid w:val="00996DB2"/>
    <w:rsid w:val="009A33FB"/>
    <w:rsid w:val="009D1C48"/>
    <w:rsid w:val="00A54F46"/>
    <w:rsid w:val="00A8621E"/>
    <w:rsid w:val="00A91BA8"/>
    <w:rsid w:val="00AA01E9"/>
    <w:rsid w:val="00AC735D"/>
    <w:rsid w:val="00AE13B6"/>
    <w:rsid w:val="00B128BD"/>
    <w:rsid w:val="00BE4DF9"/>
    <w:rsid w:val="00BF4C7E"/>
    <w:rsid w:val="00C1749D"/>
    <w:rsid w:val="00C67E09"/>
    <w:rsid w:val="00C860F9"/>
    <w:rsid w:val="00CD3EE7"/>
    <w:rsid w:val="00CD4AB0"/>
    <w:rsid w:val="00D33FE6"/>
    <w:rsid w:val="00D4382D"/>
    <w:rsid w:val="00D56B23"/>
    <w:rsid w:val="00E7044F"/>
    <w:rsid w:val="00EF2877"/>
    <w:rsid w:val="00F06985"/>
    <w:rsid w:val="00F41C21"/>
    <w:rsid w:val="00F43202"/>
    <w:rsid w:val="00F75BF7"/>
    <w:rsid w:val="00FD0E00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4CD"/>
  <w15:docId w15:val="{C6F48E00-59BB-495D-840B-C35123A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jskorkovsky</dc:creator>
  <cp:lastModifiedBy>Jaromir Skorkovsky</cp:lastModifiedBy>
  <cp:revision>10</cp:revision>
  <dcterms:created xsi:type="dcterms:W3CDTF">2019-03-12T07:56:00Z</dcterms:created>
  <dcterms:modified xsi:type="dcterms:W3CDTF">2019-03-12T10:39:00Z</dcterms:modified>
</cp:coreProperties>
</file>