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F11B" w14:textId="76EAC1C3" w:rsidR="00A54AEC" w:rsidRPr="00FB75A6" w:rsidRDefault="00A54AEC" w:rsidP="00A5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</w:pP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Multikriteriální </w:t>
      </w:r>
      <w:r w:rsidR="004B2E71"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>hodnocení</w:t>
      </w: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 účelnosti výstavby vysokorychlostních </w:t>
      </w:r>
      <w:r w:rsidR="00FD4DCF"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>železnice</w:t>
      </w:r>
      <w:r w:rsidRPr="00FB75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cs-CZ"/>
        </w:rPr>
        <w:t xml:space="preserve"> v České republice</w:t>
      </w:r>
    </w:p>
    <w:p w14:paraId="20C4B41C" w14:textId="77777777" w:rsidR="00BB7D62" w:rsidRDefault="00BB7D62" w:rsidP="00751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002EFA" w14:textId="5AD10BF6" w:rsidR="00E80363" w:rsidRPr="00FB75A6" w:rsidRDefault="00266E33" w:rsidP="00751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rof. </w:t>
      </w:r>
      <w:r w:rsidR="009C370A">
        <w:rPr>
          <w:rFonts w:ascii="Times New Roman" w:hAnsi="Times New Roman" w:cs="Times New Roman"/>
          <w:b/>
          <w:color w:val="000000" w:themeColor="text1"/>
        </w:rPr>
        <w:t>RNDr.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Milan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Viturka</w:t>
      </w:r>
      <w:r w:rsidR="00E80363" w:rsidRPr="00FB75A6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9226DF" w:rsidRPr="00FB75A6">
        <w:rPr>
          <w:rFonts w:ascii="Times New Roman" w:hAnsi="Times New Roman" w:cs="Times New Roman"/>
          <w:b/>
          <w:color w:val="000000" w:themeColor="text1"/>
        </w:rPr>
        <w:t>CSc.</w:t>
      </w:r>
    </w:p>
    <w:p w14:paraId="514F1068" w14:textId="77777777" w:rsidR="000C0414" w:rsidRPr="00FB75A6" w:rsidRDefault="000C0414" w:rsidP="006542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9D8519" w14:textId="32B41D72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Úvod </w:t>
      </w:r>
    </w:p>
    <w:p w14:paraId="21080905" w14:textId="77777777" w:rsidR="009B5C55" w:rsidRPr="00FB75A6" w:rsidRDefault="009B5C55" w:rsidP="009B5C55">
      <w:pPr>
        <w:pStyle w:val="Odstavecseseznamem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Výstavba vysokorychlostních železničních tratí/VRT nesporně patří k významným fenoménům rozvoje dopravní infrastruktury. Tuto skutečnost zohledňuje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 i dlouhodobá vize společné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d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opravní politiky Evropské unie popsaná v tzv. Bílé knize o dopravě (European Commission, 2011). V této souvislosti jsou zdůrazňovány pozitivní vlivy VRT na konkurenceschopnost železnice se silniční a leteckou dopravou (zejména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v rámci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vzdálenost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200 až 600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km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) a udržitelnost společenského rozvoje. V současnosti provozuje VRT 11 z celkem 27 členských zemí EU a v souladu s tím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tak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tvoří významnou součást transevropské dopravní sítě TEN-T integrující silniční, železniční, vodní a leteckou infrastrukturu. Kromě EU 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sou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VRT provozován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 dalších 4 evropských zemích a dále v 5 asijských zemích (včetně Číny, kde byly vybudovány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téměř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2/3 světové sítě VRT) a po jedné zem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v Severní Americe a Africe.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České republiky byl záměr výstavby VRT oficiálně představen Ministerstvem dopravy v roce 2017 a následně schválen vládou jako Program rozvoje tzv. rychlých spojení. Konkrétně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jde o trasy 1 Praha – Jihlava – Brno – Ostrava → Katovice, trasu 2 Brno → Vídeň, trasu 3 Praha – Plzeň → Mnichov a trasu 4 Praha – Ústí n. L. → Drážďany (jako alternativní je diskutována i trasa Praha – H. Králové → Vratislav, která není dále analyzována). V tomto kontextu je hlavním cílem článku představení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vlastní originální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metodiky multikriteriálního hodnocení účelnosti výstavby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hlavních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výsledků její aplikace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pohledu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plánovan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optimalizační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scénář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reflektující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  <w:t xml:space="preserve"> preference nejvýznamnějších stakeholderovských skupin.</w:t>
      </w:r>
      <w:r w:rsidRPr="00FB75A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Získané informace akcentují účelnou realizaci navržených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projekt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ů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včetně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omez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ení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potenciální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ztrát z nevhodné alokace finančních prostředků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(i s ohledem na neexistující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domácí zkušenost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výstavbou VRT)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4C4EBEBC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3F81BCD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8231162"/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Teoretická a metodická východiska výzkumu </w:t>
      </w:r>
    </w:p>
    <w:bookmarkEnd w:id="0"/>
    <w:p w14:paraId="604F315B" w14:textId="77777777" w:rsidR="009B5C55" w:rsidRPr="00FB75A6" w:rsidRDefault="009B5C55" w:rsidP="009B5C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Teoreticko-metodickým základem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užitého multikriteriálního přístupu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 hodnocení výstavby VRT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důraz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účelnost plánovaných projektů chápan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jako taková alokace disponibilních zdrojů, která zajistí optimální míru naplnění stanovených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cílů při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minimalizac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nežádoucích dopadů.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Termín ú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čelnost/effectiveness je součástí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obecného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systému hodnocení veřejných investičních projektů známého pod zkratkou 3E, který dále zahrnuje hodnocení efektivnosti/effectivity a hospodárnosti/economy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tomto místě je vhodné zmínit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známý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citát „účelnost znamená dělat správné věci a efektivnost znamená dělat je správně“ (Drucker, 1993). Z praktického pohledu 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lze interpretovat tak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že nevhodný výběr investičního projektu nelze vykompenzovat jeho efektivní realizací. Typickým příkladem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vybudování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nové dálnice splňující stanovené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technickoekonomické parametry,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je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hož hlavním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cílem bylo povzbudit ekonomický rozvoj zaostávajícího regionu, kterého však vzhledem 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dlouhodobě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nízké konkurenceschopnosti místních firem nebylo dosaženo. </w:t>
      </w:r>
    </w:p>
    <w:p w14:paraId="09A74AAA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hodnocení veřejných investičních projektů s významnými dopady na společenský rozvoj 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často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používá cost-benefit analýza/CBA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 případným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rozš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ením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finanční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hodnocení 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(spekulativní)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ocenění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pozitivních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externalit prostřednictvím tzv. stínových cen. Tento přístup díky své orientaci na peněžní ukazatele abstrahuje od zřejmé skutečnosti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 prostřednictvím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takto stanovených cen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nelze objektivně vyjádřit (a tedy ani srovnávat) komplexní užitky plánovaných projektů vznikající v interakci s působením společenských i přírodních zákon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itostí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Ve srovnání s hodnocením soukromých projektů jde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pochopitelně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 podstatně obtížnější záležitost, neboť veřejné projekty jsou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zaměřeny na tvorbu pozitivních externalit cílen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různorodé skupiny uživatelů.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Uvedené problémy lze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řešit aplikac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multikriteriální analýzy účelnosti projektů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založené na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nepeněžních ukazatel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V tomto kontextu byla vytvořena originální metodika</w:t>
      </w:r>
      <w:r w:rsidRPr="00FB75A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hodnocení účelnosti projektů výstavby dopravní infrastruktury zahrnující následující kritéria: integrace (politické a obchodní aspekty), relevance (územní a technické aspekty), užitečnost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(socioekonomické aspekty), stimulace (rozvojové aspekty) a</w:t>
      </w:r>
      <w:r w:rsidRPr="00FB75A6">
        <w:rPr>
          <w:rStyle w:val="TextpoznpodarouChar"/>
          <w:rFonts w:ascii="Times New Roman" w:hAnsi="Times New Roman" w:cs="Times New Roman"/>
          <w:color w:val="000000" w:themeColor="text1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udržitelnost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(environmentální aspekty). Její vypovídací schopnost byla úspěšně ověřena na hodnocení projektů výstavby českých dálnic (Viturka, Pařil, 2015)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získané zkušenosti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byly využity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 posouzení projektů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12F84DA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 další částech této kapitoly jsou uvedeny základní informace objasňující věcné zaměření kritérií popsan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 výše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uveden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P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odrobnější technickoekonomické informace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byly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prezentovány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dalších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odborných publikacích (zejména Pařil, Viturka, 2020; Viturka, Pařil, 2020; Viturka, Pařil, Löw, 2021). </w:t>
      </w:r>
    </w:p>
    <w:p w14:paraId="47088805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570627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2.1 Kritérium integrace </w:t>
      </w:r>
    </w:p>
    <w:p w14:paraId="7E93D3F1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Kritérium integrace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zaměřeno na působení VRT na rozvoj integračních procesů jako součást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transformace společenských struktur odvíjející se z územní dělby práce a dalších politických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sociálních vazeb. Za hnací síly těchto procesů lze obecně pokládat pracovní interakce na mikroregionální úrovni, produkční interakce na mezoregionální úrovni, politicko-správní interakce na makroregionální úrovni a obchodní interakce na globální úrovni (prezentovaný model hierarchického uspořádání je chápán jako dynamický systém, kdy např. výrazné zvýšení kvality a rychlosti dopravy může indukovat selektivní přesuny integračních procesů na vyšší hierarchickou úroveň). Hodnocení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daného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kritéria vychází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aplikace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gravitačního modelu, který dobře vystihuje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všeobecně platnou logiku utváření dálkových dopravních vazeb. Jeho aplikace je založena na výpočtech aktuálních hodnot gravitační přitažlivosti hlavních sídelních center (definovaných jako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funkční urbanistické areály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dotčených plánovanou výstavbou VRT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sou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přímo úměrn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jejich populační velikosti a nepřímo úměrná jejich vzájemné vzdálenosti vztažené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našem případě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směrově korespondujícím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konvenčním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železničním tratím. V tomto ohledu byly zohledněny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vazby na nejbližší zahraniční metropole lokalizované v souladu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prokazatelnou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konkurenceschopností VRT s leteckou dopravou v limitní vzdálenosti 600 km od Prahy. Modelový poměr počtu vnitrostátních a mezistátních železničních spojů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plánované sítě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byl v souladu se zahraničními zkušenostmi s působením tzv. hraničního efektu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/border effect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obecně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stanoven na 1: 0,2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(Beria, 2017).</w:t>
      </w:r>
    </w:p>
    <w:p w14:paraId="35865020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2.2 Kritérium relevance</w:t>
      </w:r>
    </w:p>
    <w:p w14:paraId="7CBC9ADC" w14:textId="77777777" w:rsidR="009B5C55" w:rsidRPr="00FB75A6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Kritérium relevance zohledňuje externí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interní územně-technické faktory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intenzivními vazbami na projektovou přípravu a realizaci staveb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tomu odpovídajícími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dopady na náklady výstavby a efektivnost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budoucího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provozu. Skupina externích faktorů interpretuje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vlivy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přírodní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 faktorů tzn.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krajinn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struktur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výškov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členitost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reliéfu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kde je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rozlišován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reliéf rovin s členitostí do 30 m, pahorkatin s členitostí 30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150 m, vrchovin s členitostí 150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300 m a hornatin s členitostí 300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až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Kudrnovská, Kousal, 1995)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V prvním případě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jde o jejich dopady na poloměry traťových oblouků se stanovenými minimálními limity 6,5 km pro osobní a 8,5 km pro smíšenou dopravu 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druhém případě pak 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sklon tratí s maximální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limity 35 ‰ pro osobní a 18 ‰ pro smíšenou dopravu (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Týfa, 2007).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Součástí externích faktorů jsou pochopitelně i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společensk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faktory tzn. rozmanité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urbanistick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struktur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determinující 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>lokalizac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rámci katastrálního území obcí.</w:t>
      </w:r>
      <w:r w:rsidRPr="001E4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Reflexe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externích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faktorů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koresponduje s hlavním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cíl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em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územního plánování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kterým je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optimální využití území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e zřetelem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na regulaci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kontroverzních záměrů. Skupina interních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faktor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tomto ohledu interpretuje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výsledky hodnocení propustnosti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konvenčních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dále výsledky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percepc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synergií generovaných výstavbou VRT. Podle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ukazatelů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ropustné výkonnosti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jako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východiska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pro odhady provozní naléhavosti výstavby VRT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jsou tratě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řazeny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 čtyř skupin: skupina 1 - úseky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 hodnotami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propustnosti pod 50 %, skupina 2 - úseky s hodnotami 50-74 %, skupina 3 - úseky s hodnotami 75-99 % a skupina 4 - úseky s hodnotami 100 % a více (Čech, 2019)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Identifikace možných synergií je pak zaměřena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potenciální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vedlejší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efekt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y/spread effects spojené s budoucím provozem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1C0B32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2.3 Kritérium užitečnosti</w:t>
      </w:r>
    </w:p>
    <w:p w14:paraId="45E666D0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Kritérium užitečnosti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je orientováno na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bookmarkStart w:id="1" w:name="_Hlk115011953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>ekonomickou komponentou</w:t>
      </w:r>
      <w:bookmarkEnd w:id="1"/>
      <w:r w:rsidRPr="00FB75A6">
        <w:rPr>
          <w:rFonts w:ascii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posuzování projektů výstavby expresní dopravní infrastruktury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tzn.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odhad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perspektivních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ekonomických přínosů odvíjejících se od budoucí poptávky. V našem případě byl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jako základní zdroj dat využit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tzv. signální data mobilního operátora T-Mobile Czech Republic o pohybech SIM karet mezi příslušnými destinacemi plánovaný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tras VRT. Tato data byla srovnána se standardními datovými sadami získanými v rámci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periodického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sčítání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konkurenční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silniční dopravy a z dalších zdrojů 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zejména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údaj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o prodeji železničních jízdenek). Na základě získaných informací o aktuální poptávce po osobní dopravě, výsledků provedených dotazníkových šetření o ochotě cestujících přejít na VRT a dále zohlednění praktických zahraničních zkušeností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provozováním VRT pak byla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určena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potenciální poptávka podle jednotlivých tras (obecně indukovaná především úsporami cestovního času).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 tomto kontextu byla pozornost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koncentrována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na percepci nejvýznamnější komponenty pravidelné osobní dopravy,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tj.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dojížděn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za prací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. Pro tento účel byl využit model mezní míry mobility pracovních sil, která je definována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jako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poměr průměrného přírůstku příjmů generovaného dojížděním za prací do vybraných regionálních center a s ním spojených přímých a nepřímých nákladů (včetně tzv. nákladů ztraceného času vyjádřených pomocí fixního podílu na dosažených příjmech, kde byla po provedených rozborech zvolena varianta 30 % podílu na hodinové mzdě při průměrné rychlosti 200 km/hod.).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yšší úroveň čistých příjmu z dojíždění za prací ve srovnání 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příslušnými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náklady je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považována za dominantní faktor prohlubování prostorové mobility pracovní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ch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il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(Taylor, 1993).</w:t>
      </w:r>
    </w:p>
    <w:p w14:paraId="18B2E097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2.4 Kritérium stimulace</w:t>
      </w:r>
    </w:p>
    <w:p w14:paraId="215ED168" w14:textId="77777777" w:rsidR="009B5C55" w:rsidRPr="001D1810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Hodnocení k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ritéri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stimulace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vychází 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vlastní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teorie integrovaného a udržitelného regionálního rozvoje, jejíž základní komponentou je kvalita podnikatelského prostředí/KPP, která je hodnocena pomocí 16 faktorů členěných do skupin obchodních, pracovních, infrastrukturních, regionálních, cenových a environmentálních faktorů zohledňujících výsledky mezinárodních šetření investičních preferencí velkých firem (Viturka, 2011). V tomto směru byly posouzeny potenciální dopady výstavby VRT do úrovně správních obvodů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/mikroregionů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obcí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rozšířenou působností/ORP.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Základní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úroveň hodnocení je zaměřena na percepci výhledových změn v hodnotách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dílčího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faktoru kvality silnic a železnic.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 tomto ohledu je ovšem nutné respektovat skutečnost, že tento infrastrukturní faktor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mezi středně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významné faktory KPP a na jeho základě tudíž nelze objektivně zhodnotit příčinné souvislosti mezi výstavbou VRT a ekonomickým růstem (viz např. Bray, 1992; Ministère de l'Ecologie, du Développement Durable et de l'Energie, 2015; Blanquart, Koning, 2017).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Druhá, synteticky zaměřená úroveň hodnocení potom vychází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premise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 indukované změny odrážejí úroveň KPP dotčených mikroregionů ORP.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úroveň se odvíjí od jejich postavení v systémů center/pólů rozvoje a rozvojových os definovaných na základě pozitivních odchylek KPP od teoreticky příslušných hodnot odvozených z populační velikosti mikroregionů.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Rozvojové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osy reálně fungují jako hlavní kanály šíření pozitivních „spread effects“ z pólů rozvoje (tato skutečnost byla potvrzena na základě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regionálních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analýz míry nezaměstnanosti a intenzity bytové výstavby). </w:t>
      </w:r>
    </w:p>
    <w:p w14:paraId="0B1E3EC5" w14:textId="77777777" w:rsidR="00BB7D62" w:rsidRDefault="00BB7D62" w:rsidP="00BB7D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5B46CF4" w14:textId="25C4D4A3" w:rsidR="00BB7D62" w:rsidRDefault="009B5C55" w:rsidP="00BB7D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181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2.5 Kritérium udržitelnosti</w:t>
      </w:r>
    </w:p>
    <w:p w14:paraId="17A1B7F0" w14:textId="35A4288D" w:rsidR="009B5C55" w:rsidRPr="00FF2C75" w:rsidRDefault="009B5C55" w:rsidP="00BB7D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Kritérium udržitelnosti je primárně zaměřeno na identifikaci potenciálních konfliktů mezi plánovanými trasami VRT a ochranou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nejvýznamnějších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ekosystémů příslušných k evropskému systému Natura 2000 a dále teritoriálními systémy ekologické stability krajiny/TSES nadregionálního významu. Včasná identifikace těchto konfliktů umožňuje regulovat negativní dopady na fragmentaci krajiny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spojené s poklesem biodiverzity dotčených ekosystémů) jako doprovodného jevu liniových staveb. Soustava Natura 2000 zahrnuje nejhodnotnější biotopy v rámci zemí EU členěné na Special Areas of Conservation/SAC (EU Habitats directive 92/43/EEC) a tzv. ptačí oblasti/Special Protection Areas/SPA (Council </w:t>
      </w:r>
      <w:hyperlink r:id="rId8" w:history="1">
        <w:r w:rsidRPr="001D1810">
          <w:rPr>
            <w:rStyle w:val="Zstupntext"/>
            <w:rFonts w:ascii="Times New Roman" w:hAnsi="Times New Roman" w:cs="Times New Roman"/>
            <w:color w:val="000000" w:themeColor="text1"/>
            <w:sz w:val="20"/>
            <w:szCs w:val="20"/>
          </w:rPr>
          <w:t>directive 2009/147/EC)</w:t>
        </w:r>
      </w:hyperlink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. Hlavní komponenty soustavy TSES pak představují </w:t>
      </w:r>
      <w:r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vymezená </w:t>
      </w:r>
      <w:r w:rsidRPr="001D1810">
        <w:rPr>
          <w:rStyle w:val="Zstupntext"/>
          <w:rFonts w:ascii="Times New Roman" w:hAnsi="Times New Roman" w:cs="Times New Roman"/>
          <w:color w:val="000000" w:themeColor="text1"/>
          <w:sz w:val="20"/>
          <w:szCs w:val="20"/>
        </w:rPr>
        <w:t xml:space="preserve">biocentra/BCE 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a biokoridory/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>. Výše uvedeným systémům byly v souladu s jejich hierarchickým postavením přiřazeny následující významové váhy: Natura 2000 – váha 2, nadregionální TSES – váha 1. Za další významný problém spojený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budoucím provozem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VRT</w:t>
      </w:r>
      <w:r w:rsidRPr="001D18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dále pokládána 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hluková zátěž, která se projevuje až do vzdálenosti 500 metrů od středu drážního tělesa (Sarikavak, Boxall, 2019),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Odpovídající c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elkový počet obyvatel ohrožených hlukem byl odhadnut na cca 500 tis. Řešení tohoto významného problému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</w:t>
      </w:r>
      <w:r w:rsidRPr="001D1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negativními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dopady na kvalitu sociálního prostředí </w:t>
      </w:r>
      <w:r w:rsidRPr="00FF2C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úzce propojeno s optimalizací územní koexistence výstavby plánovaných VRT s příslušnými přírodními a urbanistickými 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faktory. Na druhé straně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této souvislosti 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>potřebné připomenout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pozitivní faktor spojený s provozem VRT, kterým jsou prakticky nulové emise skleníkových plynů jako významn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F2C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součásti horizontální a vertikální cirkulace atmosféry (z důvodu jejich volných územních vazeb však tento fakt nelze přímo zahrnout do užitého systému hodnocení). </w:t>
      </w:r>
    </w:p>
    <w:p w14:paraId="321A2644" w14:textId="77777777" w:rsidR="009B5C55" w:rsidRPr="00FB75A6" w:rsidRDefault="009B5C55" w:rsidP="009B5C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3ABB65" w14:textId="77777777" w:rsidR="009B5C55" w:rsidRPr="004B441E" w:rsidRDefault="009B5C55" w:rsidP="009B5C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441E">
        <w:rPr>
          <w:rFonts w:ascii="Times New Roman" w:hAnsi="Times New Roman" w:cs="Times New Roman"/>
          <w:b/>
          <w:sz w:val="20"/>
          <w:szCs w:val="20"/>
        </w:rPr>
        <w:t>3. Výsledky řešení</w:t>
      </w:r>
    </w:p>
    <w:p w14:paraId="5833F079" w14:textId="77777777" w:rsidR="009B5C55" w:rsidRPr="00FB75A6" w:rsidRDefault="009B5C55" w:rsidP="00BB7D62">
      <w:pPr>
        <w:pStyle w:val="Odstavecseseznamem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následující části jsou představeny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podrobněji komentovány dosažené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výsledky hodnocení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potenciálních dopadů realizace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plánovaných projektů výstavby VRT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regionální a lokální rozvoj prostřednictvím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definovaných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kritérií. </w:t>
      </w:r>
    </w:p>
    <w:p w14:paraId="5B9D498B" w14:textId="77777777" w:rsidR="009B5C55" w:rsidRPr="00807202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7202">
        <w:rPr>
          <w:rFonts w:ascii="Times New Roman" w:hAnsi="Times New Roman" w:cs="Times New Roman"/>
          <w:b/>
          <w:sz w:val="20"/>
          <w:szCs w:val="20"/>
        </w:rPr>
        <w:t>3.1. Zhodnocení plánovaných tras VRT</w:t>
      </w:r>
    </w:p>
    <w:p w14:paraId="3C1B2F70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Hlavní výsledky multikriteriálního hodnocení plánovaných VRT prezentované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tabul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ukazují,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že do skupiny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nadprůměrnými hodnotami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 řadí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nejdelší trasa 1  Praha – Brno – Ostrava – hranice Česká republika/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Polsko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celkem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438 km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podle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stávající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železničn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tra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)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bookmarkStart w:id="2" w:name="_Hlk128904956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výsledným </w:t>
      </w:r>
      <w:bookmarkEnd w:id="2"/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průměrným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pozičním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hodnocením 1,8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dále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3 Praha – Plzeň – hranice Česká republika/Německo 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výsledným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průměrným hodnocením 2,0. Do skupiny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podprůměrnými hodnotami pak patří trasa 4 Praha – Ústí n. L. – hranice Česká republika/Německo s průměrným hodnocením 2,8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následovaná nejkratší trasou 2 Brno – hranice Česká republika/Rakousko (celkem 65 km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podle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stávající železniční tratě) s průměrným hodnocením 3,4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 obou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posledních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případech bylo zjištěno nejlépe druh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rámci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stanovených kritérií.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Zjištěné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pořadí plánovaných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představuje primární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podklad pro stanovení strategických priorit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plánované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výstavby VRT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chápaných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základní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opatření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cílené na odstranění neustálého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opakování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závažných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problémů spojených s výstavbou dopravní infrastruktury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České republice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(generovaných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kromě komplikovaného znění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tavební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zákon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závažnými nedostatky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projektovém managementu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odvíjejících se od úzkého zaměření studií proveditelnosti na lokalizaci tras VRT bez hlubší snahy o komplexně orientované posouzení jejich účelnosti prostřednictvím ekonomických analýz zaměřených na regionální přínosy a hlavní rizika plánovaných záměrů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V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kontextu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jsou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dále komentovány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výsledky hodnocení jednotlivých tras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včetně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syntéz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zjištěných skutečností. </w:t>
      </w:r>
    </w:p>
    <w:p w14:paraId="79F7C2A3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F2D716" w14:textId="77777777" w:rsidR="009B5C55" w:rsidRPr="000762F7" w:rsidRDefault="009B5C55" w:rsidP="009B5C5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0762F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Tab. 1: Pořadí navržených tras VRT podle užitých kritérií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a celkové pořadí.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081"/>
        <w:gridCol w:w="1122"/>
        <w:gridCol w:w="1126"/>
        <w:gridCol w:w="1131"/>
        <w:gridCol w:w="1126"/>
        <w:gridCol w:w="1255"/>
        <w:gridCol w:w="1121"/>
        <w:gridCol w:w="1100"/>
      </w:tblGrid>
      <w:tr w:rsidR="009B5C55" w:rsidRPr="00FB75A6" w14:paraId="657784C6" w14:textId="77777777" w:rsidTr="00932B92">
        <w:trPr>
          <w:trHeight w:val="285"/>
        </w:trPr>
        <w:tc>
          <w:tcPr>
            <w:tcW w:w="1081" w:type="dxa"/>
            <w:vMerge w:val="restart"/>
          </w:tcPr>
          <w:p w14:paraId="6F3221C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trasy</w:t>
            </w:r>
          </w:p>
        </w:tc>
        <w:tc>
          <w:tcPr>
            <w:tcW w:w="5760" w:type="dxa"/>
            <w:gridSpan w:val="5"/>
          </w:tcPr>
          <w:p w14:paraId="7147F29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kritérium</w:t>
            </w:r>
          </w:p>
        </w:tc>
        <w:tc>
          <w:tcPr>
            <w:tcW w:w="1121" w:type="dxa"/>
            <w:vMerge w:val="restart"/>
          </w:tcPr>
          <w:p w14:paraId="70327660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součet pořadí</w:t>
            </w:r>
          </w:p>
        </w:tc>
        <w:tc>
          <w:tcPr>
            <w:tcW w:w="1100" w:type="dxa"/>
            <w:vMerge w:val="restart"/>
          </w:tcPr>
          <w:p w14:paraId="5AF433E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celkové pořadí</w:t>
            </w:r>
          </w:p>
        </w:tc>
      </w:tr>
      <w:tr w:rsidR="009B5C55" w:rsidRPr="00FB75A6" w14:paraId="69A8B07C" w14:textId="77777777" w:rsidTr="00932B92">
        <w:trPr>
          <w:trHeight w:val="285"/>
        </w:trPr>
        <w:tc>
          <w:tcPr>
            <w:tcW w:w="1081" w:type="dxa"/>
            <w:vMerge/>
          </w:tcPr>
          <w:p w14:paraId="352D7CB1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D15673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integrace</w:t>
            </w:r>
          </w:p>
        </w:tc>
        <w:tc>
          <w:tcPr>
            <w:tcW w:w="1126" w:type="dxa"/>
          </w:tcPr>
          <w:p w14:paraId="2924BB4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relevance</w:t>
            </w:r>
          </w:p>
        </w:tc>
        <w:tc>
          <w:tcPr>
            <w:tcW w:w="1131" w:type="dxa"/>
          </w:tcPr>
          <w:p w14:paraId="0131BC5C" w14:textId="77777777" w:rsidR="009B5C55" w:rsidRPr="00FB75A6" w:rsidRDefault="009B5C55" w:rsidP="00932B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užitečnost</w:t>
            </w:r>
          </w:p>
        </w:tc>
        <w:tc>
          <w:tcPr>
            <w:tcW w:w="1126" w:type="dxa"/>
          </w:tcPr>
          <w:p w14:paraId="6C13CAE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stimulace</w:t>
            </w:r>
          </w:p>
        </w:tc>
        <w:tc>
          <w:tcPr>
            <w:tcW w:w="1255" w:type="dxa"/>
          </w:tcPr>
          <w:p w14:paraId="4E5C8DBC" w14:textId="77777777" w:rsidR="009B5C55" w:rsidRPr="00FB75A6" w:rsidRDefault="009B5C55" w:rsidP="00932B92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udržitelnost</w:t>
            </w:r>
          </w:p>
        </w:tc>
        <w:tc>
          <w:tcPr>
            <w:tcW w:w="1121" w:type="dxa"/>
            <w:vMerge/>
          </w:tcPr>
          <w:p w14:paraId="4FB64E1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FDFD986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5C55" w:rsidRPr="00FB75A6" w14:paraId="0C11D392" w14:textId="77777777" w:rsidTr="00932B92">
        <w:trPr>
          <w:trHeight w:val="283"/>
        </w:trPr>
        <w:tc>
          <w:tcPr>
            <w:tcW w:w="1081" w:type="dxa"/>
          </w:tcPr>
          <w:p w14:paraId="078777D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1</w:t>
            </w:r>
          </w:p>
        </w:tc>
        <w:tc>
          <w:tcPr>
            <w:tcW w:w="1122" w:type="dxa"/>
          </w:tcPr>
          <w:p w14:paraId="730D311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5C2061B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14:paraId="6150C1B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14:paraId="722400A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6A395CC8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35A9505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14:paraId="3B7B8108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5C55" w:rsidRPr="00FB75A6" w14:paraId="20F77238" w14:textId="77777777" w:rsidTr="00932B92">
        <w:trPr>
          <w:trHeight w:val="283"/>
        </w:trPr>
        <w:tc>
          <w:tcPr>
            <w:tcW w:w="1081" w:type="dxa"/>
          </w:tcPr>
          <w:p w14:paraId="22EE3C5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2</w:t>
            </w:r>
          </w:p>
        </w:tc>
        <w:tc>
          <w:tcPr>
            <w:tcW w:w="1122" w:type="dxa"/>
          </w:tcPr>
          <w:p w14:paraId="288DA734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5D54484F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0566F76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14:paraId="5A2E4285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3BBADE2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0AEA59D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0" w:type="dxa"/>
          </w:tcPr>
          <w:p w14:paraId="5B853963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B5C55" w:rsidRPr="00FB75A6" w14:paraId="0E414EA9" w14:textId="77777777" w:rsidTr="00932B92">
        <w:trPr>
          <w:trHeight w:val="283"/>
        </w:trPr>
        <w:tc>
          <w:tcPr>
            <w:tcW w:w="1081" w:type="dxa"/>
          </w:tcPr>
          <w:p w14:paraId="4FE58D5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3</w:t>
            </w:r>
          </w:p>
        </w:tc>
        <w:tc>
          <w:tcPr>
            <w:tcW w:w="1122" w:type="dxa"/>
          </w:tcPr>
          <w:p w14:paraId="346CD30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4DE937E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14:paraId="071313E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14:paraId="01F057F9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7C6B9C02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474CED8B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 w14:paraId="6D41BEC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B5C55" w:rsidRPr="00FB75A6" w14:paraId="5CFF0F63" w14:textId="77777777" w:rsidTr="00932B92">
        <w:trPr>
          <w:trHeight w:val="283"/>
        </w:trPr>
        <w:tc>
          <w:tcPr>
            <w:tcW w:w="1081" w:type="dxa"/>
          </w:tcPr>
          <w:p w14:paraId="7A7365DC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trasa 4</w:t>
            </w:r>
          </w:p>
        </w:tc>
        <w:tc>
          <w:tcPr>
            <w:tcW w:w="1122" w:type="dxa"/>
          </w:tcPr>
          <w:p w14:paraId="3817992A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7C5BBDFD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14:paraId="66949C0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14:paraId="6E32A1F7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277C7060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6BEFDF39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14:paraId="6C53916E" w14:textId="77777777" w:rsidR="009B5C55" w:rsidRPr="00FB75A6" w:rsidRDefault="009B5C55" w:rsidP="00932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3FFE2E7E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B75A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Zdroj: vlastní výzkum.</w:t>
      </w:r>
    </w:p>
    <w:p w14:paraId="154A7656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AA7D8F" w14:textId="77777777" w:rsidR="009B5C55" w:rsidRPr="002143A7" w:rsidRDefault="009B5C55" w:rsidP="009B5C55">
      <w:p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43A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Trasa 1:</w:t>
      </w:r>
    </w:p>
    <w:p w14:paraId="7B9FB940" w14:textId="77777777" w:rsidR="009B5C55" w:rsidRDefault="009B5C55" w:rsidP="009B5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>Trasa perspektivně propojí všechn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nejvýznamnější sídelní centra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43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tzn.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Prahu jako jedinou českou metropoli nadnárodního významu s Brnem jako vedlejší metropolí a dále s Ostravou a z mezinárodního pohledu pak s polskou sítí VRT ve směru na Katovice (Viturka et al., 2017). V souladu s touto skutečností zaujímá nejlepší pozici podle kritéria integrace (podíl vnitrostátních interakcí činí cca 68 %). Pokud jde o kritérium relevance je potřeba zmínit siln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nadprůměrné vytížení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současných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tratí (zejména v ostravské části trasy) a tudíž i vysoký potenciál synergických efektů spojených s převedením značné části expresní osobní dopravy z tratě Praha – Č. Třebová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Ostrava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VRT a následným využitím uvolněné kapacity pro zbývající osobní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dále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nákladní doprav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Provedené analýzy potvrdily že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trasa disponuje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nejsilnější poptávk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 a má tedy logicky nejlepší pozici i podle kritéria užitečnosti.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očet cestujících,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 kterých lze předpokládat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perspektivn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í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přesun ze stávajících železničních 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autobusových tras a individuální silniční dopravy/IAD na VRT byl modelově odhadnut na cca 7,1 tisíc za den (pro orientační odhad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perspektivního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převedené poptávky z IAD byla cestou generalizace zahraničních zkušeností stanovena jednotná hranice 15 %). Z hlediska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rostoucí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pracovní atraktivity příslušných krajských center (doplněných vybranými železničními křižovatkami Přerovem a Břeclaví)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určené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základě ukazatele mezní míry mobility pracovních sil zaujímá pochopitelně nejlepší postavení Praha, za kterou s velkým odstupem následují Brno, Plzeň a Ostrava s přibližně třikrát, šestkrát a desetkrát nižší atraktivitou. V souladu s příznivými charakteristikami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regionálního rozvoje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pak trasa vykazuje dobré postavení i v rámci kritérií stimulace, kde díky její výstavbě dojde k výraznějšímu zvýšení úrovně faktoru kvality silnic a železnic v případě Jihlavy (+ 16 %) a Brna (+ 13,5 %) násled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ovaných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nejvýznamnější železniční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křižovatk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ami,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tj.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Prah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(+ 8 %) a Ostrav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(+ 8,5 %). Toto postavení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plně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koresponduje s jejími přímými územními vazbami na českomoravskou a východočeskou rozvinutou rozvojovou osu národního významu a v menší míře i na částečně rozvinutou východomoravskou rozvojovou osu národního významu. Nejhorší umístění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zaujala v případě kritéria udržitelnosti, kde byla identifikována téměř polovina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všech potenciálních konfliktů generovaných výstavbou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všech diskutovaných tras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s legislativně ukotvenou ochranou přírody: SAC (13 případů), SPA (2 případy), BCE (3 případy)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(9 případů).</w:t>
      </w:r>
    </w:p>
    <w:p w14:paraId="51863B32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Trasa 2: </w:t>
      </w:r>
    </w:p>
    <w:p w14:paraId="2599C655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výhledově propojí Brno s Břeclaví a návazně </w:t>
      </w:r>
      <w:r w:rsidRPr="001F0CF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pak s hlavním městem Rakouska Vídní.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Vzhledem ke skutečnosti, že na ní není lokalizována žádná další významná česká sídelní aglomerace zaujímá v rámci kritéria integrace až poslední pořadí.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Pokud jde 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kritéri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um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relevance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zaujímající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 přes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vcelku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příznivé hodnoty krajinných a do jisté míry i urbanistických limitů a tomu odpovídajícím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menším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náklad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výstavby) díky nízkému potenciálu perspektivní tvorby synergických provozních efektů mírně podprůměrná pozice.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 případě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kritéri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užitečnosti pak v souladu s úrovní potenciální poptávky zaujímá poslední pořadí, přičemž celkový počet cestujících, kteří by 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podle provedených výpočtů měli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perspektivně přesunou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VRT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ze směrově korespondujících železničních a autobusových tras a IAD byl odhadnut pouze na 0,5 tis.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den. Vzhledem 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specifickému „spojovacímu“  charakteru je pro tuto trasu  charakteristická nejslabší pozice i v rámci kritéria stimulace, kde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však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 vzdálenější budoucnosti očekávat určité rozvojové stimuly generované vazbami na Vídeň s pozitivními dopady na zlepšování KPP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 tedy i na rezidenční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atraktivit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dotčených sídelních center. Pokud jde o poslední kritérium udržitelnosti lze pozici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dané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trasy hodnotit jako příznivou (druhé nejlepší postavení) s následujícím počtem potenciálních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environmentálních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konfliktů: SAC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4 případy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, SPA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1 případ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, BCE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1 případ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případy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1C2D0A6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Trasa 3: </w:t>
      </w:r>
    </w:p>
    <w:p w14:paraId="29CB14CC" w14:textId="77777777" w:rsidR="009B5C55" w:rsidRPr="001F0CF7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>Trasa výhledově propojí Prah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 Plzní a v dalším průběhu pak naváže na německou železniční síť ve směru na dynamicky se rozvíjející bavorskou metropoli Mnichov nadnárodního významu. V rámci kritéria integrace trasa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zaujímá mírně podprůměrné postavení (podíl vnitrostátních interakcí činí cca 64 %). Ze širšího geografického pohledu pak její význam zvyšuje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zlepšení dostupnosti jádrového prostoru evropského rozvoje označovaného jako „modrý banán“, zahrnujícího i Mnichov ležící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rýnsko-dunajském dopravním koridoru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Pokud jde o kritérium relevance patří trase nadprůměrné postavení, které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 odvíjí od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příznivých hodnot krajinářských limitů a potenciálu synergických efektů (významným problémem je však vedení trasy intravilánem Prah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a hustě osídleným údolím řeky Berounk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y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který bude nutné řešit prostřednictvím výstavby tunelu). V rámci kritéria užitečnosti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tato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trasa podle výsledků analýzy potenciální poptávky zaujímá mírně podprůměrné pořadí,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přičemž perspektivní počet cestujících převedených ze stávajících železničních a autobusových tras a IAD byl odhadnut na 1,8 tis. cestujících za den (k tomu je vhodné poznamenat, že aglomerace Plzně vykazuje 5,5 x nižší hodnotu pracovní atraktivity než Praha). Pokud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však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jde o faktor stimulace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zaujímá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trasa nejlepší postavení a lze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očekávat významné zvýšení úrovně faktoru kvality silnic a železnic o cca 10 % s pozitivními dopady na rozvoj krajského města Plzně a šíření rozvojových efektů. Tento závěr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potvrzuje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dlouhodobě podprůměrná míra nezaměstnanosti a nadprůměrné tempo výstavby bytů zaznamenané podél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směrově korespondující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rozvinuté západočeské rozvojové osy národního významu i navazující rozvojové osy regionálního významu a rovněž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dlouhodobé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prohlubování přeshraničních vazeb s Bavorskem (s téměř čtvrtinovým podílem na celkovém obratu zahraničního obchodu České republiky s Německem). Trasa zaujímá nejlepší postavení i podle kritéria udržitelnosti, kdy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celkový počet potenciálních konfliktů se SAC činí 3 případy, u SPA žádný případ, u BCE 1 případ a 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BKO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 případy.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</w:p>
    <w:p w14:paraId="12F3A9C7" w14:textId="77777777" w:rsidR="009B5C55" w:rsidRPr="001F0CF7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0CF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Trasa 4:</w:t>
      </w:r>
      <w:r w:rsidRPr="001F0CF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8C4FE40" w14:textId="77777777" w:rsidR="009B5C55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propojí Praha a Ústí n. L. a následně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pak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naváže na německou síť VRT ve směru na Drážďany a hlavní město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Německa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Berlín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největší středoevropské metropole. V souladu s tím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zaujímá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trasa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rámci kritéria integrace mírně nadprůměrné postavení (podíl vnitrostátních interakcí činí cca 21 %). Pokud však jde o kritérium relevance patří trase nejhorší postavení odvíjející se od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výrazných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horizontálních limitů vylučujících její vedení údolím řeky Labe, což indukuje potřebu výstavby dlouhých tunelů pod horskými pásy Krušných hor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rovněž 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Českého středohoří 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významnými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dopady na celkové náklady výstavby (předpokládané synergické efekty spojené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diskutovaným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využitím plánované trasy i pro nákladní dopravu</w:t>
      </w:r>
      <w:r w:rsidRPr="001F0C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mohou tyto negativní dopady kompenzovat pouze omezeným způsobem)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. Podle provedených analýz lze na druhé straně počítat s relativně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lastRenderedPageBreak/>
        <w:t xml:space="preserve">silnou perspektivní poptávkou po osobní dopravě a v souladu s tím této trase přísluší mírně nadprůměrné postavení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i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 rámci kritéria užitečnosti (předpokládaný počet cestujících, kteří se výhledově přesunou z relevantních železničních a autobusových tras a IAD byl odhadnut na 1,9 tis. cestujících za den. V rámci faktoru stimulace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trasa zaujímá třetí pořadí, přičemž v případě krajského města Ústí n. L.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možné počítat s výraznějším posílením faktoru kvality silnic a železnic (+ 13 %) s pozitivními dopady na tvorbu a šíření rozvojových efektů podél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zatím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pouze částečně rozvinuté severočeské osy národního významu. Podle výsledků hodnocení kritéria udržitelnosti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pak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bylo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této 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trase přiděleno druhé nejhorší pořadí, kdy počet potenciálních konfliktů (dosahující téměř čtvrtinového podílu na jejich celkovém výskytu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 pohledu plánovaných VRT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) činí v případě SAC 6 případů, SPA 2 případy, BCE 2 případy 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BKO</w:t>
      </w:r>
      <w:r w:rsidRPr="001F0C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4 případy. </w:t>
      </w:r>
    </w:p>
    <w:p w14:paraId="285AB79E" w14:textId="77777777" w:rsidR="009B5C55" w:rsidRPr="00FB75A6" w:rsidRDefault="009B5C55" w:rsidP="009B5C5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3.2. Optimalizační scénáře zohledňující relevantní priority hlavních zájmových skupin </w:t>
      </w:r>
    </w:p>
    <w:p w14:paraId="3B42DE1F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uvedené poznatky lze perspektivně využít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šíření různorodých rozvojových efektů z hlavních sídelních center podél jednotlivých tras VRT do jejich širokého okolí doplněných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dalšími pozitivními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interakcemi.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tomto kontextu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byly vypracovány optimalizační scénáře vycházející z percepce klíčových zájmů hlavních stakeholderovských skupin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resp.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zainteresovaných stran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zaměřené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kvalifikované posouzení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potenciálních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pozitivních příp. negativních postojů k výstavbě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Metodické pojetí tvorby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těchto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scénářů není pochopitelně jednotné, ob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ecně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jsou chápány jako vnitřně konzistentní obrazy budoucnosti založené na vybraných souborech vzájemně propojených faktorů a jevů. Základem jejich tvorby by mělo být vymezení realistických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věcně podložených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představ o pravděpodobn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vývojových trendech na straně jedné a specifikace toho co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zatím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neznáme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identifikac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klíčových nejistot spojených s budoucím vývojem na straně druhé (Schoemaker, 2002). V našem případě vypracované scénáře kladou důraz na aplikaci projektového přístupu a v tomto duchu logicky navazují na výše představené výsledky multikriteriální analýzy. Ve shodě s věcným zaměřením projektů byly definovány následující tři základní scénáře:</w:t>
      </w:r>
    </w:p>
    <w:p w14:paraId="0F502E2C" w14:textId="77777777" w:rsidR="009B5C55" w:rsidRPr="00FB75A6" w:rsidRDefault="009B5C55" w:rsidP="009B5C55">
      <w:pPr>
        <w:pStyle w:val="Odstavecseseznamem"/>
        <w:numPr>
          <w:ilvl w:val="0"/>
          <w:numId w:val="17"/>
        </w:num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Investorský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primárních stakeholderů představovaných investory a provozovateli železniční dopravy kladoucích důraz na zvýšení její konkurenceschopnosti prostřednictvím výstavby VRT v intencích kritérií relevance a užitečnosti. V tomto směru považujeme za přínosnou zejména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perspektivní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podporu tvorby synergických efektů vycházejících z obecného předpokladu, že výsledný účinek systémově propojených složek je větší než souhrn izolovaných účinků jednotlivých složek. V tomto směru jde především o propojení vysokorychlostní a konvenční železniční dopravy, kdy převedení expresní osobní dopravy na VRT kromě žádoucího zvýšení její kvality uvol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kapacitu směrově korespondujících páteřních konvenčních tratí s pozitivními dopady na operativnost a efektivnost zbývající osobní a zejména nákladní železniční dopravy (s podřízeným postavením v rámci tradičního systému předností v jízdě vlaků, které výrazně prohlubuje její konkurenční nevýhody ve srovnání se silniční nákladní dopravou). Největší synergické efekty lze v tomto kontextu předpokládat v případě plánovaných tras 1 a 3. Pokud jde o potenciální střety zájmů je potřebné na prvním místě uvést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komplikované postoje k důslednému řešení problému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segmentac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krajinných a urbanistických celků výstavbou VRT, jejíž závažné negativní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dopady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přírodní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prostředí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lze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kompenzovat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pouze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prostřednictvím finančně náročných technických opatření jako je výstavba tunelů a hloubených zářezů a tzv. ekoduktů. Tento problém se pochopitelně nejvíce týká vedení tras sídelními aglomeracemi Prahy a dále Brna, Ostravy a Plzně. V této souvislosti je vhodné poznamenat, že v souvislosti s globálními změnami klimatu se dostává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stále více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popředí veřejný zájem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orientovaný na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ochran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biodiverzity krajiny jako jednoho z nejvýznamnějších mitigačních opatření. 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možných specifických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střetů zájmů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pak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potřebné uvést potenciální konflikty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generované provozováním VRT 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příměstsk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doprav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 případě pražského železničního uzlu. </w:t>
      </w:r>
    </w:p>
    <w:p w14:paraId="1207F879" w14:textId="77777777" w:rsidR="009B5C55" w:rsidRPr="00FB75A6" w:rsidRDefault="009B5C55" w:rsidP="009B5C55">
      <w:pPr>
        <w:pStyle w:val="Odstavecseseznamem"/>
        <w:numPr>
          <w:ilvl w:val="0"/>
          <w:numId w:val="17"/>
        </w:num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Podnikatelský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stakeholderů představovaných podnikatelskými subjekty kladoucími důraz na zlepšení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regionální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kvality podnikatelského prostředí,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tedy i investiční atraktivity v intencích kritérií integrace a stimulace. V tomto směru je potřebné zmínit především využití VRT pro účelné rozšiřování pracovních trhů generované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rozvojem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znalostně založený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odvětví sekundárního a terciárního sektoru lokalizovaný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dotčených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krajských městech (vnik a šíření inovací obecně probíhá podle hierarchického vzorce). V odůvodněných případech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této souvislosti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uvažovat i o využití VRT pro nákladní dopravu motivovaném kontinuálním rozšiřováním obchodních trhů a výrobní kooperace v rámci globálních produkčních řetězců (tato varianta je využívána např. v Německu, kde se průměrná rychlost specializovaných linek nákladní železniční dopravy na VRT pohybuje kolem 120 km/hod). 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Podle deklarovaného cíle EU by se 30 % nákladní dopravy nad 300 km vzdálenost mělo do roku 2030 přesunout ze silniční na železniční a vodní dopravu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(tento záměr je však v české koncepci výstavby VRT zatím reflektován pouze okrajovým způsobem).  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 dlouhodobého pohledu pak pokládáme za condicio sine qua non aktivace rozvojového potenciálu VRT jejich územní koincidenci s konstituovanými systémy center a os územního rozvoje národního významu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ředstavujících hlavní koncentrace potenciální poptávky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podnikatelské sféry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V této souvislosti se ovšem nabízí otázka, zda se působení popsaných efektů ne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může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dost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 rozporu s naplňováním cíle konvergence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jako dlouhodobé priority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Politiky hospodářské, sociální a územní soudržnosti Evropské unie (European Union, 2021). Rozšiřování sfér vlivu dominantních sídelních center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příp. nadnárodních firem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totiž může vést k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střetům zájmů vyvolaných odsáváním nejvíce kvalifikované části pracovních sil z hospodářsky méně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rozvinutých regionů, které pochopitelně podvazuje jejich ekonomický rozvoj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dalších fázích však může díky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veřejné podpoře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šíření znalostí s pozitivními dopady na investiční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 rovněž rezidenční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atraktivitu dojít k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 (selektivní) 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modernizaci jejich ekonomiky a nástupu nové progresivnější etapy jejich rozvoje. Je zřejmé, že úspěšné řešení těchto problémů se neobejde bez jeho systémového propojení s národohospodářskou a regionální politikou. </w:t>
      </w:r>
    </w:p>
    <w:p w14:paraId="56D3ED0F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C) Občanský (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 scénář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reflektuje zájmy stakeholderů představovaných občany a neziskovými institucemi kladoucími hlavní důraz na zlepšení kvality sociálního prostředí, a tedy i zvýšení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rezidenční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atraktivity v intencích kritérií integrace a udržitelnosti. V tomto ohledu lze počítat s pozitivními dopady indukovanými zejména přesuny cestujících z IAD na VRT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zohledňujícími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nabízen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é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výhod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(rychlost, pohodlí, bezpečnost či bezproblémová doprava do center městských aglomerací). Tyto dopady se týkají jak pravidelných cest (dojížďka do práce a do škol, zejména vysokých) tak nepravidelných cest (turistické cesty, kulturní aktivity a návštěvy). Za významný přínos lze považovat i sekundární benefity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 občany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indukované podstatně nižšími emisemi z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díky elektrické trakci ve srovnání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konkurenčními druhy dopravy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tomto ohledu lze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navíc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výhledově počítat s významnými přesuny cestujících z frekventovaných leteckých linek propojujících Prahu zejména s Mnichovem a 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Vídní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 celkového pohledu je ovšem produkce těchto benefitů závislá na způsobu výroby spotřebovávané elektrické energie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51DA9">
        <w:rPr>
          <w:rFonts w:ascii="Times New Roman" w:hAnsi="Times New Roman" w:cs="Times New Roman"/>
          <w:color w:val="000000" w:themeColor="text1"/>
          <w:sz w:val="20"/>
          <w:szCs w:val="20"/>
        </w:rPr>
        <w:t>. V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směru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potřebné zmínit i negativní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dopady na kvalitu rezidenčního prostředí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vyvolané potenciálními střety zájmů generovanými již zmíněnou segmentací krajiny a městských intravilánů doprováze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ných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další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kontroverzní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jevy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např.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zvýšením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hluk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vynucenými změnami ve vlastnictví pozemků (snižujícími cenu sousedních pozemků)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či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vytvářením urbanistických bariér. Pro řešení těchto problémů se vedle standardních technických řešení nabízí i netradiční řešení spojená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účelnou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podporou výstavby tzv. ekologické infrastruktury (např. budováním biokoridorů podél vybraných úseků VRT s pozitivními dopady na ekologickou stabilitu krajiny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 a rozvojem dalších aktivit (např. cestovního ruch)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Uvedené příklady lze doplnit řadou dalších opatření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komunitárních aktivit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korespondujících s prosazováním veřejného zájmu (např.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podpora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instalac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solárních panelů na protihlukových stěnách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dalších ekologicky pozitivních komunitárních aktivit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14:paraId="21F5DA93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Výše 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vedené scénáře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lze chápat jako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metodický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základ pro konstruktivní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nadčasovou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eflexi odpovídajících zájmů hlavních stakeholderů ohledně plánované výstavby VRT jako důležitého nástroje maximalizace budoucích užitků a minimalizace možných konfliktů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zohlednění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 rámci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zásadní inovace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obchodního modelu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české železnice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. V tomto směru je vhodné upozornit na společné zájmy investorského a podnikatelského scénáře na snižování závislosti dopravy na ropě a zvyšování re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idenční atraktivity dotčených sídelních aglomerací jako stále významnějšího faktoru lokalizace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rozvoje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znalostně náročných odvětví. Pokud jde o management realizace plánovaných tras VRT lze v intencích vytvořených optimalizačních scénářů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s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přihlédnutím k předpokládanému vývoji hlavních ovlivňujících faktorů) doporučit následující kombinace scénářů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jejich významové pořadí: trasa 1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  <w:szCs w:val="20"/>
          </w:rPr>
          <m:t>– i</m:t>
        </m:r>
      </m:oMath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nvestorský, podnikatelský, občanský scénář⁏ trasa 2 – občanský, investorský, podnikatelský scénář⁏ trasa 3 –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podnikatelský, investorský,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občanský scénář</w:t>
      </w:r>
      <w:r w:rsidRPr="00FB75A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⁏ trasa 4 – občanský, podnikatelský, investorský scénář (uvedená doporučení mají ovšem vzhledem k závažným nejistotám ohledně  budoucího vývoje spíše orientační charakter). </w:t>
      </w:r>
    </w:p>
    <w:p w14:paraId="6FCF05C0" w14:textId="77777777" w:rsidR="009B5C55" w:rsidRPr="00FB75A6" w:rsidRDefault="009B5C55" w:rsidP="009B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1C9A79" w14:textId="77777777" w:rsidR="009B5C55" w:rsidRPr="00FB75A6" w:rsidRDefault="009B5C55" w:rsidP="009B5C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Závěr</w:t>
      </w:r>
    </w:p>
    <w:p w14:paraId="085EFA63" w14:textId="77777777" w:rsidR="009B5C55" w:rsidRPr="00FB75A6" w:rsidRDefault="009B5C55" w:rsidP="009B5C5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Závěrem je potřebné konstatovat, že výstavba VRT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nepochybně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značné komplikovaným záměrem, jehož efektivnost nelze posoudit bez komplexní strategie vypracované nezávislými expertními týmy založené na profesionálně formulované vizi nikoliv na obecných politických proklamacích a definovaných technických parametrech plánovaných tras (McNaughton, 2017). Z praktického hlediska 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potřebné položit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důraz na hledání optimální kombinace nákladů a výnosů 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geografickými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technickými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sociálními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podmínkami výstavby s pozitivními dopady na konkurenceschopnost železniční dopravy v kontextu udržitelného rozvoje. V tomto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ohledu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vhodné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upozornit na skutečnost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že podle zprávy Evropského účetního dvora obsahující výsledky šetření 14 VRT v zemích EU vyžaduje zajištění rentability provozu VRT dosažení denní přepravy okolo 25 tis. cestujících za den tzn. cca 9 mil. cestujících za rok. Tento limit ze zkoumaných tratí splňuje pouze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pět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nich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pouze na dvou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tratích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pak průměrná rychlost převyšovala hranici 200 km/hod</w:t>
      </w:r>
      <w:r w:rsidRPr="00FB75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(European Court of Auditors, 2018).</w:t>
      </w:r>
      <w:r w:rsidRPr="00FB75A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 toho lze logicky vyvozovat, že rozhodování o projektech výstavby VRT často vycházelo 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neúplných, resp. nepřesných informací. Získané praktické zkušenosti navíc ukazují, že nákladná výstavba expresní dopravní infrastruktury má pouze omezené vazby na ekonomický rozvoj. Podle výsledků provedených analýz plánovaných projektů výstavby VRT v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České republice by potenciální hodnoty denní přepravy na nejzatíženější trase 1 propojující největší české sídelní aglomerace dosáhly podle optimistické varianty přesunu cestujících ze silniční dopravy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pouze cca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28 %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výše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uvedeného limitu rentability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ö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 2015). N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ezbývá tak než konstatovat, že dosažení rentability provozu není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 našich podmínkách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pravděpodobné a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je proto nezbytné věnovat zásadní pozornost úsporám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nákladů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(např. optimalizace rychlostních </w:t>
      </w:r>
      <w:r w:rsidRPr="0073428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parametrů VRT zohledňující vzdálenosti budoucích stanic </w:t>
      </w:r>
      <w:r w:rsidRPr="00734285">
        <w:rPr>
          <w:rFonts w:ascii="Times New Roman" w:hAnsi="Times New Roman" w:cs="Times New Roman"/>
          <w:sz w:val="20"/>
          <w:szCs w:val="20"/>
        </w:rPr>
        <w:t>či odmítnutí</w:t>
      </w:r>
      <w:r w:rsidRPr="0073428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politicky motivovaných návrhů výstavby nadbytečných </w:t>
      </w:r>
      <w:r w:rsidRPr="00734285">
        <w:rPr>
          <w:rFonts w:ascii="Times New Roman" w:hAnsi="Times New Roman" w:cs="Times New Roman"/>
          <w:sz w:val="20"/>
          <w:szCs w:val="20"/>
        </w:rPr>
        <w:t xml:space="preserve">terminálů) a zejména systémové podpoře tvorby pozitivních externalit a synergických efektů a také promyšlenému stanovení věcných a územních priorit výstavby. V tomto kontextu pochopitelně </w:t>
      </w:r>
      <w:r>
        <w:rPr>
          <w:rFonts w:ascii="Times New Roman" w:hAnsi="Times New Roman" w:cs="Times New Roman"/>
          <w:sz w:val="20"/>
          <w:szCs w:val="20"/>
        </w:rPr>
        <w:t xml:space="preserve">nelze opomenout </w:t>
      </w:r>
      <w:r w:rsidRPr="00734285">
        <w:rPr>
          <w:rFonts w:ascii="Times New Roman" w:hAnsi="Times New Roman" w:cs="Times New Roman"/>
          <w:sz w:val="20"/>
          <w:szCs w:val="20"/>
        </w:rPr>
        <w:t>významnou roli cenov</w:t>
      </w:r>
      <w:r>
        <w:rPr>
          <w:rFonts w:ascii="Times New Roman" w:hAnsi="Times New Roman" w:cs="Times New Roman"/>
          <w:sz w:val="20"/>
          <w:szCs w:val="20"/>
        </w:rPr>
        <w:t>á politika</w:t>
      </w:r>
      <w:r w:rsidRPr="00734285">
        <w:rPr>
          <w:rFonts w:ascii="Times New Roman" w:hAnsi="Times New Roman" w:cs="Times New Roman"/>
          <w:sz w:val="20"/>
          <w:szCs w:val="20"/>
        </w:rPr>
        <w:t xml:space="preserve"> budoucích provozovatelů VRT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3428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druhé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straně jsou VRT </w:t>
      </w:r>
      <w:r w:rsidRPr="00FB75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považovány za environmentálně nejméně zatěžující druh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dopravy a v této souvislosti je tak možné konstatovat, že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 rámci hodnocení účelnosti výstavby VRT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nepochybně hrát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stále významnější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roli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probíhající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změn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základního paradigmatu rozvoje lidské civilizace směrem k udržitelnému rozvoji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Tento závěr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bude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logicky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přenášet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výběru perspektivních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priorit veřejných rozpočtů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včetně veřejných projektů mezinárodního, národního i lokálního významu 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>(viz např. závazek EU přijatý v souladu s tzv. Green 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ea</w:t>
      </w: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o snížení emisí do roku 2030 nejméně o 55 % oproti roku 1990). V tomto kontextu se tak perspektivy dalšího rozvoje VRT jeví jako příznivé. </w:t>
      </w:r>
    </w:p>
    <w:p w14:paraId="0577B76A" w14:textId="64A8869B" w:rsidR="003F4891" w:rsidRPr="00FB75A6" w:rsidRDefault="003F4891" w:rsidP="001570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7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3F4891" w:rsidRPr="00FB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6987" w14:textId="77777777" w:rsidR="000001B2" w:rsidRDefault="000001B2" w:rsidP="001C700B">
      <w:pPr>
        <w:spacing w:after="0" w:line="240" w:lineRule="auto"/>
      </w:pPr>
      <w:r>
        <w:separator/>
      </w:r>
    </w:p>
  </w:endnote>
  <w:endnote w:type="continuationSeparator" w:id="0">
    <w:p w14:paraId="2948700B" w14:textId="77777777" w:rsidR="000001B2" w:rsidRDefault="000001B2" w:rsidP="001C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C3589" w14:textId="77777777" w:rsidR="000001B2" w:rsidRDefault="000001B2" w:rsidP="001C700B">
      <w:pPr>
        <w:spacing w:after="0" w:line="240" w:lineRule="auto"/>
      </w:pPr>
      <w:r>
        <w:separator/>
      </w:r>
    </w:p>
  </w:footnote>
  <w:footnote w:type="continuationSeparator" w:id="0">
    <w:p w14:paraId="4BAD4AB8" w14:textId="77777777" w:rsidR="000001B2" w:rsidRDefault="000001B2" w:rsidP="001C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EAF"/>
    <w:multiLevelType w:val="hybridMultilevel"/>
    <w:tmpl w:val="E0385D30"/>
    <w:lvl w:ilvl="0" w:tplc="6980E7B8">
      <w:start w:val="1"/>
      <w:numFmt w:val="upperLetter"/>
      <w:lvlText w:val="%1)"/>
      <w:lvlJc w:val="left"/>
      <w:pPr>
        <w:ind w:left="2061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70A4C"/>
    <w:multiLevelType w:val="hybridMultilevel"/>
    <w:tmpl w:val="A9BC3CDA"/>
    <w:lvl w:ilvl="0" w:tplc="C470B7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0066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E46"/>
    <w:multiLevelType w:val="hybridMultilevel"/>
    <w:tmpl w:val="02A00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EE8"/>
    <w:multiLevelType w:val="hybridMultilevel"/>
    <w:tmpl w:val="71987696"/>
    <w:lvl w:ilvl="0" w:tplc="DEA4F3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D0B45"/>
    <w:multiLevelType w:val="hybridMultilevel"/>
    <w:tmpl w:val="6590A3E2"/>
    <w:lvl w:ilvl="0" w:tplc="88E2B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D6F"/>
    <w:multiLevelType w:val="hybridMultilevel"/>
    <w:tmpl w:val="2AE8753A"/>
    <w:lvl w:ilvl="0" w:tplc="982A1E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7740EA"/>
    <w:multiLevelType w:val="hybridMultilevel"/>
    <w:tmpl w:val="A134EA40"/>
    <w:lvl w:ilvl="0" w:tplc="1E840E2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8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489" w:hanging="360"/>
      </w:pPr>
    </w:lvl>
    <w:lvl w:ilvl="2" w:tplc="0405001B" w:tentative="1">
      <w:start w:val="1"/>
      <w:numFmt w:val="lowerRoman"/>
      <w:lvlText w:val="%3."/>
      <w:lvlJc w:val="right"/>
      <w:pPr>
        <w:ind w:left="4209" w:hanging="180"/>
      </w:pPr>
    </w:lvl>
    <w:lvl w:ilvl="3" w:tplc="0405000F" w:tentative="1">
      <w:start w:val="1"/>
      <w:numFmt w:val="decimal"/>
      <w:lvlText w:val="%4."/>
      <w:lvlJc w:val="left"/>
      <w:pPr>
        <w:ind w:left="4929" w:hanging="360"/>
      </w:pPr>
    </w:lvl>
    <w:lvl w:ilvl="4" w:tplc="04050019" w:tentative="1">
      <w:start w:val="1"/>
      <w:numFmt w:val="lowerLetter"/>
      <w:lvlText w:val="%5."/>
      <w:lvlJc w:val="left"/>
      <w:pPr>
        <w:ind w:left="5649" w:hanging="360"/>
      </w:pPr>
    </w:lvl>
    <w:lvl w:ilvl="5" w:tplc="0405001B" w:tentative="1">
      <w:start w:val="1"/>
      <w:numFmt w:val="lowerRoman"/>
      <w:lvlText w:val="%6."/>
      <w:lvlJc w:val="right"/>
      <w:pPr>
        <w:ind w:left="6369" w:hanging="180"/>
      </w:pPr>
    </w:lvl>
    <w:lvl w:ilvl="6" w:tplc="0405000F" w:tentative="1">
      <w:start w:val="1"/>
      <w:numFmt w:val="decimal"/>
      <w:lvlText w:val="%7."/>
      <w:lvlJc w:val="left"/>
      <w:pPr>
        <w:ind w:left="7089" w:hanging="360"/>
      </w:pPr>
    </w:lvl>
    <w:lvl w:ilvl="7" w:tplc="04050019" w:tentative="1">
      <w:start w:val="1"/>
      <w:numFmt w:val="lowerLetter"/>
      <w:lvlText w:val="%8."/>
      <w:lvlJc w:val="left"/>
      <w:pPr>
        <w:ind w:left="7809" w:hanging="360"/>
      </w:pPr>
    </w:lvl>
    <w:lvl w:ilvl="8" w:tplc="040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9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329E6"/>
    <w:multiLevelType w:val="hybridMultilevel"/>
    <w:tmpl w:val="3EDE4F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07EB7"/>
    <w:multiLevelType w:val="hybridMultilevel"/>
    <w:tmpl w:val="D3F6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9C59DB"/>
    <w:multiLevelType w:val="hybridMultilevel"/>
    <w:tmpl w:val="4ED22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3C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66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16"/>
  </w:num>
  <w:num w:numId="10">
    <w:abstractNumId w:val="5"/>
  </w:num>
  <w:num w:numId="11">
    <w:abstractNumId w:val="7"/>
  </w:num>
  <w:num w:numId="12">
    <w:abstractNumId w:val="11"/>
  </w:num>
  <w:num w:numId="13">
    <w:abstractNumId w:val="19"/>
  </w:num>
  <w:num w:numId="14">
    <w:abstractNumId w:val="4"/>
  </w:num>
  <w:num w:numId="15">
    <w:abstractNumId w:val="6"/>
  </w:num>
  <w:num w:numId="16">
    <w:abstractNumId w:val="2"/>
  </w:num>
  <w:num w:numId="17">
    <w:abstractNumId w:val="0"/>
  </w:num>
  <w:num w:numId="18">
    <w:abstractNumId w:val="0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O2NDUyNzUyMjFX0lEKTi0uzszPAykwqgUAEf4DRCwAAAA="/>
  </w:docVars>
  <w:rsids>
    <w:rsidRoot w:val="00DE4B9F"/>
    <w:rsid w:val="000001B2"/>
    <w:rsid w:val="00001E13"/>
    <w:rsid w:val="0000247E"/>
    <w:rsid w:val="00004BF4"/>
    <w:rsid w:val="00005466"/>
    <w:rsid w:val="00015A5B"/>
    <w:rsid w:val="00017152"/>
    <w:rsid w:val="00022D1A"/>
    <w:rsid w:val="00024D77"/>
    <w:rsid w:val="00032BC8"/>
    <w:rsid w:val="000520B2"/>
    <w:rsid w:val="000561E0"/>
    <w:rsid w:val="0005629C"/>
    <w:rsid w:val="000652E8"/>
    <w:rsid w:val="00074A1C"/>
    <w:rsid w:val="00075C4F"/>
    <w:rsid w:val="000762F7"/>
    <w:rsid w:val="00077675"/>
    <w:rsid w:val="00077BBB"/>
    <w:rsid w:val="00080E8B"/>
    <w:rsid w:val="0008601A"/>
    <w:rsid w:val="00086370"/>
    <w:rsid w:val="00087010"/>
    <w:rsid w:val="000950C6"/>
    <w:rsid w:val="000A050D"/>
    <w:rsid w:val="000A41DE"/>
    <w:rsid w:val="000A446B"/>
    <w:rsid w:val="000A5A65"/>
    <w:rsid w:val="000A7147"/>
    <w:rsid w:val="000B572C"/>
    <w:rsid w:val="000B5937"/>
    <w:rsid w:val="000B6CDD"/>
    <w:rsid w:val="000B6E1B"/>
    <w:rsid w:val="000B6E8C"/>
    <w:rsid w:val="000C0414"/>
    <w:rsid w:val="000C4014"/>
    <w:rsid w:val="000C5A4B"/>
    <w:rsid w:val="000D03BC"/>
    <w:rsid w:val="000D3D6E"/>
    <w:rsid w:val="000D6A98"/>
    <w:rsid w:val="000D7455"/>
    <w:rsid w:val="000E337C"/>
    <w:rsid w:val="00101D46"/>
    <w:rsid w:val="001029B5"/>
    <w:rsid w:val="00112EC0"/>
    <w:rsid w:val="0011762B"/>
    <w:rsid w:val="00123127"/>
    <w:rsid w:val="00125052"/>
    <w:rsid w:val="00125B1A"/>
    <w:rsid w:val="001411B6"/>
    <w:rsid w:val="001421EE"/>
    <w:rsid w:val="00147472"/>
    <w:rsid w:val="00147B33"/>
    <w:rsid w:val="0015374B"/>
    <w:rsid w:val="00154A83"/>
    <w:rsid w:val="00157035"/>
    <w:rsid w:val="00164A85"/>
    <w:rsid w:val="00166623"/>
    <w:rsid w:val="00167D2B"/>
    <w:rsid w:val="00184825"/>
    <w:rsid w:val="00185552"/>
    <w:rsid w:val="00196173"/>
    <w:rsid w:val="001A48E3"/>
    <w:rsid w:val="001A4C8D"/>
    <w:rsid w:val="001A5C24"/>
    <w:rsid w:val="001B4310"/>
    <w:rsid w:val="001B4994"/>
    <w:rsid w:val="001B5BEB"/>
    <w:rsid w:val="001B6EAE"/>
    <w:rsid w:val="001C700B"/>
    <w:rsid w:val="001C7A91"/>
    <w:rsid w:val="001D1810"/>
    <w:rsid w:val="001D412E"/>
    <w:rsid w:val="001D42FA"/>
    <w:rsid w:val="001D47D7"/>
    <w:rsid w:val="001D4BD7"/>
    <w:rsid w:val="001E0098"/>
    <w:rsid w:val="001E2E3B"/>
    <w:rsid w:val="001E434A"/>
    <w:rsid w:val="001E584C"/>
    <w:rsid w:val="001E7D06"/>
    <w:rsid w:val="001F0CF7"/>
    <w:rsid w:val="001F2867"/>
    <w:rsid w:val="001F7232"/>
    <w:rsid w:val="00201434"/>
    <w:rsid w:val="0020335B"/>
    <w:rsid w:val="00212842"/>
    <w:rsid w:val="002143A7"/>
    <w:rsid w:val="002217E9"/>
    <w:rsid w:val="002319C2"/>
    <w:rsid w:val="00231D54"/>
    <w:rsid w:val="00240712"/>
    <w:rsid w:val="00240DCC"/>
    <w:rsid w:val="00241F98"/>
    <w:rsid w:val="00252A0D"/>
    <w:rsid w:val="00262A09"/>
    <w:rsid w:val="00263CA3"/>
    <w:rsid w:val="00266E33"/>
    <w:rsid w:val="0027442B"/>
    <w:rsid w:val="0027607F"/>
    <w:rsid w:val="00280CBB"/>
    <w:rsid w:val="0028349E"/>
    <w:rsid w:val="00283D46"/>
    <w:rsid w:val="00285564"/>
    <w:rsid w:val="00286E42"/>
    <w:rsid w:val="00293578"/>
    <w:rsid w:val="002937C3"/>
    <w:rsid w:val="00297C90"/>
    <w:rsid w:val="002A0B7A"/>
    <w:rsid w:val="002A0D43"/>
    <w:rsid w:val="002A3F15"/>
    <w:rsid w:val="002B1E45"/>
    <w:rsid w:val="002B2B6E"/>
    <w:rsid w:val="002B354D"/>
    <w:rsid w:val="002B7881"/>
    <w:rsid w:val="002C0992"/>
    <w:rsid w:val="002D44D1"/>
    <w:rsid w:val="002E25C4"/>
    <w:rsid w:val="002E3AC5"/>
    <w:rsid w:val="002E60A2"/>
    <w:rsid w:val="002F04AE"/>
    <w:rsid w:val="0031315D"/>
    <w:rsid w:val="00316128"/>
    <w:rsid w:val="00317103"/>
    <w:rsid w:val="00320543"/>
    <w:rsid w:val="003213B8"/>
    <w:rsid w:val="00321778"/>
    <w:rsid w:val="00325BC6"/>
    <w:rsid w:val="00327B64"/>
    <w:rsid w:val="00327E4A"/>
    <w:rsid w:val="00337510"/>
    <w:rsid w:val="00343654"/>
    <w:rsid w:val="00346E56"/>
    <w:rsid w:val="00354754"/>
    <w:rsid w:val="00362020"/>
    <w:rsid w:val="0036392D"/>
    <w:rsid w:val="00363BEC"/>
    <w:rsid w:val="00364CF5"/>
    <w:rsid w:val="00371371"/>
    <w:rsid w:val="00381889"/>
    <w:rsid w:val="003850F6"/>
    <w:rsid w:val="00390D15"/>
    <w:rsid w:val="00390F12"/>
    <w:rsid w:val="003A3DCB"/>
    <w:rsid w:val="003A4EF5"/>
    <w:rsid w:val="003B0A81"/>
    <w:rsid w:val="003B2038"/>
    <w:rsid w:val="003B381C"/>
    <w:rsid w:val="003B53A3"/>
    <w:rsid w:val="003C1C0C"/>
    <w:rsid w:val="003D080C"/>
    <w:rsid w:val="003D322C"/>
    <w:rsid w:val="003D3331"/>
    <w:rsid w:val="003D6797"/>
    <w:rsid w:val="003E461B"/>
    <w:rsid w:val="003E4C90"/>
    <w:rsid w:val="003F4891"/>
    <w:rsid w:val="00405BF5"/>
    <w:rsid w:val="00410020"/>
    <w:rsid w:val="00412090"/>
    <w:rsid w:val="004143A4"/>
    <w:rsid w:val="0041654A"/>
    <w:rsid w:val="00422EEF"/>
    <w:rsid w:val="00423A7C"/>
    <w:rsid w:val="0043132C"/>
    <w:rsid w:val="004416DA"/>
    <w:rsid w:val="00441B4F"/>
    <w:rsid w:val="004446B8"/>
    <w:rsid w:val="00445A4A"/>
    <w:rsid w:val="00452A3D"/>
    <w:rsid w:val="00456AAD"/>
    <w:rsid w:val="00462511"/>
    <w:rsid w:val="00462970"/>
    <w:rsid w:val="00464002"/>
    <w:rsid w:val="0046526D"/>
    <w:rsid w:val="00476735"/>
    <w:rsid w:val="00481BC9"/>
    <w:rsid w:val="0048579A"/>
    <w:rsid w:val="00493269"/>
    <w:rsid w:val="0049472A"/>
    <w:rsid w:val="004B1543"/>
    <w:rsid w:val="004B20C2"/>
    <w:rsid w:val="004B2E71"/>
    <w:rsid w:val="004B3BAE"/>
    <w:rsid w:val="004B441E"/>
    <w:rsid w:val="004B628F"/>
    <w:rsid w:val="004B688B"/>
    <w:rsid w:val="004D0111"/>
    <w:rsid w:val="004D294F"/>
    <w:rsid w:val="004D627D"/>
    <w:rsid w:val="004D73B1"/>
    <w:rsid w:val="004E0E7A"/>
    <w:rsid w:val="004E169A"/>
    <w:rsid w:val="004E5012"/>
    <w:rsid w:val="004E531F"/>
    <w:rsid w:val="004E5FEA"/>
    <w:rsid w:val="004E7771"/>
    <w:rsid w:val="004F1C10"/>
    <w:rsid w:val="004F79CE"/>
    <w:rsid w:val="00501920"/>
    <w:rsid w:val="00503FA6"/>
    <w:rsid w:val="005153F0"/>
    <w:rsid w:val="00515766"/>
    <w:rsid w:val="0052064B"/>
    <w:rsid w:val="00521F73"/>
    <w:rsid w:val="00526234"/>
    <w:rsid w:val="005349EA"/>
    <w:rsid w:val="00535231"/>
    <w:rsid w:val="00536486"/>
    <w:rsid w:val="00537648"/>
    <w:rsid w:val="00546D67"/>
    <w:rsid w:val="005507F3"/>
    <w:rsid w:val="00553776"/>
    <w:rsid w:val="00562728"/>
    <w:rsid w:val="005638E3"/>
    <w:rsid w:val="00563F0D"/>
    <w:rsid w:val="0057183F"/>
    <w:rsid w:val="00572A8A"/>
    <w:rsid w:val="00573EB8"/>
    <w:rsid w:val="0057401D"/>
    <w:rsid w:val="0057513A"/>
    <w:rsid w:val="0057750B"/>
    <w:rsid w:val="00580E83"/>
    <w:rsid w:val="00581EA6"/>
    <w:rsid w:val="00584602"/>
    <w:rsid w:val="00587A40"/>
    <w:rsid w:val="005966A1"/>
    <w:rsid w:val="005A3C53"/>
    <w:rsid w:val="005B1803"/>
    <w:rsid w:val="005C5F05"/>
    <w:rsid w:val="005C699A"/>
    <w:rsid w:val="005D0AA0"/>
    <w:rsid w:val="005D2981"/>
    <w:rsid w:val="005D4181"/>
    <w:rsid w:val="005D6025"/>
    <w:rsid w:val="005E42A1"/>
    <w:rsid w:val="005E6661"/>
    <w:rsid w:val="0060472E"/>
    <w:rsid w:val="00607B57"/>
    <w:rsid w:val="006104F9"/>
    <w:rsid w:val="00616D04"/>
    <w:rsid w:val="00617303"/>
    <w:rsid w:val="00617FC9"/>
    <w:rsid w:val="006216E5"/>
    <w:rsid w:val="00622047"/>
    <w:rsid w:val="006238DC"/>
    <w:rsid w:val="00626517"/>
    <w:rsid w:val="00633415"/>
    <w:rsid w:val="00634629"/>
    <w:rsid w:val="00641290"/>
    <w:rsid w:val="006414E3"/>
    <w:rsid w:val="0064260E"/>
    <w:rsid w:val="00644C60"/>
    <w:rsid w:val="006523A9"/>
    <w:rsid w:val="0065428B"/>
    <w:rsid w:val="00654A10"/>
    <w:rsid w:val="00654A6A"/>
    <w:rsid w:val="00661CC7"/>
    <w:rsid w:val="00665983"/>
    <w:rsid w:val="00665DCD"/>
    <w:rsid w:val="00666DD3"/>
    <w:rsid w:val="00677527"/>
    <w:rsid w:val="00680632"/>
    <w:rsid w:val="00682BB6"/>
    <w:rsid w:val="006A2B28"/>
    <w:rsid w:val="006A328F"/>
    <w:rsid w:val="006A3C22"/>
    <w:rsid w:val="006B2317"/>
    <w:rsid w:val="006B3D9C"/>
    <w:rsid w:val="006B4B1A"/>
    <w:rsid w:val="006B77A9"/>
    <w:rsid w:val="006C0DDC"/>
    <w:rsid w:val="006C1F8D"/>
    <w:rsid w:val="006C2F0E"/>
    <w:rsid w:val="006C6537"/>
    <w:rsid w:val="006D072D"/>
    <w:rsid w:val="006D1291"/>
    <w:rsid w:val="006D235C"/>
    <w:rsid w:val="006D3681"/>
    <w:rsid w:val="006E597C"/>
    <w:rsid w:val="006E6844"/>
    <w:rsid w:val="006F1918"/>
    <w:rsid w:val="006F2654"/>
    <w:rsid w:val="00702836"/>
    <w:rsid w:val="00703FC8"/>
    <w:rsid w:val="0071268C"/>
    <w:rsid w:val="00715593"/>
    <w:rsid w:val="0071685B"/>
    <w:rsid w:val="00720000"/>
    <w:rsid w:val="00732ED2"/>
    <w:rsid w:val="00734285"/>
    <w:rsid w:val="00735F05"/>
    <w:rsid w:val="00751D16"/>
    <w:rsid w:val="0075499B"/>
    <w:rsid w:val="00754A24"/>
    <w:rsid w:val="007563D5"/>
    <w:rsid w:val="00761578"/>
    <w:rsid w:val="00766CB6"/>
    <w:rsid w:val="00767816"/>
    <w:rsid w:val="00776426"/>
    <w:rsid w:val="00777E7D"/>
    <w:rsid w:val="0078520C"/>
    <w:rsid w:val="007A649D"/>
    <w:rsid w:val="007A65A9"/>
    <w:rsid w:val="007B4DEA"/>
    <w:rsid w:val="007B7D56"/>
    <w:rsid w:val="007C29FD"/>
    <w:rsid w:val="007C2ECA"/>
    <w:rsid w:val="007D39BC"/>
    <w:rsid w:val="007D66E0"/>
    <w:rsid w:val="007E0F84"/>
    <w:rsid w:val="007E2A9C"/>
    <w:rsid w:val="007E3723"/>
    <w:rsid w:val="007F004D"/>
    <w:rsid w:val="007F005E"/>
    <w:rsid w:val="007F1052"/>
    <w:rsid w:val="007F2824"/>
    <w:rsid w:val="007F309E"/>
    <w:rsid w:val="007F41C7"/>
    <w:rsid w:val="007F6522"/>
    <w:rsid w:val="007F7994"/>
    <w:rsid w:val="007F7E55"/>
    <w:rsid w:val="008001F0"/>
    <w:rsid w:val="0080517A"/>
    <w:rsid w:val="00807202"/>
    <w:rsid w:val="00811B2A"/>
    <w:rsid w:val="0082175B"/>
    <w:rsid w:val="00821C1B"/>
    <w:rsid w:val="0082362C"/>
    <w:rsid w:val="00836324"/>
    <w:rsid w:val="00836F43"/>
    <w:rsid w:val="00837B13"/>
    <w:rsid w:val="00840A96"/>
    <w:rsid w:val="0084357C"/>
    <w:rsid w:val="0084421F"/>
    <w:rsid w:val="008446E9"/>
    <w:rsid w:val="008448C6"/>
    <w:rsid w:val="00860A64"/>
    <w:rsid w:val="00866257"/>
    <w:rsid w:val="00867CB4"/>
    <w:rsid w:val="00870D34"/>
    <w:rsid w:val="00872203"/>
    <w:rsid w:val="00875DFC"/>
    <w:rsid w:val="00884C43"/>
    <w:rsid w:val="00887E5D"/>
    <w:rsid w:val="00896E26"/>
    <w:rsid w:val="008A1655"/>
    <w:rsid w:val="008A2A53"/>
    <w:rsid w:val="008B102D"/>
    <w:rsid w:val="008B2FDC"/>
    <w:rsid w:val="008B3ABA"/>
    <w:rsid w:val="008B4B4F"/>
    <w:rsid w:val="008B5718"/>
    <w:rsid w:val="008B5EB7"/>
    <w:rsid w:val="008C217F"/>
    <w:rsid w:val="008C3228"/>
    <w:rsid w:val="008C505F"/>
    <w:rsid w:val="008C5CFC"/>
    <w:rsid w:val="008C6334"/>
    <w:rsid w:val="008E06EF"/>
    <w:rsid w:val="008E428B"/>
    <w:rsid w:val="008E717E"/>
    <w:rsid w:val="008E784E"/>
    <w:rsid w:val="008F4153"/>
    <w:rsid w:val="008F4F8B"/>
    <w:rsid w:val="008F5FEE"/>
    <w:rsid w:val="008F723C"/>
    <w:rsid w:val="00903FC1"/>
    <w:rsid w:val="00910EEE"/>
    <w:rsid w:val="00910FBE"/>
    <w:rsid w:val="009126FC"/>
    <w:rsid w:val="00912F60"/>
    <w:rsid w:val="0091605D"/>
    <w:rsid w:val="009164B2"/>
    <w:rsid w:val="0091667F"/>
    <w:rsid w:val="00917EED"/>
    <w:rsid w:val="00920AA9"/>
    <w:rsid w:val="009226DF"/>
    <w:rsid w:val="009263CE"/>
    <w:rsid w:val="009300FA"/>
    <w:rsid w:val="00933665"/>
    <w:rsid w:val="00934451"/>
    <w:rsid w:val="0093781D"/>
    <w:rsid w:val="0094214B"/>
    <w:rsid w:val="009424D1"/>
    <w:rsid w:val="00942E13"/>
    <w:rsid w:val="00943E73"/>
    <w:rsid w:val="00944EEF"/>
    <w:rsid w:val="00946A60"/>
    <w:rsid w:val="00956DF4"/>
    <w:rsid w:val="00961605"/>
    <w:rsid w:val="0096547B"/>
    <w:rsid w:val="0097176E"/>
    <w:rsid w:val="0098651D"/>
    <w:rsid w:val="00993AD0"/>
    <w:rsid w:val="00996A28"/>
    <w:rsid w:val="00997841"/>
    <w:rsid w:val="00997E25"/>
    <w:rsid w:val="009A24B4"/>
    <w:rsid w:val="009B129C"/>
    <w:rsid w:val="009B1D6F"/>
    <w:rsid w:val="009B5C55"/>
    <w:rsid w:val="009C161B"/>
    <w:rsid w:val="009C1E83"/>
    <w:rsid w:val="009C370A"/>
    <w:rsid w:val="009C3C27"/>
    <w:rsid w:val="009C5031"/>
    <w:rsid w:val="009D03E2"/>
    <w:rsid w:val="009D42BA"/>
    <w:rsid w:val="009D4499"/>
    <w:rsid w:val="009D646D"/>
    <w:rsid w:val="009E1CC2"/>
    <w:rsid w:val="009E2AD7"/>
    <w:rsid w:val="009E4402"/>
    <w:rsid w:val="009E5516"/>
    <w:rsid w:val="009F054F"/>
    <w:rsid w:val="009F1CBA"/>
    <w:rsid w:val="009F24F0"/>
    <w:rsid w:val="009F46B9"/>
    <w:rsid w:val="00A015AA"/>
    <w:rsid w:val="00A022EB"/>
    <w:rsid w:val="00A02DB1"/>
    <w:rsid w:val="00A05291"/>
    <w:rsid w:val="00A05631"/>
    <w:rsid w:val="00A077D1"/>
    <w:rsid w:val="00A13882"/>
    <w:rsid w:val="00A170B2"/>
    <w:rsid w:val="00A221B3"/>
    <w:rsid w:val="00A24BB1"/>
    <w:rsid w:val="00A31DE9"/>
    <w:rsid w:val="00A31F82"/>
    <w:rsid w:val="00A40CFB"/>
    <w:rsid w:val="00A42AE1"/>
    <w:rsid w:val="00A4409C"/>
    <w:rsid w:val="00A47FF7"/>
    <w:rsid w:val="00A50A04"/>
    <w:rsid w:val="00A531DC"/>
    <w:rsid w:val="00A54AEC"/>
    <w:rsid w:val="00A63799"/>
    <w:rsid w:val="00A64A49"/>
    <w:rsid w:val="00A72BD1"/>
    <w:rsid w:val="00A75C0A"/>
    <w:rsid w:val="00A765CD"/>
    <w:rsid w:val="00A769AF"/>
    <w:rsid w:val="00A77E19"/>
    <w:rsid w:val="00A83EFC"/>
    <w:rsid w:val="00A85F77"/>
    <w:rsid w:val="00AA2497"/>
    <w:rsid w:val="00AA5FAE"/>
    <w:rsid w:val="00AA62A7"/>
    <w:rsid w:val="00AB18AE"/>
    <w:rsid w:val="00AB4BE1"/>
    <w:rsid w:val="00AB6D4B"/>
    <w:rsid w:val="00AC3C79"/>
    <w:rsid w:val="00AC6F40"/>
    <w:rsid w:val="00AD0A83"/>
    <w:rsid w:val="00AD0F24"/>
    <w:rsid w:val="00AD18E4"/>
    <w:rsid w:val="00AD31F5"/>
    <w:rsid w:val="00AD7C51"/>
    <w:rsid w:val="00AE0D00"/>
    <w:rsid w:val="00AE23ED"/>
    <w:rsid w:val="00AE2B9D"/>
    <w:rsid w:val="00AF2C19"/>
    <w:rsid w:val="00AF4139"/>
    <w:rsid w:val="00AF6925"/>
    <w:rsid w:val="00B046FA"/>
    <w:rsid w:val="00B0570B"/>
    <w:rsid w:val="00B05CC8"/>
    <w:rsid w:val="00B06843"/>
    <w:rsid w:val="00B113B4"/>
    <w:rsid w:val="00B22EBF"/>
    <w:rsid w:val="00B24578"/>
    <w:rsid w:val="00B2738B"/>
    <w:rsid w:val="00B328E0"/>
    <w:rsid w:val="00B40602"/>
    <w:rsid w:val="00B42072"/>
    <w:rsid w:val="00B44434"/>
    <w:rsid w:val="00B47379"/>
    <w:rsid w:val="00B52AC3"/>
    <w:rsid w:val="00B57DC6"/>
    <w:rsid w:val="00B632A2"/>
    <w:rsid w:val="00B65DC1"/>
    <w:rsid w:val="00B669CE"/>
    <w:rsid w:val="00B67233"/>
    <w:rsid w:val="00B77658"/>
    <w:rsid w:val="00B8161B"/>
    <w:rsid w:val="00B82CC8"/>
    <w:rsid w:val="00B859D0"/>
    <w:rsid w:val="00B85C0A"/>
    <w:rsid w:val="00B91BC6"/>
    <w:rsid w:val="00BB1ADD"/>
    <w:rsid w:val="00BB4402"/>
    <w:rsid w:val="00BB7D62"/>
    <w:rsid w:val="00BC2CEA"/>
    <w:rsid w:val="00BD35FC"/>
    <w:rsid w:val="00BD4F41"/>
    <w:rsid w:val="00BD6A53"/>
    <w:rsid w:val="00BF2B37"/>
    <w:rsid w:val="00BF4676"/>
    <w:rsid w:val="00C04638"/>
    <w:rsid w:val="00C04CAC"/>
    <w:rsid w:val="00C119AF"/>
    <w:rsid w:val="00C17FEB"/>
    <w:rsid w:val="00C22276"/>
    <w:rsid w:val="00C2268F"/>
    <w:rsid w:val="00C2540A"/>
    <w:rsid w:val="00C254AB"/>
    <w:rsid w:val="00C26507"/>
    <w:rsid w:val="00C32111"/>
    <w:rsid w:val="00C35FE1"/>
    <w:rsid w:val="00C3707B"/>
    <w:rsid w:val="00C441AB"/>
    <w:rsid w:val="00C456FA"/>
    <w:rsid w:val="00C50628"/>
    <w:rsid w:val="00C51DA9"/>
    <w:rsid w:val="00C529C6"/>
    <w:rsid w:val="00C564D7"/>
    <w:rsid w:val="00C571C3"/>
    <w:rsid w:val="00C61399"/>
    <w:rsid w:val="00C62D68"/>
    <w:rsid w:val="00C636BC"/>
    <w:rsid w:val="00C7345C"/>
    <w:rsid w:val="00C74F0A"/>
    <w:rsid w:val="00C767DD"/>
    <w:rsid w:val="00C77D19"/>
    <w:rsid w:val="00C8026F"/>
    <w:rsid w:val="00C82C9C"/>
    <w:rsid w:val="00C865A0"/>
    <w:rsid w:val="00C95BB2"/>
    <w:rsid w:val="00C96672"/>
    <w:rsid w:val="00C96D2E"/>
    <w:rsid w:val="00CA1F1D"/>
    <w:rsid w:val="00CB0903"/>
    <w:rsid w:val="00CC1849"/>
    <w:rsid w:val="00CC2C0F"/>
    <w:rsid w:val="00CC4F1F"/>
    <w:rsid w:val="00CC53E1"/>
    <w:rsid w:val="00CD0DA6"/>
    <w:rsid w:val="00CD1096"/>
    <w:rsid w:val="00CD2A13"/>
    <w:rsid w:val="00CD3E43"/>
    <w:rsid w:val="00CE05B0"/>
    <w:rsid w:val="00CE3374"/>
    <w:rsid w:val="00CE41D4"/>
    <w:rsid w:val="00CF3699"/>
    <w:rsid w:val="00CF4857"/>
    <w:rsid w:val="00D02574"/>
    <w:rsid w:val="00D0307B"/>
    <w:rsid w:val="00D05094"/>
    <w:rsid w:val="00D0595E"/>
    <w:rsid w:val="00D06448"/>
    <w:rsid w:val="00D1596D"/>
    <w:rsid w:val="00D16158"/>
    <w:rsid w:val="00D16717"/>
    <w:rsid w:val="00D21827"/>
    <w:rsid w:val="00D259A5"/>
    <w:rsid w:val="00D4009D"/>
    <w:rsid w:val="00D41755"/>
    <w:rsid w:val="00D4392C"/>
    <w:rsid w:val="00D5123B"/>
    <w:rsid w:val="00D51C51"/>
    <w:rsid w:val="00D52D8B"/>
    <w:rsid w:val="00D61D26"/>
    <w:rsid w:val="00D63820"/>
    <w:rsid w:val="00D66E13"/>
    <w:rsid w:val="00D7232B"/>
    <w:rsid w:val="00D728B1"/>
    <w:rsid w:val="00D72D05"/>
    <w:rsid w:val="00D74211"/>
    <w:rsid w:val="00D80871"/>
    <w:rsid w:val="00D90962"/>
    <w:rsid w:val="00D963C4"/>
    <w:rsid w:val="00D97199"/>
    <w:rsid w:val="00D97C5C"/>
    <w:rsid w:val="00DA58B2"/>
    <w:rsid w:val="00DB46A3"/>
    <w:rsid w:val="00DB5916"/>
    <w:rsid w:val="00DB7B87"/>
    <w:rsid w:val="00DC04B6"/>
    <w:rsid w:val="00DC14E6"/>
    <w:rsid w:val="00DD0F0D"/>
    <w:rsid w:val="00DD2F2F"/>
    <w:rsid w:val="00DE496D"/>
    <w:rsid w:val="00DE4B9F"/>
    <w:rsid w:val="00DE5CDD"/>
    <w:rsid w:val="00DF0C3F"/>
    <w:rsid w:val="00DF33BE"/>
    <w:rsid w:val="00DF53D8"/>
    <w:rsid w:val="00DF773E"/>
    <w:rsid w:val="00E16A0A"/>
    <w:rsid w:val="00E30CBA"/>
    <w:rsid w:val="00E3234C"/>
    <w:rsid w:val="00E451A4"/>
    <w:rsid w:val="00E55BED"/>
    <w:rsid w:val="00E60723"/>
    <w:rsid w:val="00E61964"/>
    <w:rsid w:val="00E64916"/>
    <w:rsid w:val="00E74D70"/>
    <w:rsid w:val="00E75C8A"/>
    <w:rsid w:val="00E80363"/>
    <w:rsid w:val="00E80DD6"/>
    <w:rsid w:val="00E84BAE"/>
    <w:rsid w:val="00E96941"/>
    <w:rsid w:val="00EA352A"/>
    <w:rsid w:val="00EA605C"/>
    <w:rsid w:val="00EC7E99"/>
    <w:rsid w:val="00EE368F"/>
    <w:rsid w:val="00EE67DE"/>
    <w:rsid w:val="00EF26BC"/>
    <w:rsid w:val="00EF3C54"/>
    <w:rsid w:val="00EF483A"/>
    <w:rsid w:val="00EF5147"/>
    <w:rsid w:val="00EF5A47"/>
    <w:rsid w:val="00EF5B3F"/>
    <w:rsid w:val="00F00E8D"/>
    <w:rsid w:val="00F015FC"/>
    <w:rsid w:val="00F03C35"/>
    <w:rsid w:val="00F040DB"/>
    <w:rsid w:val="00F04E4D"/>
    <w:rsid w:val="00F06CBC"/>
    <w:rsid w:val="00F1131E"/>
    <w:rsid w:val="00F15EC1"/>
    <w:rsid w:val="00F22247"/>
    <w:rsid w:val="00F223D0"/>
    <w:rsid w:val="00F24EAD"/>
    <w:rsid w:val="00F337FC"/>
    <w:rsid w:val="00F35965"/>
    <w:rsid w:val="00F41B35"/>
    <w:rsid w:val="00F43823"/>
    <w:rsid w:val="00F47F1C"/>
    <w:rsid w:val="00F606AB"/>
    <w:rsid w:val="00F62603"/>
    <w:rsid w:val="00F628CF"/>
    <w:rsid w:val="00F6410D"/>
    <w:rsid w:val="00F708D3"/>
    <w:rsid w:val="00F809E7"/>
    <w:rsid w:val="00F83DEC"/>
    <w:rsid w:val="00F83E00"/>
    <w:rsid w:val="00F9094B"/>
    <w:rsid w:val="00FA141C"/>
    <w:rsid w:val="00FA18FA"/>
    <w:rsid w:val="00FA2265"/>
    <w:rsid w:val="00FA5C19"/>
    <w:rsid w:val="00FA7655"/>
    <w:rsid w:val="00FB1848"/>
    <w:rsid w:val="00FB26EB"/>
    <w:rsid w:val="00FB5D18"/>
    <w:rsid w:val="00FB75A6"/>
    <w:rsid w:val="00FC7E88"/>
    <w:rsid w:val="00FD074C"/>
    <w:rsid w:val="00FD291A"/>
    <w:rsid w:val="00FD4DCF"/>
    <w:rsid w:val="00FE1DDA"/>
    <w:rsid w:val="00FE3C1B"/>
    <w:rsid w:val="00FF0265"/>
    <w:rsid w:val="00FF0729"/>
    <w:rsid w:val="00FF0761"/>
    <w:rsid w:val="00FF2C75"/>
    <w:rsid w:val="00FF3E2D"/>
    <w:rsid w:val="00FF63DD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5D5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D70"/>
  </w:style>
  <w:style w:type="paragraph" w:styleId="Nadpis1">
    <w:name w:val="heading 1"/>
    <w:basedOn w:val="Normln"/>
    <w:next w:val="Normln"/>
    <w:link w:val="Nadpis1Char"/>
    <w:uiPriority w:val="99"/>
    <w:qFormat/>
    <w:rsid w:val="001C700B"/>
    <w:pPr>
      <w:keepNext/>
      <w:keepLines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00B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00B"/>
    <w:pPr>
      <w:keepNext/>
      <w:keepLines/>
      <w:spacing w:before="40" w:after="0"/>
      <w:outlineLvl w:val="2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5C0A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D16158"/>
  </w:style>
  <w:style w:type="character" w:customStyle="1" w:styleId="Nadpis1Char">
    <w:name w:val="Nadpis 1 Char"/>
    <w:basedOn w:val="Standardnpsmoodstavce"/>
    <w:link w:val="Nadpis1"/>
    <w:uiPriority w:val="99"/>
    <w:rsid w:val="001C700B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700B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00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C70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C700B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1C70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70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C700B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1C700B"/>
    <w:rPr>
      <w:i/>
      <w:iCs/>
    </w:rPr>
  </w:style>
  <w:style w:type="character" w:customStyle="1" w:styleId="cizojazycne">
    <w:name w:val="cizojazycne"/>
    <w:basedOn w:val="Standardnpsmoodstavce"/>
    <w:rsid w:val="001C700B"/>
  </w:style>
  <w:style w:type="character" w:styleId="Zstupntext">
    <w:name w:val="Placeholder Text"/>
    <w:basedOn w:val="Standardnpsmoodstavce"/>
    <w:uiPriority w:val="99"/>
    <w:semiHidden/>
    <w:rsid w:val="001C700B"/>
    <w:rPr>
      <w:color w:val="808080"/>
    </w:rPr>
  </w:style>
  <w:style w:type="character" w:styleId="Zdraznn">
    <w:name w:val="Emphasis"/>
    <w:basedOn w:val="Standardnpsmoodstavce"/>
    <w:uiPriority w:val="20"/>
    <w:qFormat/>
    <w:rsid w:val="001C700B"/>
    <w:rPr>
      <w:i/>
      <w:iCs/>
    </w:rPr>
  </w:style>
  <w:style w:type="character" w:styleId="Siln">
    <w:name w:val="Strong"/>
    <w:basedOn w:val="Standardnpsmoodstavce"/>
    <w:uiPriority w:val="22"/>
    <w:qFormat/>
    <w:rsid w:val="001C700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00B"/>
  </w:style>
  <w:style w:type="paragraph" w:styleId="Zpat">
    <w:name w:val="footer"/>
    <w:basedOn w:val="Normln"/>
    <w:link w:val="ZpatChar"/>
    <w:uiPriority w:val="99"/>
    <w:unhideWhenUsed/>
    <w:rsid w:val="001C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00B"/>
  </w:style>
  <w:style w:type="character" w:customStyle="1" w:styleId="a">
    <w:name w:val="a"/>
    <w:basedOn w:val="Standardnpsmoodstavce"/>
    <w:rsid w:val="001C700B"/>
  </w:style>
  <w:style w:type="paragraph" w:styleId="Revize">
    <w:name w:val="Revision"/>
    <w:hidden/>
    <w:uiPriority w:val="99"/>
    <w:semiHidden/>
    <w:rsid w:val="001C700B"/>
    <w:pPr>
      <w:spacing w:after="0" w:line="240" w:lineRule="auto"/>
    </w:pPr>
  </w:style>
  <w:style w:type="character" w:customStyle="1" w:styleId="hgkelc">
    <w:name w:val="hgkelc"/>
    <w:basedOn w:val="Standardnpsmoodstavce"/>
    <w:rsid w:val="001C700B"/>
  </w:style>
  <w:style w:type="character" w:customStyle="1" w:styleId="highlight">
    <w:name w:val="highlight"/>
    <w:basedOn w:val="Standardnpsmoodstavce"/>
    <w:rsid w:val="001C700B"/>
    <w:rPr>
      <w:rFonts w:cs="Times New Roman"/>
    </w:rPr>
  </w:style>
  <w:style w:type="character" w:customStyle="1" w:styleId="doi">
    <w:name w:val="doi"/>
    <w:basedOn w:val="Standardnpsmoodstavce"/>
    <w:rsid w:val="001C700B"/>
    <w:rPr>
      <w:rFonts w:cs="Times New Roman"/>
    </w:rPr>
  </w:style>
  <w:style w:type="paragraph" w:customStyle="1" w:styleId="References">
    <w:name w:val="References"/>
    <w:basedOn w:val="Normln"/>
    <w:autoRedefine/>
    <w:qFormat/>
    <w:rsid w:val="001C700B"/>
    <w:pPr>
      <w:keepNext/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aps/>
      <w:sz w:val="18"/>
      <w:szCs w:val="18"/>
      <w:lang w:eastAsia="en-GB"/>
    </w:rPr>
  </w:style>
  <w:style w:type="character" w:customStyle="1" w:styleId="acopre">
    <w:name w:val="acopre"/>
    <w:basedOn w:val="Standardnpsmoodstavce"/>
    <w:rsid w:val="001C700B"/>
    <w:rPr>
      <w:rFonts w:cs="Times New Roman"/>
    </w:rPr>
  </w:style>
  <w:style w:type="character" w:customStyle="1" w:styleId="field-label">
    <w:name w:val="field-label"/>
    <w:basedOn w:val="Standardnpsmoodstavce"/>
    <w:rsid w:val="001C700B"/>
    <w:rPr>
      <w:rFonts w:cs="Times New Roman"/>
    </w:rPr>
  </w:style>
  <w:style w:type="character" w:customStyle="1" w:styleId="field-items">
    <w:name w:val="field-items"/>
    <w:basedOn w:val="Standardnpsmoodstavce"/>
    <w:rsid w:val="001C700B"/>
    <w:rPr>
      <w:rFonts w:cs="Times New Roman"/>
    </w:rPr>
  </w:style>
  <w:style w:type="paragraph" w:customStyle="1" w:styleId="normalni">
    <w:name w:val="normalni"/>
    <w:basedOn w:val="Normln"/>
    <w:rsid w:val="001C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autoRedefine/>
    <w:qFormat/>
    <w:rsid w:val="001C700B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00B050"/>
      <w:lang w:eastAsia="cs-CZ"/>
    </w:rPr>
  </w:style>
  <w:style w:type="paragraph" w:customStyle="1" w:styleId="nova-legacy-e-listitem">
    <w:name w:val="nova-legacy-e-list__item"/>
    <w:basedOn w:val="Normln"/>
    <w:rsid w:val="001C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32009L0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E8B9-141C-49E4-A875-628C8277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11</TotalTime>
  <Pages>7</Pages>
  <Words>5095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Milan Viturka</cp:lastModifiedBy>
  <cp:revision>10</cp:revision>
  <cp:lastPrinted>2022-01-03T10:10:00Z</cp:lastPrinted>
  <dcterms:created xsi:type="dcterms:W3CDTF">2023-03-08T15:17:00Z</dcterms:created>
  <dcterms:modified xsi:type="dcterms:W3CDTF">2023-03-11T14:17:00Z</dcterms:modified>
</cp:coreProperties>
</file>