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F11B" w14:textId="76EAC1C3" w:rsidR="00A54AEC" w:rsidRPr="00FB75A6" w:rsidRDefault="00A54AEC" w:rsidP="00A5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cs-CZ"/>
        </w:rPr>
      </w:pPr>
      <w:r w:rsidRPr="00FB75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cs-CZ"/>
        </w:rPr>
        <w:t xml:space="preserve">Multikriteriální </w:t>
      </w:r>
      <w:r w:rsidR="004B2E71" w:rsidRPr="00FB75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cs-CZ"/>
        </w:rPr>
        <w:t>hodnocení</w:t>
      </w:r>
      <w:r w:rsidRPr="00FB75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cs-CZ"/>
        </w:rPr>
        <w:t xml:space="preserve"> účelnosti výstavby vysokorychlostních </w:t>
      </w:r>
      <w:r w:rsidR="00FD4DCF" w:rsidRPr="00FB75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cs-CZ"/>
        </w:rPr>
        <w:t>železnice</w:t>
      </w:r>
      <w:r w:rsidRPr="00FB75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cs-CZ"/>
        </w:rPr>
        <w:t xml:space="preserve"> v České republice</w:t>
      </w:r>
    </w:p>
    <w:p w14:paraId="20C4B41C" w14:textId="77777777" w:rsidR="00BB7D62" w:rsidRDefault="00BB7D62" w:rsidP="00751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4002EFA" w14:textId="5AD10BF6" w:rsidR="00E80363" w:rsidRPr="00FB75A6" w:rsidRDefault="00266E33" w:rsidP="00751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</w:t>
      </w:r>
      <w:r w:rsidR="00E80363" w:rsidRPr="00FB75A6">
        <w:rPr>
          <w:rFonts w:ascii="Times New Roman" w:hAnsi="Times New Roman" w:cs="Times New Roman"/>
          <w:b/>
          <w:color w:val="000000" w:themeColor="text1"/>
        </w:rPr>
        <w:t xml:space="preserve">rof. </w:t>
      </w:r>
      <w:r w:rsidR="009C370A">
        <w:rPr>
          <w:rFonts w:ascii="Times New Roman" w:hAnsi="Times New Roman" w:cs="Times New Roman"/>
          <w:b/>
          <w:color w:val="000000" w:themeColor="text1"/>
        </w:rPr>
        <w:t>RNDr.</w:t>
      </w:r>
      <w:r w:rsidR="00E80363" w:rsidRPr="00FB75A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26DF" w:rsidRPr="00FB75A6">
        <w:rPr>
          <w:rFonts w:ascii="Times New Roman" w:hAnsi="Times New Roman" w:cs="Times New Roman"/>
          <w:b/>
          <w:color w:val="000000" w:themeColor="text1"/>
        </w:rPr>
        <w:t>Milan</w:t>
      </w:r>
      <w:r w:rsidR="00E80363" w:rsidRPr="00FB75A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26DF" w:rsidRPr="00FB75A6">
        <w:rPr>
          <w:rFonts w:ascii="Times New Roman" w:hAnsi="Times New Roman" w:cs="Times New Roman"/>
          <w:b/>
          <w:color w:val="000000" w:themeColor="text1"/>
        </w:rPr>
        <w:t>Viturka</w:t>
      </w:r>
      <w:r w:rsidR="00E80363" w:rsidRPr="00FB75A6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9226DF" w:rsidRPr="00FB75A6">
        <w:rPr>
          <w:rFonts w:ascii="Times New Roman" w:hAnsi="Times New Roman" w:cs="Times New Roman"/>
          <w:b/>
          <w:color w:val="000000" w:themeColor="text1"/>
        </w:rPr>
        <w:t>CSc.</w:t>
      </w:r>
    </w:p>
    <w:p w14:paraId="514F1068" w14:textId="77777777" w:rsidR="000C0414" w:rsidRPr="00FB75A6" w:rsidRDefault="000C0414" w:rsidP="006542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79D8519" w14:textId="32B41D72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Úvod </w:t>
      </w:r>
    </w:p>
    <w:p w14:paraId="21080905" w14:textId="77777777" w:rsidR="009B5C55" w:rsidRPr="00FB75A6" w:rsidRDefault="009B5C55" w:rsidP="009B5C55">
      <w:pPr>
        <w:pStyle w:val="Odstavecseseznamem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cs-CZ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Výstavba vysokorychlostních železničních tratí/VRT nesporně </w:t>
      </w:r>
      <w:proofErr w:type="gram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patří</w:t>
      </w:r>
      <w:proofErr w:type="gram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 významným fenoménům rozvoje dopravní infrastruktury. Tuto skutečnost zohledňuje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 i dlouhodobá vize společné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>d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opravní politiky Evropské unie popsaná v tzv. Bílé knize o dopravě (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European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Commission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, 2011). V této souvislosti jsou zdůrazňovány pozitivní vlivy VRT na konkurenceschopnost železnice se silniční a leteckou dopravou (zejména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v rámci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vzdálenost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200 až 600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km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) a udržitelnost společenského rozvoje. V současnosti provozuje VRT 11 z celkem 27 členských zemí EU a v souladu s tím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tak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proofErr w:type="gram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tvoří</w:t>
      </w:r>
      <w:proofErr w:type="gramEnd"/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významnou součást transevropské dopravní sítě TEN-T integrující silniční, železniční, vodní a leteckou infrastrukturu. Kromě EU j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sou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VRT provozován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y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v dalších 4 evropských zemích a dále v 5 asijských zemích (včetně Číny, kde byly vybudovány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téměř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2/3 světové sítě VRT) a po jedné zem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v Severní Americe a Africe.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 rámci České republiky byl záměr výstavby VRT oficiálně představen Ministerstvem dopravy v roce 2017 a následně schválen vládou jako Program rozvoje tzv. rychlých spojení. Konkrétně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pak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jde o trasy 1 Praha – Jihlava – Brno – Ostrava → Katovice, trasu 2 Brno → Vídeň, trasu 3 Praha – Plzeň → Mnichov a trasu 4 Praha – Ústí n. L. → Drážďany (jako alternativní je diskutována i trasa Praha – H. Králové → Vratislav, která není dále analyzována). V tomto kontextu je hlavním cílem článku představení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vlastní originální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metodiky multikriteriálního hodnocení účelnosti výstavby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VRT 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hlavních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výsledků její aplikace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pohledu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plánovan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ých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tras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včetně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optimalizační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scénář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ů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reflektující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preference nejvýznamnějších 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stakeholderovských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skupin.</w:t>
      </w:r>
      <w:r w:rsidRPr="00FB75A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Získané informace akcentují účelnou realizaci navržených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projekt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ů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včetně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omez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ení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potenciální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ch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ztrát z nevhodné alokace finančních prostředků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(i s ohledem na neexistující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domácí zkušenost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i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s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výstavbou VRT)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.</w:t>
      </w:r>
    </w:p>
    <w:p w14:paraId="4C4EBEBC" w14:textId="77777777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03F81BCD" w14:textId="77777777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Hlk128231162"/>
      <w:r w:rsidRPr="00FB7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 </w:t>
      </w:r>
      <w:r w:rsidRPr="00FB75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Teoretická a metodická východiska výzkumu </w:t>
      </w:r>
    </w:p>
    <w:bookmarkEnd w:id="0"/>
    <w:p w14:paraId="604F315B" w14:textId="77777777" w:rsidR="009B5C55" w:rsidRPr="00FB75A6" w:rsidRDefault="009B5C55" w:rsidP="009B5C5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Teoreticko-metodickým základem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užitého multikriteriálního přístupu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 hodnocení výstavby VRT 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důraz na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účelnost plánovaných projektů chápan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jako taková alokace disponibilních zdrojů, která zajistí optimální míru naplnění stanovených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cílů při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minimalizac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nežádoucích dopadů.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Termín ú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čelnost/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effectiveness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 součástí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obecného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systému hodnocení veřejných investičních projektů známého pod zkratkou 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3E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, který dále zahrnuje hodnocení efektivnosti/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effectivity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hospodárnosti/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economy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tomto místě je vhodné zmínit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známý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citát „účelnost znamená dělat správné věci a efektivnost znamená dělat je správně“ (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Drucker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1993). Z praktického pohledu to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lze interpretovat tak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že nevhodný výběr investičního projektu nelze vykompenzovat jeho efektivní realizací. Typickým příkladem 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vybudování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nové dálnice splňující stanovené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technickoekonomické parametry,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je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hož hlavním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cílem bylo povzbudit ekonomický rozvoj zaostávajícího regionu, kterého však vzhledem 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dlouhodobě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nízké konkurenceschopnosti místních firem nebylo dosaženo. </w:t>
      </w:r>
    </w:p>
    <w:p w14:paraId="09A74AAA" w14:textId="77777777" w:rsidR="009B5C55" w:rsidRPr="00FB75A6" w:rsidRDefault="009B5C55" w:rsidP="009B5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Pro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hodnocení veřejných investičních projektů s významnými dopady na společenský rozvoj se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často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používá cost-benefit analýza/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CBA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 případným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rozš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ř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ením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finanční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ho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hodnocení 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(spekulativní)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ocenění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pozitivních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externalit prostřednictvím tzv. stínových cen. Tento přístup díky své orientaci na peněžní ukazatele abstrahuje od zřejmé skutečnosti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že prostřednictvím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takto stanovených cen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nelze objektivně vyjádřit (a tedy ani srovnávat) komplexní užitky plánovaných projektů vznikající v interakci s působením společenských i přírodních zákon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itostí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Ve srovnání s hodnocením soukromých projektů jde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pochopitelně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o podstatně obtížnější záležitost, neboť veřejné projekty jsou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zaměřeny na tvorbu pozitivních externalit cílen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ých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různorodé skupiny uživatelů.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Uvedené problémy lze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řešit aplikac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multikriteriální analýzy účelnosti projektů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založené na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nepeněžních ukazatel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ích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. V tomto kontextu byla vytvořena originální metodika</w:t>
      </w:r>
      <w:r w:rsidRPr="00FB75A6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vertAlign w:val="superscript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hodnocení účelnosti projektů výstavby dopravní infrastruktury zahrnující následující kritéria: integrace (politické a obchodní aspekty), relevance (územní a technické aspekty), užitečnost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(socioekonomické aspekty), stimulace (rozvojové aspekty) a</w:t>
      </w:r>
      <w:r w:rsidRPr="00FB75A6">
        <w:rPr>
          <w:rStyle w:val="TextpoznpodarouChar"/>
          <w:rFonts w:ascii="Times New Roman" w:hAnsi="Times New Roman" w:cs="Times New Roman"/>
          <w:color w:val="000000" w:themeColor="text1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udržitelnost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(environmentální aspekty). Její vypovídací schopnost byla úspěšně ověřena na hodnocení projektů výstavby českých dálnic (Viturka, Pařil, 2015)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získané zkušenosti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pak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byly využity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pro posouzení projektů VRT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12F84DA" w14:textId="77777777" w:rsidR="009B5C55" w:rsidRPr="00FB75A6" w:rsidRDefault="009B5C55" w:rsidP="009B5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V další částech této kapitoly jsou uvedeny základní informace objasňující věcné zaměření kritérií popsan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ých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ve výše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uveden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ém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pořadí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P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odrobnější technickoekonomické informace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pak byly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prezentovány v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dalších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odborných publikacích (zejména Pařil, Viturka, 2020; Viturka, Pařil, 2020; Viturka, Pařil, 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Löw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2021). </w:t>
      </w:r>
    </w:p>
    <w:p w14:paraId="47088805" w14:textId="77777777" w:rsidR="009B5C55" w:rsidRPr="00FB75A6" w:rsidRDefault="009B5C55" w:rsidP="009B5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570627" w14:textId="77777777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2.1 Kritérium integrace </w:t>
      </w:r>
    </w:p>
    <w:p w14:paraId="7E93D3F1" w14:textId="77777777" w:rsidR="009B5C55" w:rsidRPr="00FB75A6" w:rsidRDefault="009B5C55" w:rsidP="009B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Kritérium integrace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 zaměřeno na působení VRT na rozvoj integračních procesů jako součást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transformace společenských struktur odvíjející se z územní dělby práce a dalších politických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sociálních vazeb. Za hnací síly těchto procesů lze obecně pokládat pracovní interakce na mikroregionální úrovni, produkční interakce na 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mezoregionální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úrovni, politicko-správní interakce na 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makroregionální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úrovni a obchodní interakce na globální úrovni (prezentovaný model hierarchického uspořádání je chápán jako dynamický systém, kdy např. výrazné zvýšení kvality a rychlosti dopravy může indukovat selektivní přesuny integračních procesů na vyšší hierarchickou úroveň). Hodnocení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daného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kritéria vychází 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aplikace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gravitačního modelu, který dobře vystihuje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všeobecně platnou logiku utváření dálkových dopravních vazeb. Jeho aplikace je založena na výpočtech aktuálních hodnot gravitační přitažlivosti hlavních sídelních center (definovaných jako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funkční urbanistické areály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)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dotčených plánovanou výstavbou VRT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,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kter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sou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přímo úměrn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jejich populační velikosti a nepřímo úměrná jejich vzájemné vzdálenosti vztažené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 našem případě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směrově korespondujícím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konvenčním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železničním tratím. V tomto ohledu byly zohledněny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vazby na nejbližší zahraniční metropole lokalizované v souladu 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prokazatelnou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konkurenceschopností VRT s leteckou dopravou v limitní vzdálenosti 600 km od Prahy. Modelový poměr počtu vnitrostátních a mezistátních železničních spojů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 rámci plánované sítě VRT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byl v souladu se zahraničními zkušenostmi s působením tzv. hraničního efektu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border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effect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obecně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stanoven na 1: 0,2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Beria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, 2017).</w:t>
      </w:r>
    </w:p>
    <w:p w14:paraId="35865020" w14:textId="77777777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2.2 Kritérium relevance</w:t>
      </w:r>
    </w:p>
    <w:p w14:paraId="7CBC9ADC" w14:textId="77777777" w:rsidR="009B5C55" w:rsidRPr="00FB75A6" w:rsidRDefault="009B5C55" w:rsidP="009B5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Kritérium relevance zohledňuje externí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interní územně-technické faktory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intenzivními vazbami na projektovou přípravu a realizaci staveb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tomu odpovídajícími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dopady na náklady výstavby a efektivnost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budoucího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provozu. Skupina externích faktorů interpretuje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vlivy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přírodní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 faktorů tzn.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krajinn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struktur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výškov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členitost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reliéfu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kde je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rozlišován 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>reliéf rovin s členitostí do 30 m, pahorkatin s členitostí 30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až 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>150 m, vrchovin s členitostí 150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až 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>300 m a hornatin s členitostí 300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až 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600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>Kudrnovská, Kousal, 1995)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V prvním případě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jde o jejich dopady na poloměry traťových oblouků se stanovenými minimálními limity 6,5 km pro osobní a 8,5 km pro smíšenou dopravu 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 druhém případě pak o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sklon tratí s maximální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mi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limity 35 ‰ pro osobní a 18 ‰ pro smíšenou dopravu (</w:t>
      </w:r>
      <w:proofErr w:type="spellStart"/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Týfa</w:t>
      </w:r>
      <w:proofErr w:type="spellEnd"/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, 2007).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Součástí externích faktorů jsou pochopitelně i 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>společensk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faktory tzn. rozmanité 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>urbanistick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struktur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determinující 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>lokalizac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VRT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 rámci katastrálního území obcí.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Reflexe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externích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faktorů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koresponduje s hlavním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cíl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em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územního plánování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kterým je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optimální využití území 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e zřetelem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na regulaci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kontroverzních záměrů. Skupina interních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faktor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ů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 tomto ohledu interpretuje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výsledky hodnocení propustnosti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konvenčních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tratí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dále výsledky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percepc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synergií generovaných výstavbou VRT. Podle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ukazatelů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ropustné výkonnosti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jako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východiska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pro odhady provozní naléhavosti výstavby VRT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jsou tratě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řazeny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do čtyř skupin: skupina 1 - úseky 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 hodnotami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propustnosti pod 50 %, skupina 2 - úseky s hodnotami 50-74 %, skupina 3 - úseky s hodnotami 75-99 % a skupina 4 - úseky s hodnotami 100 % a více (Čech, 2019)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Identifikace možných synergií je pak zaměřena na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potenciální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vedlejší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efekt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y/spread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effects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spojené s budoucím provozem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VRT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31C0B32" w14:textId="77777777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2.3 Kritérium užitečnosti</w:t>
      </w:r>
    </w:p>
    <w:p w14:paraId="45E666D0" w14:textId="77777777" w:rsidR="009B5C55" w:rsidRPr="00FB75A6" w:rsidRDefault="009B5C55" w:rsidP="009B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Kritérium užitečnosti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>je orientováno na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bookmarkStart w:id="1" w:name="_Hlk115011953"/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>ekonomickou komponentou</w:t>
      </w:r>
      <w:bookmarkEnd w:id="1"/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posuzování projektů výstavby expresní dopravní infrastruktury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tzn.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odhad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perspektivních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ekonomických přínosů odvíjejících se od budoucí poptávky. V našem případě byl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y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jako základní zdroj dat využit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y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tzv. signální data mobilního operátora T-Mobile Czech Republic o pohybech SIM karet mezi příslušnými destinacemi plánovaný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ch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tras VRT. Tato data byla srovnána se standardními datovými sadami získanými v rámci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periodického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sčítání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konkurenční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silniční dopravy a z dalších zdrojů (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zejména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údaj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e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o prodeji železničních jízdenek). Na základě získaných informací o aktuální poptávce po osobní dopravě, výsledků provedených dotazníkových šetření o ochotě cestujících přejít na VRT a dále zohlednění praktických zahraničních zkušeností 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provozováním VRT pak byla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určena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potenciální poptávka podle jednotlivých tras (obecně indukovaná především úsporami cestovního času).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V tomto kontextu byla pozornost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koncentrována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na percepci nejvýznamnější komponenty pravidelné osobní dopravy,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tj.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dojížděn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í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za prací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. Pro tento účel byl využit model mezní míry mobility pracovních sil, která je definována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jako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poměr průměrného přírůstku příjmů generovaného dojížděním za prací do vybraných regionálních center a s ním spojených přímých a nepřímých nákladů (včetně tzv. nákladů ztraceného času vyjádřených pomocí fixního podílu na dosažených příjmech, kde byla po provedených rozborech zvolena varianta 30 % podílu na hodinové mzdě při průměrné rychlosti 200 km/hod.).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V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yšší úroveň čistých příjmu z dojíždění za prací ve srovnání 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příslušnými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náklady je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pak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považována za dominantní faktor prohlubování prostorové mobility pracovní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ch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il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(Taylor, 1993).</w:t>
      </w:r>
    </w:p>
    <w:p w14:paraId="18B2E097" w14:textId="77777777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2.4 Kritérium stimulace</w:t>
      </w:r>
    </w:p>
    <w:p w14:paraId="215ED168" w14:textId="77777777" w:rsidR="009B5C55" w:rsidRPr="001D1810" w:rsidRDefault="009B5C55" w:rsidP="009B5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Hodnocení k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ritéri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stimulace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vychází z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vlastní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teorie integrovaného a udržitelného regionálního rozvoje, jejíž základní komponentou je kvalita podnikatelského prostředí/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KPP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, která je hodnocena pomocí 16 faktorů členěných do skupin obchodních, pracovních, infrastrukturních, regionálních, cenových a environmentálních faktorů zohledňujících výsledky mezinárodních šetření investičních preferencí velkých firem (Viturka, 2011). V tomto směru byly posouzeny potenciální dopady výstavby VRT do úrovně správních obvodů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/mikroregionů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obcí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rozšířenou působností/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ORP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Základní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úroveň hodnocení je zaměřena na percepci výhledových změn v hodnotách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dílčího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faktoru kvality silnic a železnic.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V tomto ohledu je ovšem nutné respektovat skutečnost, že tento infrastrukturní faktor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n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mezi středně </w:t>
      </w:r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významné faktory </w:t>
      </w:r>
      <w:proofErr w:type="spellStart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KPP</w:t>
      </w:r>
      <w:proofErr w:type="spellEnd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a na jeho základě tudíž nelze objektivně zhodnotit příčinné souvislosti mezi výstavbou VRT a ekonomickým růstem (viz např. </w:t>
      </w:r>
      <w:proofErr w:type="spellStart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Bray</w:t>
      </w:r>
      <w:proofErr w:type="spellEnd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1992; Ministère de </w:t>
      </w:r>
      <w:proofErr w:type="spellStart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l'Ecologie</w:t>
      </w:r>
      <w:proofErr w:type="spellEnd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</w:t>
      </w:r>
      <w:proofErr w:type="spellStart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du</w:t>
      </w:r>
      <w:proofErr w:type="spellEnd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Développement</w:t>
      </w:r>
      <w:proofErr w:type="spellEnd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Durable</w:t>
      </w:r>
      <w:proofErr w:type="spellEnd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et de </w:t>
      </w:r>
      <w:proofErr w:type="spellStart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l'Energie</w:t>
      </w:r>
      <w:proofErr w:type="spellEnd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2015; </w:t>
      </w:r>
      <w:proofErr w:type="spellStart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Blanquart</w:t>
      </w:r>
      <w:proofErr w:type="spellEnd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</w:t>
      </w:r>
      <w:proofErr w:type="spellStart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Koning</w:t>
      </w:r>
      <w:proofErr w:type="spellEnd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2017). 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Druhá, synteticky zaměřená úroveň hodnocení potom vychází 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premise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že indukované změny odrážejí úroveň 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KPP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dotčených mikroregionů 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ORP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Tato 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úroveň se odvíjí od jejich postavení v systémů center/pólů rozvoje a rozvojových os definovaných na základě pozitivních odchylek 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KPP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 teoreticky příslušných hodnot odvozených z populační velikosti mikroregionů.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Rozvojové 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osy reálně fungují jako hlavní kanály šíření pozitivních „spread 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effects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“ z pólů rozvoje (tato skutečnost byla potvrzena na základě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regionálních 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analýz míry nezaměstnanosti a intenzity bytové výstavby). </w:t>
      </w:r>
    </w:p>
    <w:p w14:paraId="0B1E3EC5" w14:textId="77777777" w:rsidR="00BB7D62" w:rsidRDefault="00BB7D62" w:rsidP="00BB7D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5B46CF4" w14:textId="25C4D4A3" w:rsidR="00BB7D62" w:rsidRDefault="009B5C55" w:rsidP="00BB7D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D18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2.5 Kritérium udržitelnosti</w:t>
      </w:r>
    </w:p>
    <w:p w14:paraId="17A1B7F0" w14:textId="35A4288D" w:rsidR="009B5C55" w:rsidRPr="00FF2C75" w:rsidRDefault="009B5C55" w:rsidP="00BB7D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Kritérium udržitelnosti je primárně zaměřeno na identifikaci potenciálních konfliktů mezi plánovanými trasami VRT a ochranou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nejvýznamnějších 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ekosystémů příslušných k evropskému systému Natura 2000 a dále teritoriálními systémy ekologické stability krajiny/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TSES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nadregionálního významu. Včasná identifikace těchto konfliktů umožňuje regulovat negativní dopady na fragmentaci krajiny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spojené s poklesem biodiverzity dotčených ekosystémů) jako doprovodného jevu liniových staveb. Soustava Natura 2000 zahrnuje nejhodnotnější biotopy v rámci zemí EU členěné na 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Special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Areas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Conservation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SAC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(EU 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Habitats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directive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92/43/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EEC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) a tzv. ptačí oblasti/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Special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Protection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Areas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/SPA (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Council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proofErr w:type="spellStart"/>
        <w:r w:rsidRPr="001D1810">
          <w:rPr>
            <w:rStyle w:val="Zstupntext"/>
            <w:rFonts w:ascii="Times New Roman" w:hAnsi="Times New Roman" w:cs="Times New Roman"/>
            <w:color w:val="000000" w:themeColor="text1"/>
            <w:sz w:val="20"/>
            <w:szCs w:val="20"/>
          </w:rPr>
          <w:t>directive</w:t>
        </w:r>
        <w:proofErr w:type="spellEnd"/>
        <w:r w:rsidRPr="001D1810">
          <w:rPr>
            <w:rStyle w:val="Zstupntext"/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2009/147/</w:t>
        </w:r>
        <w:proofErr w:type="spellStart"/>
        <w:r w:rsidRPr="001D1810">
          <w:rPr>
            <w:rStyle w:val="Zstupntext"/>
            <w:rFonts w:ascii="Times New Roman" w:hAnsi="Times New Roman" w:cs="Times New Roman"/>
            <w:color w:val="000000" w:themeColor="text1"/>
            <w:sz w:val="20"/>
            <w:szCs w:val="20"/>
          </w:rPr>
          <w:t>EC</w:t>
        </w:r>
        <w:proofErr w:type="spellEnd"/>
        <w:r w:rsidRPr="001D1810">
          <w:rPr>
            <w:rStyle w:val="Zstupntext"/>
            <w:rFonts w:ascii="Times New Roman" w:hAnsi="Times New Roman" w:cs="Times New Roman"/>
            <w:color w:val="000000" w:themeColor="text1"/>
            <w:sz w:val="20"/>
            <w:szCs w:val="20"/>
          </w:rPr>
          <w:t>)</w:t>
        </w:r>
      </w:hyperlink>
      <w:r w:rsidRPr="001D1810">
        <w:rPr>
          <w:rStyle w:val="Zstupntext"/>
          <w:rFonts w:ascii="Times New Roman" w:hAnsi="Times New Roman" w:cs="Times New Roman"/>
          <w:color w:val="000000" w:themeColor="text1"/>
          <w:sz w:val="20"/>
          <w:szCs w:val="20"/>
        </w:rPr>
        <w:t xml:space="preserve">. Hlavní komponenty soustavy </w:t>
      </w:r>
      <w:proofErr w:type="spellStart"/>
      <w:r w:rsidRPr="001D1810">
        <w:rPr>
          <w:rStyle w:val="Zstupntext"/>
          <w:rFonts w:ascii="Times New Roman" w:hAnsi="Times New Roman" w:cs="Times New Roman"/>
          <w:color w:val="000000" w:themeColor="text1"/>
          <w:sz w:val="20"/>
          <w:szCs w:val="20"/>
        </w:rPr>
        <w:t>TSES</w:t>
      </w:r>
      <w:proofErr w:type="spellEnd"/>
      <w:r w:rsidRPr="001D1810">
        <w:rPr>
          <w:rStyle w:val="Zstupntext"/>
          <w:rFonts w:ascii="Times New Roman" w:hAnsi="Times New Roman" w:cs="Times New Roman"/>
          <w:color w:val="000000" w:themeColor="text1"/>
          <w:sz w:val="20"/>
          <w:szCs w:val="20"/>
        </w:rPr>
        <w:t xml:space="preserve"> pak představují </w:t>
      </w:r>
      <w:r>
        <w:rPr>
          <w:rStyle w:val="Zstupntext"/>
          <w:rFonts w:ascii="Times New Roman" w:hAnsi="Times New Roman" w:cs="Times New Roman"/>
          <w:color w:val="000000" w:themeColor="text1"/>
          <w:sz w:val="20"/>
          <w:szCs w:val="20"/>
        </w:rPr>
        <w:t xml:space="preserve">vymezená </w:t>
      </w:r>
      <w:r w:rsidRPr="001D1810">
        <w:rPr>
          <w:rStyle w:val="Zstupntext"/>
          <w:rFonts w:ascii="Times New Roman" w:hAnsi="Times New Roman" w:cs="Times New Roman"/>
          <w:color w:val="000000" w:themeColor="text1"/>
          <w:sz w:val="20"/>
          <w:szCs w:val="20"/>
        </w:rPr>
        <w:t>biocentra/</w:t>
      </w:r>
      <w:proofErr w:type="spellStart"/>
      <w:r w:rsidRPr="001D1810">
        <w:rPr>
          <w:rStyle w:val="Zstupntext"/>
          <w:rFonts w:ascii="Times New Roman" w:hAnsi="Times New Roman" w:cs="Times New Roman"/>
          <w:color w:val="000000" w:themeColor="text1"/>
          <w:sz w:val="20"/>
          <w:szCs w:val="20"/>
        </w:rPr>
        <w:t>BCE</w:t>
      </w:r>
      <w:proofErr w:type="spellEnd"/>
      <w:r w:rsidRPr="001D1810">
        <w:rPr>
          <w:rStyle w:val="Zstupntext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a biokoridory/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BKO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Výše uvedeným systémům byly v souladu s jejich hierarchickým postavením přiřazeny následující významové váhy: Natura 2000 – váha 2, nadregionální </w:t>
      </w:r>
      <w:proofErr w:type="spellStart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TSES</w:t>
      </w:r>
      <w:proofErr w:type="spellEnd"/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váha 1. Za další významný problém spojený 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budoucím provozem </w:t>
      </w:r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VRT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 dále pokládána </w:t>
      </w:r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hluková zátěž, která se projevuje až do vzdálenosti 500 metrů od středu drážního tělesa (</w:t>
      </w:r>
      <w:proofErr w:type="spellStart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Sarikavak</w:t>
      </w:r>
      <w:proofErr w:type="spellEnd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</w:t>
      </w:r>
      <w:proofErr w:type="spellStart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Boxall</w:t>
      </w:r>
      <w:proofErr w:type="spellEnd"/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2019),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Odpovídající c</w:t>
      </w:r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elkový počet obyvatel ohrožených hlukem byl odhadnut na cca 500 tis. Řešení tohoto významného problému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s</w:t>
      </w:r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negativními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dopady na kvalitu sociálního prostředí </w:t>
      </w:r>
      <w:r w:rsidRPr="00FF2C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je úzce propojeno s optimalizací územní koexistence výstavby plánovaných VRT s příslušnými přírodními a urbanistickými </w:t>
      </w:r>
      <w:r w:rsidRPr="00FF2C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faktory. Na druhé straně 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 této souvislosti </w:t>
      </w:r>
      <w:r w:rsidRPr="00FF2C75">
        <w:rPr>
          <w:rFonts w:ascii="Times New Roman" w:hAnsi="Times New Roman" w:cs="Times New Roman"/>
          <w:color w:val="000000" w:themeColor="text1"/>
          <w:sz w:val="20"/>
          <w:szCs w:val="20"/>
        </w:rPr>
        <w:t>potřebné připomenout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</w:t>
      </w:r>
      <w:r w:rsidRPr="00FF2C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pozitivní faktor spojený s provozem VRT, kterým jsou prakticky nulové emise skleníkových plynů jako významn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FF2C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součásti horizontální a vertikální cirkulace atmosféry (z důvodu jejich volných územních vazeb však tento fakt nelze přímo zahrnout do užitého systému hodnocení). </w:t>
      </w:r>
    </w:p>
    <w:p w14:paraId="321A2644" w14:textId="77777777" w:rsidR="009B5C55" w:rsidRPr="00FB75A6" w:rsidRDefault="009B5C55" w:rsidP="009B5C5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03ABB65" w14:textId="77777777" w:rsidR="009B5C55" w:rsidRPr="004B441E" w:rsidRDefault="009B5C55" w:rsidP="009B5C5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441E">
        <w:rPr>
          <w:rFonts w:ascii="Times New Roman" w:hAnsi="Times New Roman" w:cs="Times New Roman"/>
          <w:b/>
          <w:sz w:val="20"/>
          <w:szCs w:val="20"/>
        </w:rPr>
        <w:t>3. Výsledky řešení</w:t>
      </w:r>
    </w:p>
    <w:p w14:paraId="5833F079" w14:textId="77777777" w:rsidR="009B5C55" w:rsidRPr="00FB75A6" w:rsidRDefault="009B5C55" w:rsidP="00BB7D62">
      <w:pPr>
        <w:pStyle w:val="Odstavecseseznamem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 následující části jsou představeny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podrobněji komentovány dosažené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výsledky hodnocení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potenciálních dopadů realizace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plánovaných projektů výstavby VRT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regionální a lokální rozvoj prostřednictvím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výše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definovaných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kritérií. </w:t>
      </w:r>
    </w:p>
    <w:p w14:paraId="5B9D498B" w14:textId="77777777" w:rsidR="009B5C55" w:rsidRPr="00807202" w:rsidRDefault="009B5C55" w:rsidP="009B5C5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7202">
        <w:rPr>
          <w:rFonts w:ascii="Times New Roman" w:hAnsi="Times New Roman" w:cs="Times New Roman"/>
          <w:b/>
          <w:sz w:val="20"/>
          <w:szCs w:val="20"/>
        </w:rPr>
        <w:t>3.1. Zhodnocení plánovaných tras VRT</w:t>
      </w:r>
    </w:p>
    <w:p w14:paraId="3C1B2F70" w14:textId="77777777" w:rsidR="009B5C55" w:rsidRDefault="009B5C55" w:rsidP="009B5C5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Hlavní výsledky multikriteriálního hodnocení plánovaných VRT prezentované v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tabul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ukazují,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že do skupiny 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nadprůměrnými hodnotami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se řadí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nejdelší trasa 1  Praha – Brno – Ostrava – hranice Česká republika/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Polsko 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celkem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438 km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podle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stávající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železničn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ích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tra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) 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bookmarkStart w:id="2" w:name="_Hlk128904956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výsledným </w:t>
      </w:r>
      <w:bookmarkEnd w:id="2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průměrným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pozičním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hodnocením 1,8 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dále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trasa 3 Praha – Plzeň – hranice Česká republika/Německo 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výsledným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průměrným hodnocením 2,0. Do skupiny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podprůměrnými hodnotami pak patří trasa 4 Praha – Ústí n. L. – hranice Česká republika/Německo s průměrným hodnocením 2,8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následovaná nejkratší trasou 2 Brno – hranice Česká republika/Rakousko (celkem 65 km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podle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stávající železniční tratě) s průměrným hodnocením 3,4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 obou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posledních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případech bylo zjištěno nejlépe druh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pořadí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 rámci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stanovených kritérií.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Zjištěné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pořadí plánovaných tras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představuje primární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podklad pro stanovení strategických priorit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plánované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výstavby VRT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chápaných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jako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základní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opatření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cílené na odstranění neustálého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opakování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závažných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problémů spojených s výstavbou dopravní infrastruktury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 České republice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(generovaných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kromě komplikovaného znění s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tavební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ho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zákon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závažnými nedostatky v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projektovém managementu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odvíjejících se od úzkého zaměření studií proveditelnosti na lokalizaci tras VRT bez hlubší snahy o komplexně orientované posouzení jejich účelnosti prostřednictvím ekonomických analýz zaměřených na regionální přínosy a hlavní rizika plánovaných záměrů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V tomto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kontextu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jsou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dále komentovány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výsledky hodnocení jednotlivých tras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včetně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syntéz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zjištěných skutečností. </w:t>
      </w:r>
    </w:p>
    <w:p w14:paraId="79F7C2A3" w14:textId="77777777" w:rsidR="009B5C55" w:rsidRDefault="009B5C55" w:rsidP="009B5C5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0F2D716" w14:textId="77777777" w:rsidR="009B5C55" w:rsidRPr="000762F7" w:rsidRDefault="009B5C55" w:rsidP="009B5C5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cs-CZ"/>
        </w:rPr>
      </w:pPr>
      <w:r w:rsidRPr="000762F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Tab. 1: Pořadí navržených tras VRT podle užitých kritérií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a celkové pořadí.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081"/>
        <w:gridCol w:w="1122"/>
        <w:gridCol w:w="1126"/>
        <w:gridCol w:w="1131"/>
        <w:gridCol w:w="1126"/>
        <w:gridCol w:w="1255"/>
        <w:gridCol w:w="1121"/>
        <w:gridCol w:w="1100"/>
      </w:tblGrid>
      <w:tr w:rsidR="009B5C55" w:rsidRPr="00FB75A6" w14:paraId="657784C6" w14:textId="77777777" w:rsidTr="00932B92">
        <w:trPr>
          <w:trHeight w:val="285"/>
        </w:trPr>
        <w:tc>
          <w:tcPr>
            <w:tcW w:w="1081" w:type="dxa"/>
            <w:vMerge w:val="restart"/>
          </w:tcPr>
          <w:p w14:paraId="6F3221CF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trasy</w:t>
            </w:r>
          </w:p>
        </w:tc>
        <w:tc>
          <w:tcPr>
            <w:tcW w:w="5760" w:type="dxa"/>
            <w:gridSpan w:val="5"/>
          </w:tcPr>
          <w:p w14:paraId="7147F297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kritérium</w:t>
            </w:r>
          </w:p>
        </w:tc>
        <w:tc>
          <w:tcPr>
            <w:tcW w:w="1121" w:type="dxa"/>
            <w:vMerge w:val="restart"/>
          </w:tcPr>
          <w:p w14:paraId="70327660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součet pořadí</w:t>
            </w:r>
          </w:p>
        </w:tc>
        <w:tc>
          <w:tcPr>
            <w:tcW w:w="1100" w:type="dxa"/>
            <w:vMerge w:val="restart"/>
          </w:tcPr>
          <w:p w14:paraId="5AF433E3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celkové pořadí</w:t>
            </w:r>
          </w:p>
        </w:tc>
      </w:tr>
      <w:tr w:rsidR="009B5C55" w:rsidRPr="00FB75A6" w14:paraId="69A8B07C" w14:textId="77777777" w:rsidTr="00932B92">
        <w:trPr>
          <w:trHeight w:val="285"/>
        </w:trPr>
        <w:tc>
          <w:tcPr>
            <w:tcW w:w="1081" w:type="dxa"/>
            <w:vMerge/>
          </w:tcPr>
          <w:p w14:paraId="352D7CB1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</w:tcPr>
          <w:p w14:paraId="2D156732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integrace</w:t>
            </w:r>
          </w:p>
        </w:tc>
        <w:tc>
          <w:tcPr>
            <w:tcW w:w="1126" w:type="dxa"/>
          </w:tcPr>
          <w:p w14:paraId="2924BB4A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relevance</w:t>
            </w:r>
          </w:p>
        </w:tc>
        <w:tc>
          <w:tcPr>
            <w:tcW w:w="1131" w:type="dxa"/>
          </w:tcPr>
          <w:p w14:paraId="0131BC5C" w14:textId="77777777" w:rsidR="009B5C55" w:rsidRPr="00FB75A6" w:rsidRDefault="009B5C55" w:rsidP="00932B9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užitečnost</w:t>
            </w:r>
          </w:p>
        </w:tc>
        <w:tc>
          <w:tcPr>
            <w:tcW w:w="1126" w:type="dxa"/>
          </w:tcPr>
          <w:p w14:paraId="6C13CAEB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stimulace</w:t>
            </w:r>
          </w:p>
        </w:tc>
        <w:tc>
          <w:tcPr>
            <w:tcW w:w="1255" w:type="dxa"/>
          </w:tcPr>
          <w:p w14:paraId="4E5C8DBC" w14:textId="77777777" w:rsidR="009B5C55" w:rsidRPr="00FB75A6" w:rsidRDefault="009B5C55" w:rsidP="00932B92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udržitelnost</w:t>
            </w:r>
          </w:p>
        </w:tc>
        <w:tc>
          <w:tcPr>
            <w:tcW w:w="1121" w:type="dxa"/>
            <w:vMerge/>
          </w:tcPr>
          <w:p w14:paraId="4FB64E1F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1FDFD986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5C55" w:rsidRPr="00FB75A6" w14:paraId="0C11D392" w14:textId="77777777" w:rsidTr="00932B92">
        <w:trPr>
          <w:trHeight w:val="283"/>
        </w:trPr>
        <w:tc>
          <w:tcPr>
            <w:tcW w:w="1081" w:type="dxa"/>
          </w:tcPr>
          <w:p w14:paraId="078777D7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trasa 1</w:t>
            </w:r>
          </w:p>
        </w:tc>
        <w:tc>
          <w:tcPr>
            <w:tcW w:w="1122" w:type="dxa"/>
          </w:tcPr>
          <w:p w14:paraId="730D3112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5C2061B2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14:paraId="6150C1B4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722400A3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14:paraId="6A395CC8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14:paraId="35A95054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00" w:type="dxa"/>
          </w:tcPr>
          <w:p w14:paraId="3B7B8108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B5C55" w:rsidRPr="00FB75A6" w14:paraId="20F77238" w14:textId="77777777" w:rsidTr="00932B92">
        <w:trPr>
          <w:trHeight w:val="283"/>
        </w:trPr>
        <w:tc>
          <w:tcPr>
            <w:tcW w:w="1081" w:type="dxa"/>
          </w:tcPr>
          <w:p w14:paraId="22EE3C57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trasa 2</w:t>
            </w:r>
          </w:p>
        </w:tc>
        <w:tc>
          <w:tcPr>
            <w:tcW w:w="1122" w:type="dxa"/>
          </w:tcPr>
          <w:p w14:paraId="288DA734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14:paraId="5D54484F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1" w:type="dxa"/>
          </w:tcPr>
          <w:p w14:paraId="0566F76A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14:paraId="5A2E4285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14:paraId="3BBADE2E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14:paraId="0AEA59D7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00" w:type="dxa"/>
          </w:tcPr>
          <w:p w14:paraId="5B853963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B5C55" w:rsidRPr="00FB75A6" w14:paraId="0E414EA9" w14:textId="77777777" w:rsidTr="00932B92">
        <w:trPr>
          <w:trHeight w:val="283"/>
        </w:trPr>
        <w:tc>
          <w:tcPr>
            <w:tcW w:w="1081" w:type="dxa"/>
          </w:tcPr>
          <w:p w14:paraId="4FE58D5C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trasa 3</w:t>
            </w:r>
          </w:p>
        </w:tc>
        <w:tc>
          <w:tcPr>
            <w:tcW w:w="1122" w:type="dxa"/>
          </w:tcPr>
          <w:p w14:paraId="346CD30C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26" w:type="dxa"/>
          </w:tcPr>
          <w:p w14:paraId="4DE937EB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14:paraId="071313EE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26" w:type="dxa"/>
          </w:tcPr>
          <w:p w14:paraId="01F057F9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7C6B9C02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474CED8B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00" w:type="dxa"/>
          </w:tcPr>
          <w:p w14:paraId="6D41BECA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B5C55" w:rsidRPr="00FB75A6" w14:paraId="5CFF0F63" w14:textId="77777777" w:rsidTr="00932B92">
        <w:trPr>
          <w:trHeight w:val="283"/>
        </w:trPr>
        <w:tc>
          <w:tcPr>
            <w:tcW w:w="1081" w:type="dxa"/>
          </w:tcPr>
          <w:p w14:paraId="7A7365DC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trasa 4</w:t>
            </w:r>
          </w:p>
        </w:tc>
        <w:tc>
          <w:tcPr>
            <w:tcW w:w="1122" w:type="dxa"/>
          </w:tcPr>
          <w:p w14:paraId="3817992A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14:paraId="7C5BBDFD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14:paraId="66949C07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14:paraId="6E32A1F7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14:paraId="277C7060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14:paraId="6BEFDF39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00" w:type="dxa"/>
          </w:tcPr>
          <w:p w14:paraId="6C53916E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3FFE2E7E" w14:textId="77777777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B75A6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Zdroj: vlastní výzkum.</w:t>
      </w:r>
    </w:p>
    <w:p w14:paraId="154A7656" w14:textId="77777777" w:rsidR="009B5C55" w:rsidRPr="00FB75A6" w:rsidRDefault="009B5C55" w:rsidP="009B5C5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AA7D8F" w14:textId="77777777" w:rsidR="009B5C55" w:rsidRPr="002143A7" w:rsidRDefault="009B5C55" w:rsidP="009B5C55">
      <w:pPr>
        <w:tabs>
          <w:tab w:val="left" w:pos="70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143A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Trasa 1:</w:t>
      </w:r>
    </w:p>
    <w:p w14:paraId="7B9FB940" w14:textId="77777777" w:rsidR="009B5C55" w:rsidRDefault="009B5C55" w:rsidP="009B5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43A7">
        <w:rPr>
          <w:rFonts w:ascii="Times New Roman" w:hAnsi="Times New Roman" w:cs="Times New Roman"/>
          <w:color w:val="000000" w:themeColor="text1"/>
          <w:sz w:val="20"/>
          <w:szCs w:val="20"/>
        </w:rPr>
        <w:t>Trasa perspektivně propojí všechn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2143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nejvýznamnější sídelní centra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43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tzn.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Prahu jako jedinou českou metropoli nadnárodního významu s Brnem jako vedlejší metropolí a dále s Ostravou a z mezinárodního pohledu pak s polskou sítí VRT ve směru na Katovice (Viturka et al., 2017). V souladu s touto skutečností zaujímá nejlepší pozici podle kritéria integrace (podíl vnitrostátních interakcí činí cca 68 %). Pokud jde o kritérium relevance je potřeba zmínit siln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ě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nadprůměrné vytížení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současných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tratí (zejména v ostravské části trasy) a tudíž i vysoký potenciál synergických efektů spojených s převedením značné části expresní osobní dopravy z tratě Praha – Č. Třebová 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Ostrava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VRT a následným využitím uvolněné kapacity pro zbývající osobní 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dále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nákladní doprav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Provedené analýzy potvrdily že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tato trasa disponuje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nejsilnější poptávk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 a má tedy logicky nejlepší pozici i podle kritéria užitečnosti.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očet cestujících,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 kterých lze předpokládat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perspektivn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í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přesun ze stávajících železničních a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autobusových tras a individuální silniční dopravy/</w:t>
      </w:r>
      <w:proofErr w:type="spellStart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IAD</w:t>
      </w:r>
      <w:proofErr w:type="spellEnd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VRT byl modelově odhadnut na cca 7,1 tisíc za den (pro orientační odhad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perspektivního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převedené poptávky z </w:t>
      </w:r>
      <w:proofErr w:type="spellStart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IAD</w:t>
      </w:r>
      <w:proofErr w:type="spellEnd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byla cestou generalizace zahraničních zkušeností stanovena jednotná hranice 15 %). Z hlediska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rostoucí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pracovní atraktivity příslušných krajských center (doplněných vybranými železničními křižovatkami Přerovem a Břeclaví)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určené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základě ukazatele mezní míry mobility pracovních sil zaujímá pochopitelně nejlepší postavení Praha, za kterou s velkým odstupem následují Brno, Plzeň a Ostrava s přibližně třikrát, šestkrát a desetkrát nižší atraktivitou. V souladu s příznivými charakteristikami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regionálního rozvoje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pak trasa vykazuje dobré postavení i v rámci kritérií stimulace, kde díky její výstavbě dojde k výraznějšímu zvýšení úrovně faktoru kvality silnic a železnic v případě Jihlavy (+ 16 %) a Brna (+ 13,5 %) násled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ovaných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nejvýznamnější železniční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mi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křižovatk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ami,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tj.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Prah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ou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(+ 8 %) a Ostrav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ou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(+ 8,5 %). Toto postavení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plně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koresponduje s jejími přímými územními vazbami na českomoravskou a východočeskou rozvinutou rozvojovou osu národního významu a v menší míře i na částečně rozvinutou východomoravskou rozvojovou osu národního významu. Nejhorší umístění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tato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trasa zaujala v případě kritéria udržitelnosti, kde byla identifikována téměř polovina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všech potenciálních konfliktů generovaných výstavbou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všech diskutovaných tras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VRT s legislativně ukotvenou ochranou přírody: </w:t>
      </w:r>
      <w:proofErr w:type="spellStart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SAC</w:t>
      </w:r>
      <w:proofErr w:type="spellEnd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(13 případů), SPA (2 případy), </w:t>
      </w:r>
      <w:proofErr w:type="spellStart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BCE</w:t>
      </w:r>
      <w:proofErr w:type="spellEnd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(3 případy) a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BKO</w:t>
      </w:r>
      <w:proofErr w:type="spellEnd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(9 případů).</w:t>
      </w:r>
    </w:p>
    <w:p w14:paraId="51863B32" w14:textId="77777777" w:rsidR="009B5C55" w:rsidRPr="001F0CF7" w:rsidRDefault="009B5C55" w:rsidP="009B5C5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F0CF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Trasa 2: </w:t>
      </w:r>
    </w:p>
    <w:p w14:paraId="2599C655" w14:textId="77777777" w:rsidR="009B5C55" w:rsidRDefault="009B5C55" w:rsidP="009B5C5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Trasa výhledově propojí Brno s Břeclaví a návazně </w:t>
      </w:r>
      <w:r w:rsidRPr="001F0CF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pak s hlavním městem Rakouska Vídní.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Vzhledem ke skutečnosti, že na ní není lokalizována žádná další významná česká sídelní aglomerace zaujímá v rámci kritéria integrace až poslední pořadí.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Pokud jde o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kritéri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um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relevance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zaujímající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(i přes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vcelku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příznivé hodnoty krajinných a do jisté míry i urbanistických limitů a tomu odpovídajícím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menším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náklad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výstavby) díky nízkému potenciálu perspektivní tvorby synergických provozních efektů mírně podprůměrná pozice.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 případě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kritéri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užitečnosti pak v souladu s úrovní potenciální poptávky zaujímá poslední pořadí, přičemž celkový počet cestujících, kteří by se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podle provedených výpočtů měli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perspektivně přesunou na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VRT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 směrově korespondujících železničních a autobusových tras a </w:t>
      </w:r>
      <w:proofErr w:type="spellStart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IAD</w:t>
      </w:r>
      <w:proofErr w:type="spellEnd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byl odhadnut pouze na 0,5 tis.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den. Vzhledem 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specifickému „spojovacímu“  charakteru je pro tuto trasu  charakteristická nejslabší pozice i v rámci kritéria stimulace, kde lze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však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ve vzdálenější budoucnosti očekávat určité rozvojové stimuly generované vazbami na Vídeň s pozitivními dopady na zlepšování </w:t>
      </w:r>
      <w:proofErr w:type="spellStart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KPP</w:t>
      </w:r>
      <w:proofErr w:type="spellEnd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 tedy i na rezidenční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atraktivit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dotčených sídelních center. Pokud jde o poslední kritérium udržitelnosti lze pozici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dané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trasy hodnotit jako příznivou (druhé nejlepší postavení) s následujícím počtem potenciálních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environmentálních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konfliktů: </w:t>
      </w:r>
      <w:proofErr w:type="spellStart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SAC</w:t>
      </w:r>
      <w:proofErr w:type="spellEnd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4 případy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, SPA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1 případ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BCE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1 případ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BKO</w:t>
      </w:r>
      <w:proofErr w:type="spellEnd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případy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01C2D0A6" w14:textId="77777777" w:rsidR="009B5C55" w:rsidRPr="001F0CF7" w:rsidRDefault="009B5C55" w:rsidP="009B5C5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F0CF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Trasa 3: </w:t>
      </w:r>
    </w:p>
    <w:p w14:paraId="29CB14CC" w14:textId="77777777" w:rsidR="009B5C55" w:rsidRPr="001F0CF7" w:rsidRDefault="009B5C55" w:rsidP="009B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Trasa výhledově propojí Prah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 Plzní a v dalším průběhu pak naváže na německou železniční síť ve směru na dynamicky se rozvíjející bavorskou metropoli Mnichov nadnárodního významu. V rámci kritéria integrace trasa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zaujímá mírně podprůměrné postavení (podíl vnitrostátních interakcí činí cca 64 %). Ze širšího geografického pohledu pak její význam zvyšuje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perspektivní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zlepšení dostupnosti jádrového prostoru evropského rozvoje označovaného jako „modrý banán“, zahrnujícího i Mnichov ležící na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rýnsko-dunajském dopravním koridoru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Pokud jde o kritérium relevance </w:t>
      </w:r>
      <w:proofErr w:type="gramStart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patří</w:t>
      </w:r>
      <w:proofErr w:type="gramEnd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trase nadprůměrné postavení, které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se odvíjí od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příznivých hodnot krajinářských limitů a potenciálu synergických efektů (významným problémem je však vedení trasy intravilánem Prah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y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a hustě osídleným údolím řeky Berounk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y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který bude nutné řešit prostřednictvím výstavby tunelu). V rámci kritéria užitečnosti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tato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trasa podle výsledků analýzy potenciální poptávky zaujímá mírně podprůměrné pořadí,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přičemž perspektivní počet cestujících převedených ze stávajících železničních a autobusových tras a </w:t>
      </w:r>
      <w:proofErr w:type="spellStart"/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IAD</w:t>
      </w:r>
      <w:proofErr w:type="spellEnd"/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byl odhadnut na 1,8 tis. cestujících za den (k tomu je vhodné poznamenat, že aglomerace Plzně vykazuje 5,5 x nižší hodnotu pracovní atraktivity než Praha). Pokud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však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jde o faktor stimulace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zaujímá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trasa nejlepší postavení a lze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tak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očekávat významné zvýšení úrovně faktoru kvality silnic a železnic o cca 10 % s pozitivními dopady na rozvoj krajského města Plzně a šíření rozvojových efektů. Tento závěr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potvrzuje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dlouhodobě podprůměrná míra nezaměstnanosti a nadprůměrné tempo výstavby bytů zaznamenané podél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směrově korespondující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rozvinuté západočeské rozvojové osy národního významu i navazující rozvojové osy regionálního významu a rovněž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dlouhodobé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prohlubování přeshraničních vazeb s Bavorskem (s téměř čtvrtinovým podílem na celkovém obratu zahraničního obchodu České republiky s Německem). Trasa zaujímá nejlepší postavení i podle kritéria udržitelnosti, kdy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celkový počet potenciálních konfliktů se </w:t>
      </w:r>
      <w:proofErr w:type="spellStart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SAC</w:t>
      </w:r>
      <w:proofErr w:type="spellEnd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činí 3 případy, u SPA žádný případ, u </w:t>
      </w:r>
      <w:proofErr w:type="spellStart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BCE</w:t>
      </w:r>
      <w:proofErr w:type="spellEnd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případ a u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BKO</w:t>
      </w:r>
      <w:proofErr w:type="spellEnd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 případy.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</w:p>
    <w:p w14:paraId="12F3A9C7" w14:textId="77777777" w:rsidR="009B5C55" w:rsidRPr="001F0CF7" w:rsidRDefault="009B5C55" w:rsidP="009B5C5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F0CF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Trasa 4:</w:t>
      </w:r>
      <w:r w:rsidRPr="001F0CF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28C4FE40" w14:textId="77777777" w:rsidR="009B5C55" w:rsidRDefault="009B5C55" w:rsidP="009B5C5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Trasa propojí Praha a Ústí n. L. a následně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pak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naváže na německou síť VRT ve směru na Drážďany a hlavní město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Německa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Berlín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jako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největší středoevropské metropole. V souladu s tím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zaujímá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trasa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 rámci kritéria integrace mírně nadprůměrné postavení (podíl vnitrostátních interakcí činí cca 21 %). Pokud však jde o kritérium relevance </w:t>
      </w:r>
      <w:proofErr w:type="gramStart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patří</w:t>
      </w:r>
      <w:proofErr w:type="gramEnd"/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trase nejhorší postavení odvíjející se od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výrazných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horizontálních limitů vylučujících její vedení údolím řeky Labe, což indukuje potřebu výstavby dlouhých tunelů pod horskými pásy Krušných hor 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rovněž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Českého středohoří 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významnými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dopady na celkové náklady výstavby (předpokládané synergické efekty spojené 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diskutovaným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využitím plánované trasy i pro nákladní dopravu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mohou tyto negativní dopady kompenzovat pouze omezeným způsobem)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. Podle provedených analýz lze na druhé straně počítat s relativně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lastRenderedPageBreak/>
        <w:t xml:space="preserve">silnou perspektivní poptávkou po osobní dopravě a v souladu s tím této trase přísluší mírně nadprůměrné postavení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i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v rámci kritéria užitečnosti (předpokládaný počet cestujících, kteří se výhledově přesunou z relevantních železničních a autobusových tras a </w:t>
      </w:r>
      <w:proofErr w:type="spellStart"/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IAD</w:t>
      </w:r>
      <w:proofErr w:type="spellEnd"/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byl odhadnut na 1,9 tis. cestujících za den. V rámci faktoru stimulace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pak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trasa zaujímá třetí pořadí, přičemž v případě krajského města Ústí n. L.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je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možné počítat s výraznějším posílením faktoru kvality silnic a železnic (+ 13 %) s pozitivními dopady na tvorbu a šíření rozvojových efektů podél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zatím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pouze částečně rozvinuté severočeské osy národního významu. Podle výsledků hodnocení kritéria udržitelnosti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pak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bylo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této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trase přiděleno druhé nejhorší pořadí, kdy počet potenciálních konfliktů (dosahující téměř čtvrtinového podílu na jejich celkovém výskytu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z pohledu plánovaných VRT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) činí v případě </w:t>
      </w:r>
      <w:proofErr w:type="spellStart"/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SAC</w:t>
      </w:r>
      <w:proofErr w:type="spellEnd"/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6 případů, SPA 2 případy, </w:t>
      </w:r>
      <w:proofErr w:type="spellStart"/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BCE</w:t>
      </w:r>
      <w:proofErr w:type="spellEnd"/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2 případy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BKO</w:t>
      </w:r>
      <w:proofErr w:type="spellEnd"/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4 případy. </w:t>
      </w:r>
    </w:p>
    <w:p w14:paraId="285AB79E" w14:textId="77777777" w:rsidR="009B5C55" w:rsidRPr="00FB75A6" w:rsidRDefault="009B5C55" w:rsidP="009B5C5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3.2. Optimalizační scénáře zohledňující relevantní priority hlavních zájmových skupin </w:t>
      </w:r>
    </w:p>
    <w:p w14:paraId="3B42DE1F" w14:textId="77777777" w:rsidR="009B5C55" w:rsidRPr="00FB75A6" w:rsidRDefault="009B5C55" w:rsidP="009B5C5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Výše uvedené poznatky lze perspektivně využít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podpor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šíření různorodých rozvojových efektů z hlavních sídelních center podél jednotlivých tras VRT do jejich širokého okolí doplněných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dalšími pozitivními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interakcemi. V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tomto kontextu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byly vypracovány optimalizační scénáře vycházející z percepce klíčových zájmů hlavních 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stakeholderovských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skupin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resp.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zainteresovaných stran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zaměřené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kvalifikované posouzení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jejich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potenciálních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pozitivních příp. negativních postojů k výstavbě VRT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Metodické pojetí tvorby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těchto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scénářů není pochopitelně jednotné, ob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ecně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jsou chápány jako vnitřně konzistentní obrazy budoucnosti založené na vybraných souborech vzájemně propojených faktorů a jevů. Základem jejich tvorby by mělo být vymezení realistických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věcně podložených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představ o pravděpodobn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ých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vývojových trendech na straně jedné a specifikace toho co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zatím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neznáme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j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. identifikac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klíčových nejistot spojených s budoucím vývojem na straně druhé (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Schoemaker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, 2002). V našem případě vypracované scénáře kladou důraz na aplikaci projektového přístupu a v tomto duchu logicky navazují na výše představené výsledky multikriteriální analýzy. Ve shodě s věcným zaměřením projektů byly definovány následující tři základní scénáře:</w:t>
      </w:r>
    </w:p>
    <w:p w14:paraId="0F502E2C" w14:textId="77777777" w:rsidR="009B5C55" w:rsidRPr="00FB75A6" w:rsidRDefault="009B5C55" w:rsidP="009B5C55">
      <w:pPr>
        <w:pStyle w:val="Odstavecseseznamem"/>
        <w:numPr>
          <w:ilvl w:val="0"/>
          <w:numId w:val="17"/>
        </w:numPr>
        <w:tabs>
          <w:tab w:val="left" w:pos="70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Investorský scénář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reflektuje zájmy primárních stakeholderů představovaných investory a provozovateli železniční dopravy kladoucích důraz na zvýšení její konkurenceschopnosti prostřednictvím výstavby VRT v intencích kritérií relevance a užitečnosti. V tomto směru považujeme za přínosnou zejména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perspektivní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podporu tvorby synergických efektů vycházejících z obecného předpokladu, že výsledný účinek systémově propojených složek je větší než souhrn izolovaných účinků jednotlivých složek. V tomto směru jde především o propojení vysokorychlostní a konvenční železniční dopravy, kdy převedení expresní osobní dopravy na VRT kromě žádoucího zvýšení její kvality uvol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kapacitu směrově korespondujících páteřních konvenčních tratí s pozitivními dopady na operativnost a efektivnost zbývající osobní a zejména nákladní železniční dopravy (s podřízeným postavením v rámci tradičního systému předností v jízdě vlaků, které výrazně prohlubuje její konkurenční nevýhody ve srovnání se silniční nákladní dopravou). Největší synergické efekty lze v tomto kontextu předpokládat v případě plánovaných tras 1 a 3. Pokud jde o potenciální střety zájmů je potřebné na prvním místě uvést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komplikované postoje k důslednému řešení problému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segmentac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krajinných a urbanistických celků výstavbou VRT, jejíž závažné negativní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dopady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přírodní 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rezidenční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prostředí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lze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kompenzovat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pouze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prostřednictvím finančně náročných technických opatření jako je výstavba tunelů a hloubených zářezů a tzv. 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ekoduktů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Tento problém se pochopitelně nejvíce týká vedení tras sídelními aglomeracemi Prahy a dále Brna, Ostravy a Plzně. V této souvislosti je vhodné poznamenat, že v souvislosti s globálními změnami klimatu se dostává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stále více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popředí veřejný zájem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orientovaný na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ochran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biodiverzity krajiny jako jednoho z nejvýznamnějších 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mitigačních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opatření. 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možných specifických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střetů zájmů 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pak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potřebné uvést potenciální konflikty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generované provozováním VRT a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příměstsk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doprav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 případě pražského železničního uzlu. </w:t>
      </w:r>
    </w:p>
    <w:p w14:paraId="1207F879" w14:textId="77777777" w:rsidR="009B5C55" w:rsidRPr="00FB75A6" w:rsidRDefault="009B5C55" w:rsidP="009B5C55">
      <w:pPr>
        <w:pStyle w:val="Odstavecseseznamem"/>
        <w:numPr>
          <w:ilvl w:val="0"/>
          <w:numId w:val="17"/>
        </w:numPr>
        <w:tabs>
          <w:tab w:val="left" w:pos="70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Podnikatelský scénář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reflektuje zájmy stakeholderů představovaných podnikatelskými subjekty kladoucími důraz na zlepšení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regionální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kvality podnikatelského prostředí,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tedy i investiční atraktivity v intencích kritérií integrace a stimulace. V tomto směru je potřebné zmínit především využití VRT pro účelné rozšiřování pracovních trhů generované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rozvojem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znalostně založený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odvětví sekundárního a terciárního sektoru lokalizovaný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dotčených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krajských městech (vnik a šíření inovací obecně probíhá podle hierarchického vzorce). V odůvodněných případech lze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 této souvislosti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uvažovat i o využití VRT pro nákladní dopravu motivovaném kontinuálním rozšiřováním obchodních trhů a výrobní kooperace v rámci globálních produkčních řetězců (tato varianta je využívána např. v Německu, kde se průměrná rychlost specializovaných linek nákladní železniční dopravy na VRT pohybuje kolem 120 km/hod). </w:t>
      </w:r>
      <w:r w:rsidRPr="00C51DA9">
        <w:rPr>
          <w:rFonts w:ascii="Times New Roman" w:hAnsi="Times New Roman" w:cs="Times New Roman"/>
          <w:color w:val="000000" w:themeColor="text1"/>
          <w:sz w:val="20"/>
          <w:szCs w:val="20"/>
        </w:rPr>
        <w:t>Podle deklarovaného cíle EU by se 30 % nákladní dopravy nad 300 km vzdálenost mělo do roku 2030 přesunout ze silniční na železniční a vodní dopravu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(tento záměr je však v české koncepci výstavby VRT zatím reflektován pouze okrajovým způsobem).  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Z dlouhodobého pohledu pak pokládáme za </w:t>
      </w:r>
      <w:proofErr w:type="spellStart"/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condicio</w:t>
      </w:r>
      <w:proofErr w:type="spellEnd"/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sine </w:t>
      </w:r>
      <w:proofErr w:type="spellStart"/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qua</w:t>
      </w:r>
      <w:proofErr w:type="spellEnd"/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non aktivace rozvojového potenciálu VRT jejich územní koincidenci s konstituovanými systémy center a os územního rozvoje národního významu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ředstavujících hlavní koncentrace potenciální poptávky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podnikatelské sféry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 V této souvislosti se ovšem nabízí otázka, zda se působení popsaných efektů ne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může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dost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at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do rozporu s naplňováním cíle konvergence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jako dlouhodobé priority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Politiky hospodářské, sociální a územní soudržnosti Evropské unie (</w:t>
      </w:r>
      <w:proofErr w:type="spellStart"/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European</w:t>
      </w:r>
      <w:proofErr w:type="spellEnd"/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Union, 2021). Rozšiřování sfér vlivu dominantních sídelních center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příp. nadnárodních firem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totiž může vést k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e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střetům zájmů vyvolaných odsáváním nejvíce kvalifikované části pracovních sil z hospodářsky méně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rozvinutých regionů, které pochopitelně podvazuje jejich ekonomický rozvoj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 V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dalších fázích však může díky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veřejné podpoře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šíření znalostí s pozitivními dopady na investiční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 rovněž rezidenční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atraktivitu dojít k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 (selektivní)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modernizaci jejich ekonomiky a nástupu nové progresivnější etapy jejich rozvoje. Je zřejmé, že úspěšné řešení těchto problémů se neobejde bez jeho systémového propojení s národohospodářskou a regionální politikou. </w:t>
      </w:r>
    </w:p>
    <w:p w14:paraId="56D3ED0F" w14:textId="77777777" w:rsidR="009B5C55" w:rsidRPr="00FB75A6" w:rsidRDefault="009B5C55" w:rsidP="009B5C55">
      <w:pPr>
        <w:tabs>
          <w:tab w:val="left" w:pos="70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C) Občanský (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rezidenční</w:t>
      </w:r>
      <w:r w:rsidRPr="00FB75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 scénář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reflektuje zájmy stakeholderů představovaných občany a neziskovými institucemi kladoucími hlavní důraz na zlepšení kvality sociálního prostředí, a tedy i zvýšení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rezidenční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atraktivity v intencích kritérií integrace a udržitelnosti. V tomto ohledu lze počítat s pozitivními dopady indukovanými zejména přesuny cestujících z 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IAD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VRT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zohledňujícími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nabízen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výhod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(rychlost, pohodlí, bezpečnost či bezproblémová doprava do center městských aglomerací). Tyto dopady se týkají jak pravidelných cest (dojížďka do práce a do škol, zejména vysokých) tak nepravidelných cest (turistické cesty, kulturní aktivity a návštěvy). Za významný přínos lze považovat i sekundární benefity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 občany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indukované podstatně nižšími emisemi z 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VRT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díky elektrické trakci ve srovnání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konkurenčními druhy dopravy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V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tomto ohledu lze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navíc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výhledově počítat s významnými přesuny cestujících z frekventovaných leteckých linek propojujících Prahu zejména s Mnichovem a </w:t>
      </w:r>
      <w:r w:rsidRPr="00C51DA9">
        <w:rPr>
          <w:rFonts w:ascii="Times New Roman" w:hAnsi="Times New Roman" w:cs="Times New Roman"/>
          <w:color w:val="000000" w:themeColor="text1"/>
          <w:sz w:val="20"/>
          <w:szCs w:val="20"/>
        </w:rPr>
        <w:t>Vídní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(z</w:t>
      </w:r>
      <w:r w:rsidRPr="00C51DA9">
        <w:rPr>
          <w:rFonts w:ascii="Times New Roman" w:hAnsi="Times New Roman" w:cs="Times New Roman"/>
          <w:color w:val="000000" w:themeColor="text1"/>
          <w:sz w:val="20"/>
          <w:szCs w:val="20"/>
        </w:rPr>
        <w:t> celkového pohledu je ovšem produkce těchto benefitů závislá na způsobu výroby spotřebovávané elektrické energie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C51DA9">
        <w:rPr>
          <w:rFonts w:ascii="Times New Roman" w:hAnsi="Times New Roman" w:cs="Times New Roman"/>
          <w:color w:val="000000" w:themeColor="text1"/>
          <w:sz w:val="20"/>
          <w:szCs w:val="20"/>
        </w:rPr>
        <w:t>. V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tomto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směru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 potřebné zmínit i negativní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dopady na kvalitu rezidenčního prostředí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vyvolané potenciálními střety zájmů generovanými již zmíněnou segmentací krajiny a městských intravilánů doprováze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ných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další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mi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kontroverzní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mi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jevy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např.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zvýšením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hluk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vynucenými změnami ve vlastnictví pozemků (snižujícími cenu sousedních pozemků)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či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vytvářením urbanistických bariér. Pro řešení těchto problémů se vedle standardních technických řešení nabízí i netradiční řešení spojená 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účelnou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podporou výstavby tzv. ekologické infrastruktury (např. budováním biokoridorů podél vybraných úseků VRT s pozitivními dopady na ekologickou stabilitu krajiny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 a rozvojem dalších aktivit (např. cestovního ruch)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Uvedené příklady lze doplnit řadou dalších opatření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včetně komunitárních aktivit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korespondujících s prosazováním veřejného zájmu (např.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podpora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instalac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solárních panelů na protihlukových stěnách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dalších ekologicky pozitivních komunitárních aktivit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</w:p>
    <w:p w14:paraId="21F5DA93" w14:textId="77777777" w:rsidR="009B5C55" w:rsidRPr="00FB75A6" w:rsidRDefault="009B5C55" w:rsidP="009B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Výše 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vedené scénáře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lze chápat jako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metodický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základ pro konstruktivní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nadčasovou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r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eflexi odpovídajících zájmů hlavních stakeholderů ohledně plánované výstavby VRT jako důležitého nástroje maximalizace budoucích užitků a minimalizace možných konfliktů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včetně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jejich zohlednění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 rámci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zásadní inovace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obchodního modelu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české železnice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. V tomto směru je vhodné upozornit na společné zájmy investorského a podnikatelského scénáře na snižování závislosti dopravy na ropě a zvyšování re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idenční atraktivity dotčených sídelních aglomerací jako stále významnějšího faktoru lokalizace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rozvoje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znalostně náročných odvětví. Pokud jde o management realizace plánovaných tras VRT lze v intencích vytvořených optimalizačních scénářů 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s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přihlédnutím k předpokládanému vývoji hlavních ovlivňujících faktorů) doporučit následující kombinace scénářů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včetně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jejich významové pořadí: trasa 1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0"/>
            <w:szCs w:val="20"/>
          </w:rPr>
          <m:t>– i</m:t>
        </m:r>
      </m:oMath>
      <w:r w:rsidRPr="00FB75A6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nvestorský, podnikatelský, občanský scénář⁏ trasa 2 – občanský, investorský, podnikatelský scénář⁏ trasa 3 –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podnikatelský, investorský,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občanský scénář</w:t>
      </w:r>
      <w:r w:rsidRPr="00FB75A6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⁏ trasa 4 – občanský, podnikatelský, investorský scénář (uvedená doporučení mají ovšem vzhledem k závažným nejistotám ohledně  budoucího vývoje spíše orientační charakter). </w:t>
      </w:r>
    </w:p>
    <w:p w14:paraId="6FCF05C0" w14:textId="77777777" w:rsidR="009B5C55" w:rsidRPr="00FB75A6" w:rsidRDefault="009B5C55" w:rsidP="009B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41C9A79" w14:textId="77777777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4. Závěr</w:t>
      </w:r>
    </w:p>
    <w:p w14:paraId="085EFA63" w14:textId="77777777" w:rsidR="009B5C55" w:rsidRPr="00FB75A6" w:rsidRDefault="009B5C55" w:rsidP="009B5C5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Závěrem je potřebné konstatovat, že výstavba VRT 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nepochybně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značné komplikovaným záměrem, jehož efektivnost nelze posoudit bez komplexní strategie vypracované nezávislými expertními týmy založené na profesionálně formulované vizi nikoliv na obecných politických proklamacích a definovaných technických parametrech plánovaných tras (McNaughton, 2017). Z praktického hlediska 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potřebné položit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důraz na hledání optimální kombinace nákladů a výnosů 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geografickými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technickými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sociálními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podmínkami výstavby s pozitivními dopady na konkurenceschopnost železniční dopravy v kontextu udržitelného rozvoje. V tomto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ohledu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 vhodné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upozornit na skutečnost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že podle zprávy Evropského účetního dvora obsahující výsledky šetření 14 VRT v zemích EU vyžaduje zajištění rentability provozu VRT dosažení denní přepravy okolo 25 tis. cestujících za den tzn. cca 9 mil. cestujících za rok. Tento limit ze zkoumaných tratí splňuje pouze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pět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nich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pouze na dvou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tratích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pak průměrná rychlost převyšovala hranici 200 km/hod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 (</w:t>
      </w:r>
      <w:proofErr w:type="spellStart"/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European</w:t>
      </w:r>
      <w:proofErr w:type="spellEnd"/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Court</w:t>
      </w:r>
      <w:proofErr w:type="spellEnd"/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of </w:t>
      </w:r>
      <w:proofErr w:type="spellStart"/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Auditors</w:t>
      </w:r>
      <w:proofErr w:type="spellEnd"/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2018).</w:t>
      </w:r>
      <w:r w:rsidRPr="00FB75A6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Z toho lze logicky vyvozovat, že rozhodování o projektech výstavby VRT často vycházelo z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neúplných, resp. nepřesných informací. Získané praktické zkušenosti navíc ukazují, že nákladná výstavba expresní dopravní infrastruktury má pouze omezené vazby na ekonomický rozvoj. Podle výsledků provedených analýz plánovaných projektů výstavby VRT v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České republice by potenciální hodnoty denní přepravy na nejzatíženější trase 1 propojující největší české sídelní aglomerace dosáhly podle optimistické varianty přesunu cestujících ze silniční dopravy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pouze cca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28 %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výše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uvedeného limitu rentability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(</w:t>
      </w:r>
      <w:proofErr w:type="spellStart"/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ö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rne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r</w:t>
      </w:r>
      <w:proofErr w:type="spellEnd"/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, 2015). N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ezbývá tak než konstatovat, že dosažení rentability provozu není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 našich podmínkách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pravděpodobné a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je proto nezbytné věnovat zásadní pozornost úsporám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nákladů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(např. optimalizace rychlostních </w:t>
      </w:r>
      <w:r w:rsidRPr="0073428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parametrů VRT zohledňující vzdálenosti budoucích stanic </w:t>
      </w:r>
      <w:r w:rsidRPr="00734285">
        <w:rPr>
          <w:rFonts w:ascii="Times New Roman" w:hAnsi="Times New Roman" w:cs="Times New Roman"/>
          <w:sz w:val="20"/>
          <w:szCs w:val="20"/>
        </w:rPr>
        <w:t>či odmítnutí</w:t>
      </w:r>
      <w:r w:rsidRPr="0073428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politicky motivovaných návrhů výstavby nadbytečných </w:t>
      </w:r>
      <w:r w:rsidRPr="00734285">
        <w:rPr>
          <w:rFonts w:ascii="Times New Roman" w:hAnsi="Times New Roman" w:cs="Times New Roman"/>
          <w:sz w:val="20"/>
          <w:szCs w:val="20"/>
        </w:rPr>
        <w:t xml:space="preserve">terminálů) a zejména systémové podpoře tvorby pozitivních externalit a synergických efektů a také promyšlenému stanovení věcných a územních priorit výstavby. V tomto kontextu pochopitelně </w:t>
      </w:r>
      <w:r>
        <w:rPr>
          <w:rFonts w:ascii="Times New Roman" w:hAnsi="Times New Roman" w:cs="Times New Roman"/>
          <w:sz w:val="20"/>
          <w:szCs w:val="20"/>
        </w:rPr>
        <w:t xml:space="preserve">nelze opomenout </w:t>
      </w:r>
      <w:r w:rsidRPr="00734285">
        <w:rPr>
          <w:rFonts w:ascii="Times New Roman" w:hAnsi="Times New Roman" w:cs="Times New Roman"/>
          <w:sz w:val="20"/>
          <w:szCs w:val="20"/>
        </w:rPr>
        <w:t>významnou roli cenov</w:t>
      </w:r>
      <w:r>
        <w:rPr>
          <w:rFonts w:ascii="Times New Roman" w:hAnsi="Times New Roman" w:cs="Times New Roman"/>
          <w:sz w:val="20"/>
          <w:szCs w:val="20"/>
        </w:rPr>
        <w:t>á politika</w:t>
      </w:r>
      <w:r w:rsidRPr="00734285">
        <w:rPr>
          <w:rFonts w:ascii="Times New Roman" w:hAnsi="Times New Roman" w:cs="Times New Roman"/>
          <w:sz w:val="20"/>
          <w:szCs w:val="20"/>
        </w:rPr>
        <w:t xml:space="preserve"> budoucích provozovatelů VRT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3428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druhé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straně jsou VRT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považovány za environmentálně nejméně zatěžující druh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dopravy a v této souvislosti je tak možné konstatovat, že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 rámci hodnocení účelnosti výstavby VRT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bud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nepochybně hrát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stále významnější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roli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probíhající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změn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základního paradigmatu rozvoje lidské civilizace směrem k udržitelnému rozvoji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Tento závěr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bude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logicky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přenášet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výběru perspektivních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priorit veřejných rozpočtů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včetně veřejných projektů mezinárodního, národního i lokálního významu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(viz např. závazek EU přijatý v souladu s tzv. Green </w:t>
      </w:r>
      <w:proofErr w:type="spellStart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ea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proofErr w:type="spellEnd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 snížení emisí do roku 2030 nejméně o 55 % oproti roku 1990). V tomto kontextu se tak perspektivy dalšího rozvoje VRT jeví jako příznivé. </w:t>
      </w:r>
    </w:p>
    <w:p w14:paraId="0577B76A" w14:textId="64A8869B" w:rsidR="003F4891" w:rsidRPr="00FB75A6" w:rsidRDefault="003F4891" w:rsidP="0015703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B63A733" w14:textId="77777777" w:rsidR="008F5FEE" w:rsidRPr="009424D1" w:rsidRDefault="008F5FEE" w:rsidP="008F5FE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424D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Literatura:</w:t>
      </w:r>
      <w:r w:rsidRPr="009424D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BDD2455" w14:textId="77777777" w:rsidR="00F04E4D" w:rsidRPr="009424D1" w:rsidRDefault="00F04E4D" w:rsidP="004629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aps/>
          <w:sz w:val="18"/>
          <w:szCs w:val="18"/>
        </w:rPr>
      </w:pPr>
      <w:r w:rsidRPr="009424D1">
        <w:rPr>
          <w:rFonts w:ascii="Times New Roman" w:hAnsi="Times New Roman" w:cs="Times New Roman"/>
          <w:caps/>
          <w:sz w:val="18"/>
          <w:szCs w:val="18"/>
        </w:rPr>
        <w:t xml:space="preserve">Beria, P. (2017). </w:t>
      </w:r>
      <w:r w:rsidRPr="009424D1">
        <w:rPr>
          <w:rFonts w:ascii="Times New Roman" w:hAnsi="Times New Roman" w:cs="Times New Roman"/>
          <w:sz w:val="18"/>
          <w:szCs w:val="18"/>
        </w:rPr>
        <w:t xml:space="preserve">Measuring the long-distance accessibility of Italian cities. </w:t>
      </w:r>
      <w:r w:rsidRPr="009424D1">
        <w:rPr>
          <w:rFonts w:ascii="Times New Roman" w:hAnsi="Times New Roman" w:cs="Times New Roman"/>
          <w:i/>
          <w:iCs/>
          <w:sz w:val="18"/>
          <w:szCs w:val="18"/>
        </w:rPr>
        <w:t>Journal of Transport Geography</w:t>
      </w:r>
      <w:r w:rsidRPr="009424D1">
        <w:rPr>
          <w:rFonts w:ascii="Times New Roman" w:hAnsi="Times New Roman" w:cs="Times New Roman"/>
          <w:sz w:val="18"/>
          <w:szCs w:val="18"/>
        </w:rPr>
        <w:t>, vol. 62, C, pp. 66-79, ISSN 0966-06923.</w:t>
      </w:r>
    </w:p>
    <w:p w14:paraId="1DC7C432" w14:textId="77777777" w:rsidR="00F04E4D" w:rsidRPr="009424D1" w:rsidRDefault="00F04E4D" w:rsidP="0046297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en-US" w:eastAsia="cs-CZ"/>
        </w:rPr>
      </w:pPr>
      <w:r w:rsidRPr="009424D1">
        <w:rPr>
          <w:rFonts w:ascii="Times New Roman" w:eastAsia="Times New Roman" w:hAnsi="Times New Roman" w:cs="Times New Roman"/>
          <w:sz w:val="18"/>
          <w:szCs w:val="18"/>
          <w:lang w:val="en-US" w:eastAsia="cs-CZ"/>
        </w:rPr>
        <w:t xml:space="preserve">BRAY J. (1992). </w:t>
      </w:r>
      <w:r w:rsidRPr="009424D1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cs-CZ"/>
        </w:rPr>
        <w:t xml:space="preserve">The Rush for Roads: a road </w:t>
      </w:r>
      <w:r w:rsidRPr="009424D1">
        <w:rPr>
          <w:rFonts w:ascii="Times New Roman" w:eastAsia="Times New Roman" w:hAnsi="Times New Roman" w:cs="Times New Roman"/>
          <w:i/>
          <w:iCs/>
          <w:sz w:val="18"/>
          <w:szCs w:val="18"/>
          <w:lang w:eastAsia="cs-CZ"/>
        </w:rPr>
        <w:t>programme</w:t>
      </w:r>
      <w:r w:rsidRPr="009424D1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cs-CZ"/>
        </w:rPr>
        <w:t xml:space="preserve"> for economic recovery?</w:t>
      </w:r>
      <w:r w:rsidRPr="009424D1">
        <w:rPr>
          <w:rFonts w:ascii="Times New Roman" w:eastAsia="Times New Roman" w:hAnsi="Times New Roman" w:cs="Times New Roman"/>
          <w:sz w:val="18"/>
          <w:szCs w:val="18"/>
          <w:lang w:val="en-US" w:eastAsia="cs-CZ"/>
        </w:rPr>
        <w:t xml:space="preserve"> London: Transport 2000 Ltd, ISBN 0907347185.</w:t>
      </w:r>
    </w:p>
    <w:p w14:paraId="13BE7A9F" w14:textId="77777777" w:rsidR="00F04E4D" w:rsidRPr="009424D1" w:rsidRDefault="00F04E4D" w:rsidP="0046297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en-US" w:eastAsia="cs-CZ"/>
        </w:rPr>
      </w:pPr>
      <w:r w:rsidRPr="009424D1">
        <w:rPr>
          <w:rFonts w:ascii="Times New Roman" w:eastAsia="Times New Roman" w:hAnsi="Times New Roman" w:cs="Times New Roman"/>
          <w:sz w:val="18"/>
          <w:szCs w:val="18"/>
          <w:lang w:eastAsia="cs-CZ"/>
        </w:rPr>
        <w:t>BLANQUART</w:t>
      </w:r>
      <w:r w:rsidRPr="009424D1">
        <w:rPr>
          <w:rFonts w:ascii="Times New Roman" w:eastAsia="Times New Roman" w:hAnsi="Times New Roman" w:cs="Times New Roman"/>
          <w:sz w:val="18"/>
          <w:szCs w:val="18"/>
          <w:lang w:val="en-US" w:eastAsia="cs-CZ"/>
        </w:rPr>
        <w:t xml:space="preserve">, C, KONING, M. (2017). The local economic impact of high-speed railways: theories and facts. </w:t>
      </w:r>
      <w:r w:rsidRPr="009424D1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cs-CZ"/>
        </w:rPr>
        <w:t>European Transport Research Review</w:t>
      </w:r>
      <w:r w:rsidRPr="009424D1">
        <w:rPr>
          <w:rFonts w:ascii="Times New Roman" w:eastAsia="Times New Roman" w:hAnsi="Times New Roman" w:cs="Times New Roman"/>
          <w:sz w:val="18"/>
          <w:szCs w:val="18"/>
          <w:lang w:val="en-US" w:eastAsia="cs-CZ"/>
        </w:rPr>
        <w:t xml:space="preserve">, vol. 9, No. 2, pp. 1-14, </w:t>
      </w:r>
      <w:r w:rsidRPr="009424D1">
        <w:rPr>
          <w:rFonts w:ascii="Times New Roman" w:hAnsi="Times New Roman" w:cs="Times New Roman"/>
          <w:sz w:val="18"/>
          <w:szCs w:val="18"/>
        </w:rPr>
        <w:t>ISSN 18668887.</w:t>
      </w:r>
    </w:p>
    <w:p w14:paraId="21933E19" w14:textId="50A0D7A5" w:rsidR="00F04E4D" w:rsidRPr="009424D1" w:rsidRDefault="00F04E4D" w:rsidP="00462970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9424D1">
        <w:rPr>
          <w:rFonts w:ascii="Times New Roman" w:hAnsi="Times New Roman" w:cs="Times New Roman"/>
          <w:sz w:val="18"/>
          <w:szCs w:val="18"/>
        </w:rPr>
        <w:t xml:space="preserve">ČECH, P. (2019). </w:t>
      </w:r>
      <w:r w:rsidRPr="009424D1">
        <w:rPr>
          <w:rFonts w:ascii="Times New Roman" w:hAnsi="Times New Roman" w:cs="Times New Roman"/>
          <w:i/>
          <w:iCs/>
          <w:sz w:val="18"/>
          <w:szCs w:val="18"/>
        </w:rPr>
        <w:t>Výstavba vysokorychlostních tratí</w:t>
      </w:r>
      <w:r w:rsidRPr="009424D1">
        <w:rPr>
          <w:rFonts w:ascii="Times New Roman" w:hAnsi="Times New Roman" w:cs="Times New Roman"/>
          <w:sz w:val="18"/>
          <w:szCs w:val="18"/>
        </w:rPr>
        <w:t xml:space="preserve"> [online]. [cit. 2020-29-01].  Dostupné z: </w:t>
      </w:r>
      <w:hyperlink w:history="1">
        <w:r w:rsidRPr="009424D1">
          <w:rPr>
            <w:rStyle w:val="Hypertextovodkaz"/>
            <w:rFonts w:ascii="Times New Roman" w:hAnsi="Times New Roman" w:cs="Times New Roman"/>
            <w:color w:val="auto"/>
            <w:sz w:val="18"/>
            <w:szCs w:val="18"/>
          </w:rPr>
          <w:t xml:space="preserve">https://www. ztscb. cz/wp-content/uploads/2019/10/07xcech_SZDC.Pdf. </w:t>
        </w:r>
      </w:hyperlink>
      <w:r w:rsidRPr="009424D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8C219FA" w14:textId="77777777" w:rsidR="00F04E4D" w:rsidRPr="009424D1" w:rsidRDefault="00F04E4D" w:rsidP="00462970">
      <w:pPr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  <w:r w:rsidRPr="009424D1">
        <w:rPr>
          <w:rFonts w:ascii="Times New Roman" w:hAnsi="Times New Roman" w:cs="Times New Roman"/>
          <w:sz w:val="18"/>
          <w:szCs w:val="18"/>
        </w:rPr>
        <w:t xml:space="preserve">DRUCKER, P. (1993). </w:t>
      </w:r>
      <w:r w:rsidRPr="009424D1">
        <w:rPr>
          <w:rFonts w:ascii="Times New Roman" w:hAnsi="Times New Roman" w:cs="Times New Roman"/>
          <w:i/>
          <w:iCs/>
          <w:sz w:val="18"/>
          <w:szCs w:val="18"/>
        </w:rPr>
        <w:t>Management tasks, responsibilities, practises</w:t>
      </w:r>
      <w:r w:rsidRPr="009424D1">
        <w:rPr>
          <w:rFonts w:ascii="Times New Roman" w:hAnsi="Times New Roman" w:cs="Times New Roman"/>
          <w:sz w:val="18"/>
          <w:szCs w:val="18"/>
        </w:rPr>
        <w:t xml:space="preserve">. New York, </w:t>
      </w:r>
      <w:hyperlink r:id="rId9" w:anchor="/dfclassic/query_name=match_and&amp;query=Harper%20Collins" w:history="1">
        <w:r w:rsidRPr="009424D1">
          <w:rPr>
            <w:rFonts w:ascii="Times New Roman" w:eastAsia="Times New Roman" w:hAnsi="Times New Roman" w:cs="Times New Roman"/>
            <w:sz w:val="18"/>
            <w:szCs w:val="18"/>
            <w:lang w:eastAsia="cs-CZ"/>
          </w:rPr>
          <w:t>Harper Collins</w:t>
        </w:r>
      </w:hyperlink>
      <w:r w:rsidRPr="009424D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</w:t>
      </w:r>
      <w:r w:rsidRPr="009424D1">
        <w:rPr>
          <w:rFonts w:ascii="Times New Roman" w:hAnsi="Times New Roman" w:cs="Times New Roman"/>
          <w:sz w:val="18"/>
          <w:szCs w:val="18"/>
        </w:rPr>
        <w:t>ISBN 0-88730-615-2.</w:t>
      </w:r>
      <w:r w:rsidRPr="009424D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14:paraId="18802C75" w14:textId="77777777" w:rsidR="00F04E4D" w:rsidRPr="009424D1" w:rsidRDefault="00F04E4D" w:rsidP="00462970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9424D1">
        <w:rPr>
          <w:rFonts w:ascii="Times New Roman" w:hAnsi="Times New Roman" w:cs="Times New Roman"/>
          <w:sz w:val="18"/>
          <w:szCs w:val="18"/>
          <w:lang w:eastAsia="en-GB"/>
        </w:rPr>
        <w:t xml:space="preserve">EUROPEAN COMMISSION (2011). </w:t>
      </w:r>
      <w:r w:rsidRPr="009424D1">
        <w:rPr>
          <w:rFonts w:ascii="Times New Roman" w:hAnsi="Times New Roman" w:cs="Times New Roman"/>
          <w:i/>
          <w:iCs/>
          <w:sz w:val="18"/>
          <w:szCs w:val="18"/>
          <w:lang w:eastAsia="en-GB"/>
        </w:rPr>
        <w:t xml:space="preserve">Roadmap to a Single European Transport Area – Towards a competitive and resource efficient transport system. </w:t>
      </w:r>
      <w:r w:rsidRPr="009424D1">
        <w:rPr>
          <w:rFonts w:ascii="Times New Roman" w:hAnsi="Times New Roman" w:cs="Times New Roman"/>
          <w:sz w:val="18"/>
          <w:szCs w:val="18"/>
        </w:rPr>
        <w:t>Brussels: Directorate-General for Mobility and Transport.</w:t>
      </w:r>
    </w:p>
    <w:p w14:paraId="61B2482F" w14:textId="4D2DBC5D" w:rsidR="00F04E4D" w:rsidRPr="009424D1" w:rsidRDefault="00F04E4D" w:rsidP="00462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  <w:lang w:val="fr-BE"/>
        </w:rPr>
      </w:pPr>
      <w:r w:rsidRPr="009424D1">
        <w:rPr>
          <w:rFonts w:ascii="Times New Roman" w:hAnsi="Times New Roman" w:cs="Times New Roman"/>
          <w:sz w:val="18"/>
          <w:szCs w:val="18"/>
        </w:rPr>
        <w:t xml:space="preserve">EUROPEAN COURT OF AUDITORS (2018). </w:t>
      </w:r>
      <w:r w:rsidRPr="009424D1">
        <w:rPr>
          <w:rFonts w:ascii="Times New Roman" w:hAnsi="Times New Roman" w:cs="Times New Roman"/>
          <w:i/>
          <w:iCs/>
          <w:sz w:val="18"/>
          <w:szCs w:val="18"/>
        </w:rPr>
        <w:t xml:space="preserve">Special report of the European Court of Auditors on high-speed rail. </w:t>
      </w:r>
      <w:r w:rsidRPr="009424D1">
        <w:rPr>
          <w:rFonts w:ascii="Times New Roman" w:hAnsi="Times New Roman" w:cs="Times New Roman"/>
          <w:sz w:val="18"/>
          <w:szCs w:val="18"/>
          <w:lang w:val="fr-BE"/>
        </w:rPr>
        <w:t xml:space="preserve">[online]. [cit.2018-07-01]. Dostupné z: https://www.eca.europa.eu /en/Pages/DocItem.aspx? did= 46398. </w:t>
      </w:r>
    </w:p>
    <w:p w14:paraId="0F88208C" w14:textId="65140C6E" w:rsidR="00F04E4D" w:rsidRPr="009424D1" w:rsidRDefault="00F04E4D" w:rsidP="00462970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  <w:lang w:val="fr-BE"/>
        </w:rPr>
      </w:pPr>
      <w:r w:rsidRPr="009424D1">
        <w:rPr>
          <w:rFonts w:ascii="Times New Roman" w:hAnsi="Times New Roman" w:cs="Times New Roman"/>
          <w:sz w:val="18"/>
          <w:szCs w:val="18"/>
        </w:rPr>
        <w:t xml:space="preserve">EUROPEAN UNION (2021). </w:t>
      </w:r>
      <w:r w:rsidRPr="009424D1">
        <w:rPr>
          <w:rFonts w:ascii="Times New Roman" w:hAnsi="Times New Roman" w:cs="Times New Roman"/>
          <w:i/>
          <w:iCs/>
          <w:sz w:val="18"/>
          <w:szCs w:val="18"/>
        </w:rPr>
        <w:t>Seventh Report on Economic, Social and Territorial Cohesion</w:t>
      </w:r>
      <w:r w:rsidRPr="009424D1">
        <w:rPr>
          <w:rFonts w:ascii="Times New Roman" w:hAnsi="Times New Roman" w:cs="Times New Roman"/>
          <w:sz w:val="18"/>
          <w:szCs w:val="18"/>
        </w:rPr>
        <w:t xml:space="preserve">. </w:t>
      </w:r>
      <w:r w:rsidRPr="009424D1">
        <w:rPr>
          <w:rFonts w:ascii="Times New Roman" w:hAnsi="Times New Roman" w:cs="Times New Roman"/>
          <w:sz w:val="18"/>
          <w:szCs w:val="18"/>
          <w:lang w:val="fr-BE"/>
        </w:rPr>
        <w:t>[online].[cit. 2022-11-09]. Dostupné z</w:t>
      </w:r>
      <w:r w:rsidR="008B5718" w:rsidRPr="009424D1">
        <w:rPr>
          <w:rFonts w:ascii="Times New Roman" w:hAnsi="Times New Roman" w:cs="Times New Roman"/>
          <w:sz w:val="18"/>
          <w:szCs w:val="18"/>
          <w:lang w:val="fr-BE"/>
        </w:rPr>
        <w:t> :</w:t>
      </w:r>
      <w:r w:rsidRPr="009424D1">
        <w:rPr>
          <w:rFonts w:ascii="Times New Roman" w:hAnsi="Times New Roman" w:cs="Times New Roman"/>
          <w:sz w:val="18"/>
          <w:szCs w:val="18"/>
          <w:lang w:val="fr-BE"/>
        </w:rPr>
        <w:t xml:space="preserve"> </w:t>
      </w:r>
      <w:hyperlink r:id="rId10" w:history="1">
        <w:r w:rsidRPr="009424D1">
          <w:rPr>
            <w:rStyle w:val="Zstupntext"/>
            <w:rFonts w:ascii="Times New Roman" w:hAnsi="Times New Roman" w:cs="Times New Roman"/>
            <w:color w:val="auto"/>
            <w:sz w:val="18"/>
            <w:szCs w:val="18"/>
            <w:lang w:val="fr-BE"/>
          </w:rPr>
          <w:t>https://ec.europa.eu/regional_policy/sourbces/docoffic/official/</w:t>
        </w:r>
      </w:hyperlink>
      <w:r w:rsidRPr="009424D1">
        <w:rPr>
          <w:rFonts w:ascii="Times New Roman" w:hAnsi="Times New Roman" w:cs="Times New Roman"/>
          <w:sz w:val="18"/>
          <w:szCs w:val="18"/>
          <w:lang w:val="fr-BE"/>
        </w:rPr>
        <w:t>reports/ cohesion7/7</w:t>
      </w:r>
      <w:r w:rsidR="008B5718" w:rsidRPr="009424D1">
        <w:rPr>
          <w:rFonts w:ascii="Times New Roman" w:hAnsi="Times New Roman" w:cs="Times New Roman"/>
          <w:sz w:val="18"/>
          <w:szCs w:val="18"/>
          <w:lang w:val="fr-BE"/>
        </w:rPr>
        <w:t xml:space="preserve"> </w:t>
      </w:r>
      <w:r w:rsidRPr="009424D1">
        <w:rPr>
          <w:rFonts w:ascii="Times New Roman" w:hAnsi="Times New Roman" w:cs="Times New Roman"/>
          <w:sz w:val="18"/>
          <w:szCs w:val="18"/>
          <w:lang w:val="fr-BE"/>
        </w:rPr>
        <w:t>cr.pdf.</w:t>
      </w:r>
    </w:p>
    <w:p w14:paraId="74555CCB" w14:textId="63BACC7B" w:rsidR="00F04E4D" w:rsidRPr="009424D1" w:rsidRDefault="00F04E4D" w:rsidP="00462970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  <w:lang w:val="fr-BE"/>
        </w:rPr>
      </w:pPr>
      <w:r w:rsidRPr="009424D1">
        <w:rPr>
          <w:rFonts w:ascii="Times New Roman" w:hAnsi="Times New Roman" w:cs="Times New Roman"/>
          <w:sz w:val="18"/>
          <w:szCs w:val="18"/>
          <w:lang w:val="fr-BE"/>
        </w:rPr>
        <w:t xml:space="preserve">KÖRNER, M. (2015). Dopravní sítě v kontextu osídlení České republiky a Střední Evropy. In </w:t>
      </w:r>
      <w:r w:rsidRPr="009424D1">
        <w:rPr>
          <w:rFonts w:ascii="Times New Roman" w:hAnsi="Times New Roman" w:cs="Times New Roman"/>
          <w:i/>
          <w:iCs/>
          <w:sz w:val="18"/>
          <w:szCs w:val="18"/>
          <w:lang w:val="fr-BE"/>
        </w:rPr>
        <w:t>Sborník z konference Veřejná infrastruktura – doprava a inženýrské sítě.</w:t>
      </w:r>
      <w:r w:rsidRPr="009424D1">
        <w:rPr>
          <w:rFonts w:ascii="Times New Roman" w:hAnsi="Times New Roman" w:cs="Times New Roman"/>
          <w:sz w:val="18"/>
          <w:szCs w:val="18"/>
          <w:lang w:val="fr-BE"/>
        </w:rPr>
        <w:t xml:space="preserve"> Jeseník</w:t>
      </w:r>
      <w:r w:rsidR="008B5718" w:rsidRPr="009424D1">
        <w:rPr>
          <w:rFonts w:ascii="Times New Roman" w:hAnsi="Times New Roman" w:cs="Times New Roman"/>
          <w:sz w:val="18"/>
          <w:szCs w:val="18"/>
          <w:lang w:val="fr-BE"/>
        </w:rPr>
        <w:t>:</w:t>
      </w:r>
      <w:r w:rsidRPr="009424D1">
        <w:rPr>
          <w:rFonts w:ascii="Times New Roman" w:hAnsi="Times New Roman" w:cs="Times New Roman"/>
          <w:sz w:val="18"/>
          <w:szCs w:val="18"/>
          <w:lang w:val="fr-BE"/>
        </w:rPr>
        <w:t xml:space="preserve"> Asociace pro urbanismus a územní plánování České republiky. ISBN 978-80-87318-39-3. </w:t>
      </w:r>
    </w:p>
    <w:p w14:paraId="7F200A6D" w14:textId="0345F8AD" w:rsidR="0020335B" w:rsidRPr="009424D1" w:rsidRDefault="0020335B" w:rsidP="0020335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424D1">
        <w:rPr>
          <w:rFonts w:ascii="Times New Roman" w:hAnsi="Times New Roman" w:cs="Times New Roman"/>
          <w:sz w:val="18"/>
          <w:szCs w:val="18"/>
        </w:rPr>
        <w:t xml:space="preserve">KUDRNOVSKÁ, O., KOUSAL, J. (1971). Relief amplitude in the Czech socialist republic, In Institute of geography ČSAV. </w:t>
      </w:r>
      <w:r w:rsidRPr="009424D1">
        <w:rPr>
          <w:rFonts w:ascii="Times New Roman" w:hAnsi="Times New Roman" w:cs="Times New Roman"/>
          <w:i/>
          <w:iCs/>
          <w:sz w:val="18"/>
          <w:szCs w:val="18"/>
        </w:rPr>
        <w:t xml:space="preserve">Series of maps of physico-geographical </w:t>
      </w:r>
      <w:r w:rsidR="00562728" w:rsidRPr="009424D1">
        <w:rPr>
          <w:rFonts w:ascii="Times New Roman" w:hAnsi="Times New Roman" w:cs="Times New Roman"/>
          <w:i/>
          <w:iCs/>
          <w:sz w:val="18"/>
          <w:szCs w:val="18"/>
        </w:rPr>
        <w:t>regionalization</w:t>
      </w:r>
      <w:r w:rsidRPr="009424D1">
        <w:rPr>
          <w:rFonts w:ascii="Times New Roman" w:hAnsi="Times New Roman" w:cs="Times New Roman"/>
          <w:i/>
          <w:iCs/>
          <w:sz w:val="18"/>
          <w:szCs w:val="18"/>
        </w:rPr>
        <w:t xml:space="preserve"> 1:500000</w:t>
      </w:r>
      <w:r w:rsidRPr="009424D1">
        <w:rPr>
          <w:rFonts w:ascii="Times New Roman" w:hAnsi="Times New Roman" w:cs="Times New Roman"/>
          <w:sz w:val="18"/>
          <w:szCs w:val="18"/>
        </w:rPr>
        <w:t xml:space="preserve">. Brno. </w:t>
      </w:r>
    </w:p>
    <w:p w14:paraId="09D5D1F5" w14:textId="77777777" w:rsidR="00F04E4D" w:rsidRPr="009424D1" w:rsidRDefault="00F04E4D" w:rsidP="004629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  <w:lang w:val="fr-BE"/>
        </w:rPr>
      </w:pPr>
      <w:r w:rsidRPr="009424D1">
        <w:rPr>
          <w:rFonts w:ascii="Times New Roman" w:hAnsi="Times New Roman" w:cs="Times New Roman"/>
          <w:sz w:val="18"/>
          <w:szCs w:val="18"/>
        </w:rPr>
        <w:t xml:space="preserve">McNAUGHTON, A. (2017). Česká republika má dobrý potenciál pro vysokorychlostní železnice. </w:t>
      </w:r>
      <w:r w:rsidRPr="009424D1">
        <w:rPr>
          <w:rFonts w:ascii="Times New Roman" w:hAnsi="Times New Roman" w:cs="Times New Roman"/>
          <w:i/>
          <w:iCs/>
          <w:sz w:val="18"/>
          <w:szCs w:val="18"/>
          <w:lang w:val="fr-BE"/>
        </w:rPr>
        <w:t>Silnice – železnice</w:t>
      </w:r>
      <w:r w:rsidRPr="009424D1">
        <w:rPr>
          <w:rFonts w:ascii="Times New Roman" w:hAnsi="Times New Roman" w:cs="Times New Roman"/>
          <w:sz w:val="18"/>
          <w:szCs w:val="18"/>
          <w:lang w:val="fr-BE"/>
        </w:rPr>
        <w:t xml:space="preserve">, vol. 12, No.5, pp. 54-57. ISSN 1803-8441. </w:t>
      </w:r>
    </w:p>
    <w:p w14:paraId="6AE4615E" w14:textId="77777777" w:rsidR="00F04E4D" w:rsidRPr="009424D1" w:rsidRDefault="00F04E4D" w:rsidP="0046297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en-US" w:eastAsia="cs-CZ"/>
        </w:rPr>
      </w:pPr>
      <w:r w:rsidRPr="009424D1">
        <w:rPr>
          <w:rFonts w:ascii="Times New Roman" w:eastAsia="Times New Roman" w:hAnsi="Times New Roman" w:cs="Times New Roman"/>
          <w:sz w:val="18"/>
          <w:szCs w:val="18"/>
          <w:lang w:val="fr-BE" w:eastAsia="cs-CZ"/>
        </w:rPr>
        <w:t xml:space="preserve">MINISTÉRE DE L´ECOLOGIE, DU DÉVELOPPEMENT DURABLE ET DE L´ENERGIE (2015). </w:t>
      </w:r>
      <w:r w:rsidRPr="009424D1">
        <w:rPr>
          <w:rFonts w:ascii="Times New Roman" w:eastAsia="Times New Roman" w:hAnsi="Times New Roman" w:cs="Times New Roman"/>
          <w:i/>
          <w:iCs/>
          <w:sz w:val="18"/>
          <w:szCs w:val="18"/>
          <w:lang w:val="fr-BE" w:eastAsia="cs-CZ"/>
        </w:rPr>
        <w:t>Dessertes TGV et dynamiques économiques locales: un éclairage à partir de la distinction entre territoires productifs, résidentiels ou intermédiaires</w:t>
      </w:r>
      <w:r w:rsidRPr="009424D1">
        <w:rPr>
          <w:rFonts w:ascii="Times New Roman" w:eastAsia="Times New Roman" w:hAnsi="Times New Roman" w:cs="Times New Roman"/>
          <w:sz w:val="18"/>
          <w:szCs w:val="18"/>
          <w:lang w:val="fr-BE" w:eastAsia="cs-CZ"/>
        </w:rPr>
        <w:t xml:space="preserve">. </w:t>
      </w:r>
      <w:r w:rsidRPr="009424D1">
        <w:rPr>
          <w:rFonts w:ascii="Times New Roman" w:eastAsia="Times New Roman" w:hAnsi="Times New Roman" w:cs="Times New Roman"/>
          <w:sz w:val="18"/>
          <w:szCs w:val="18"/>
          <w:lang w:val="en-US" w:eastAsia="cs-CZ"/>
        </w:rPr>
        <w:t>Paris: Rapport final pour le Groupement Opérationnel du Predit.</w:t>
      </w:r>
    </w:p>
    <w:p w14:paraId="26488E67" w14:textId="77777777" w:rsidR="00F04E4D" w:rsidRPr="009424D1" w:rsidRDefault="00F04E4D" w:rsidP="00462970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9424D1">
        <w:rPr>
          <w:rFonts w:ascii="Times New Roman" w:hAnsi="Times New Roman" w:cs="Times New Roman"/>
          <w:caps/>
          <w:sz w:val="18"/>
          <w:szCs w:val="18"/>
        </w:rPr>
        <w:t>Pařil, V., Viturka, M</w:t>
      </w:r>
      <w:r w:rsidRPr="009424D1">
        <w:rPr>
          <w:rFonts w:ascii="Times New Roman" w:hAnsi="Times New Roman" w:cs="Times New Roman"/>
          <w:sz w:val="18"/>
          <w:szCs w:val="18"/>
        </w:rPr>
        <w:t xml:space="preserve">. (2020): Assessment of Priorities of Construction of High-Speed Rail in the Czech Republic in Terms of Impacts on Internal and External Integration. </w:t>
      </w:r>
      <w:r w:rsidRPr="009424D1">
        <w:rPr>
          <w:rFonts w:ascii="Times New Roman" w:hAnsi="Times New Roman" w:cs="Times New Roman"/>
          <w:i/>
          <w:iCs/>
          <w:sz w:val="18"/>
          <w:szCs w:val="18"/>
        </w:rPr>
        <w:t>Review of Economic Perspectives</w:t>
      </w:r>
      <w:r w:rsidRPr="009424D1">
        <w:rPr>
          <w:rFonts w:ascii="Times New Roman" w:hAnsi="Times New Roman" w:cs="Times New Roman"/>
          <w:sz w:val="18"/>
          <w:szCs w:val="18"/>
        </w:rPr>
        <w:t>, vol. 20, No. 2, pp. 217-241. ISSN 1213-2446. DOI: 10.2478/ revecp-2020-0010.</w:t>
      </w:r>
    </w:p>
    <w:p w14:paraId="17B383ED" w14:textId="77777777" w:rsidR="00F04E4D" w:rsidRPr="009424D1" w:rsidRDefault="00F04E4D" w:rsidP="00462970">
      <w:pPr>
        <w:pStyle w:val="literatura"/>
        <w:numPr>
          <w:ilvl w:val="0"/>
          <w:numId w:val="0"/>
        </w:numPr>
        <w:spacing w:after="0" w:line="240" w:lineRule="auto"/>
        <w:ind w:left="567" w:hanging="567"/>
        <w:jc w:val="left"/>
        <w:rPr>
          <w:sz w:val="18"/>
          <w:szCs w:val="18"/>
        </w:rPr>
      </w:pPr>
      <w:r w:rsidRPr="009424D1">
        <w:rPr>
          <w:sz w:val="18"/>
          <w:szCs w:val="18"/>
        </w:rPr>
        <w:t>SARIKAVAK, Y., BOXALL, A. (2019). The Aspects of Pollution for New High-Speed Railways: The Case of Noise in Turkey. [online]. [cit. 2021-12-09]. Dostupné z: https://doi.org/10.1007/ s40857-019-00154-5.</w:t>
      </w:r>
    </w:p>
    <w:p w14:paraId="5CD8D385" w14:textId="330AF5E1" w:rsidR="00F04E4D" w:rsidRPr="009424D1" w:rsidRDefault="00F04E4D" w:rsidP="004629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424D1">
        <w:rPr>
          <w:rFonts w:ascii="Times New Roman" w:hAnsi="Times New Roman" w:cs="Times New Roman"/>
          <w:caps/>
          <w:sz w:val="18"/>
          <w:szCs w:val="18"/>
        </w:rPr>
        <w:t>Schoemaker, P., Russo,</w:t>
      </w:r>
      <w:r w:rsidRPr="009424D1">
        <w:rPr>
          <w:rFonts w:ascii="Times New Roman" w:hAnsi="Times New Roman" w:cs="Times New Roman"/>
          <w:sz w:val="18"/>
          <w:szCs w:val="18"/>
        </w:rPr>
        <w:t xml:space="preserve"> J. (2015), J. Decision making. In: </w:t>
      </w:r>
      <w:r w:rsidRPr="009424D1">
        <w:rPr>
          <w:rFonts w:ascii="Times New Roman" w:hAnsi="Times New Roman" w:cs="Times New Roman"/>
          <w:i/>
          <w:iCs/>
          <w:sz w:val="18"/>
          <w:szCs w:val="18"/>
        </w:rPr>
        <w:t xml:space="preserve">The Palgrave </w:t>
      </w:r>
      <w:r w:rsidR="004D294F" w:rsidRPr="009424D1">
        <w:rPr>
          <w:rFonts w:ascii="Times New Roman" w:hAnsi="Times New Roman" w:cs="Times New Roman"/>
          <w:i/>
          <w:iCs/>
          <w:sz w:val="18"/>
          <w:szCs w:val="18"/>
        </w:rPr>
        <w:t>Encyclopaedia</w:t>
      </w:r>
      <w:r w:rsidRPr="009424D1">
        <w:rPr>
          <w:rFonts w:ascii="Times New Roman" w:hAnsi="Times New Roman" w:cs="Times New Roman"/>
          <w:i/>
          <w:iCs/>
          <w:sz w:val="18"/>
          <w:szCs w:val="18"/>
        </w:rPr>
        <w:t xml:space="preserve"> of Strategic Management. </w:t>
      </w:r>
      <w:bookmarkStart w:id="3" w:name="_Hlk96706613"/>
      <w:r w:rsidRPr="009424D1">
        <w:rPr>
          <w:rFonts w:ascii="Times New Roman" w:hAnsi="Times New Roman" w:cs="Times New Roman"/>
          <w:sz w:val="18"/>
          <w:szCs w:val="18"/>
        </w:rPr>
        <w:t>[online]. [cit. 2020-10-30].</w:t>
      </w:r>
      <w:r w:rsidRPr="009424D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bookmarkEnd w:id="3"/>
      <w:r w:rsidRPr="009424D1">
        <w:rPr>
          <w:rFonts w:ascii="Times New Roman" w:hAnsi="Times New Roman" w:cs="Times New Roman"/>
          <w:i/>
          <w:iCs/>
          <w:sz w:val="18"/>
          <w:szCs w:val="18"/>
        </w:rPr>
        <w:t xml:space="preserve">Dostupné z: </w:t>
      </w:r>
      <w:hyperlink w:history="1">
        <w:r w:rsidRPr="009424D1">
          <w:rPr>
            <w:rStyle w:val="Hypertextovodkaz"/>
            <w:rFonts w:ascii="Times New Roman" w:hAnsi="Times New Roman" w:cs="Times New Roman"/>
            <w:i/>
            <w:iCs/>
            <w:color w:val="auto"/>
            <w:sz w:val="18"/>
            <w:szCs w:val="18"/>
          </w:rPr>
          <w:t>https://www. researchgate. net/publication</w:t>
        </w:r>
      </w:hyperlink>
      <w:r w:rsidRPr="009424D1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4745A333" w14:textId="39BFDB34" w:rsidR="00F04E4D" w:rsidRPr="009424D1" w:rsidRDefault="00F04E4D" w:rsidP="00462970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9424D1">
        <w:rPr>
          <w:rFonts w:ascii="Times New Roman" w:hAnsi="Times New Roman" w:cs="Times New Roman"/>
          <w:sz w:val="18"/>
          <w:szCs w:val="18"/>
        </w:rPr>
        <w:t xml:space="preserve">TAYLOR, J. (2003). Migration. In Demeny, P, McNicoll, G. (eds.) </w:t>
      </w:r>
      <w:r w:rsidR="00562728" w:rsidRPr="009424D1">
        <w:rPr>
          <w:rFonts w:ascii="Times New Roman" w:hAnsi="Times New Roman" w:cs="Times New Roman"/>
          <w:i/>
          <w:iCs/>
          <w:sz w:val="18"/>
          <w:szCs w:val="18"/>
        </w:rPr>
        <w:t>Encyclopaedia</w:t>
      </w:r>
      <w:r w:rsidRPr="009424D1">
        <w:rPr>
          <w:rFonts w:ascii="Times New Roman" w:hAnsi="Times New Roman" w:cs="Times New Roman"/>
          <w:i/>
          <w:iCs/>
          <w:sz w:val="18"/>
          <w:szCs w:val="18"/>
        </w:rPr>
        <w:t xml:space="preserve"> of Population.</w:t>
      </w:r>
      <w:r w:rsidRPr="009424D1">
        <w:rPr>
          <w:rFonts w:ascii="Times New Roman" w:hAnsi="Times New Roman" w:cs="Times New Roman"/>
          <w:sz w:val="18"/>
          <w:szCs w:val="18"/>
        </w:rPr>
        <w:t xml:space="preserve"> New York: Macmillan Reference, pp. 640–644. ISBN 9780028656779.</w:t>
      </w:r>
    </w:p>
    <w:p w14:paraId="5592B2F8" w14:textId="77777777" w:rsidR="00F04E4D" w:rsidRPr="009424D1" w:rsidRDefault="00F04E4D" w:rsidP="00F83DEC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9424D1">
        <w:rPr>
          <w:rFonts w:ascii="Times New Roman" w:hAnsi="Times New Roman" w:cs="Times New Roman"/>
          <w:sz w:val="18"/>
          <w:szCs w:val="18"/>
        </w:rPr>
        <w:t xml:space="preserve">TÝFA, L. (2007). Nejnovější trendy v oblasti infrastruktury vysokorychlostních tratí. In </w:t>
      </w:r>
      <w:r w:rsidRPr="009424D1">
        <w:rPr>
          <w:rFonts w:ascii="Times New Roman" w:hAnsi="Times New Roman" w:cs="Times New Roman"/>
          <w:i/>
          <w:iCs/>
          <w:sz w:val="18"/>
          <w:szCs w:val="18"/>
        </w:rPr>
        <w:t>Sborník z odborné konference Vysokorychlostní železniční doprava ve světě a v České republice</w:t>
      </w:r>
      <w:r w:rsidRPr="009424D1">
        <w:rPr>
          <w:rFonts w:ascii="Times New Roman" w:hAnsi="Times New Roman" w:cs="Times New Roman"/>
          <w:sz w:val="18"/>
          <w:szCs w:val="18"/>
        </w:rPr>
        <w:t>. Praha, SUDOP. 1-11 s. CD-ROM.</w:t>
      </w:r>
    </w:p>
    <w:p w14:paraId="77E8ACF5" w14:textId="222541A2" w:rsidR="00F04E4D" w:rsidRPr="009424D1" w:rsidRDefault="00F04E4D" w:rsidP="00F83DE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424D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VITURKA, M. (2011). Integration Theory of Sustainable Regional Development – Presentation and Application. </w:t>
      </w:r>
      <w:r w:rsidRPr="009424D1">
        <w:rPr>
          <w:rFonts w:ascii="Times New Roman" w:eastAsia="Times New Roman" w:hAnsi="Times New Roman" w:cs="Times New Roman"/>
          <w:i/>
          <w:iCs/>
          <w:sz w:val="18"/>
          <w:szCs w:val="18"/>
          <w:lang w:eastAsia="cs-CZ"/>
        </w:rPr>
        <w:t>Politická ekonomie</w:t>
      </w:r>
      <w:r w:rsidRPr="009424D1">
        <w:rPr>
          <w:rFonts w:ascii="Times New Roman" w:eastAsia="Times New Roman" w:hAnsi="Times New Roman" w:cs="Times New Roman"/>
          <w:sz w:val="18"/>
          <w:szCs w:val="18"/>
          <w:lang w:eastAsia="cs-CZ"/>
        </w:rPr>
        <w:t>, vol. 59, No. 6, pp. 794-809, ISSN 0032-3233. DOI: 10.18267/j.polek.822.</w:t>
      </w:r>
    </w:p>
    <w:p w14:paraId="7BBE3722" w14:textId="56D2F151" w:rsidR="00F83DEC" w:rsidRPr="009424D1" w:rsidRDefault="00B859D0" w:rsidP="00F83DE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424D1">
        <w:rPr>
          <w:rFonts w:ascii="Times New Roman" w:hAnsi="Times New Roman" w:cs="Times New Roman"/>
          <w:sz w:val="18"/>
          <w:szCs w:val="18"/>
        </w:rPr>
        <w:t xml:space="preserve">VITURKA, M., PAŘIL, V. (2015). Regional assessment of the effectiveness of road infrastructure projects. </w:t>
      </w:r>
      <w:r w:rsidRPr="009424D1">
        <w:rPr>
          <w:rFonts w:ascii="Times New Roman" w:hAnsi="Times New Roman" w:cs="Times New Roman"/>
          <w:i/>
          <w:iCs/>
          <w:sz w:val="18"/>
          <w:szCs w:val="18"/>
        </w:rPr>
        <w:t>International Journal of Transport Economics</w:t>
      </w:r>
      <w:r w:rsidRPr="009424D1">
        <w:rPr>
          <w:rFonts w:ascii="Times New Roman" w:hAnsi="Times New Roman" w:cs="Times New Roman"/>
          <w:sz w:val="18"/>
          <w:szCs w:val="18"/>
        </w:rPr>
        <w:t xml:space="preserve">, vol. 42, No. 4, pp. 507-528, </w:t>
      </w:r>
      <w:r w:rsidR="00F83DEC" w:rsidRPr="009424D1">
        <w:rPr>
          <w:rFonts w:ascii="Times New Roman" w:eastAsia="Times New Roman" w:hAnsi="Times New Roman" w:cs="Times New Roman"/>
          <w:sz w:val="18"/>
          <w:szCs w:val="18"/>
          <w:lang w:eastAsia="cs-CZ"/>
        </w:rPr>
        <w:t>ISSN 3918440.</w:t>
      </w:r>
    </w:p>
    <w:p w14:paraId="6C7A4C37" w14:textId="77FE7AAE" w:rsidR="00F04E4D" w:rsidRPr="009424D1" w:rsidRDefault="00F04E4D" w:rsidP="00F83DEC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9424D1">
        <w:rPr>
          <w:rFonts w:ascii="Times New Roman" w:hAnsi="Times New Roman" w:cs="Times New Roman"/>
          <w:sz w:val="18"/>
          <w:szCs w:val="18"/>
        </w:rPr>
        <w:t>VITURKA, M., PAŘIL, V., TONEV, P., ŠAŠINKA P., KUNC J. (2017): The Metropoli</w:t>
      </w:r>
      <w:r w:rsidR="00896E26" w:rsidRPr="009424D1">
        <w:rPr>
          <w:rFonts w:ascii="Times New Roman" w:hAnsi="Times New Roman" w:cs="Times New Roman"/>
          <w:sz w:val="18"/>
          <w:szCs w:val="18"/>
        </w:rPr>
        <w:t>s</w:t>
      </w:r>
      <w:r w:rsidRPr="009424D1">
        <w:rPr>
          <w:rFonts w:ascii="Times New Roman" w:hAnsi="Times New Roman" w:cs="Times New Roman"/>
          <w:sz w:val="18"/>
          <w:szCs w:val="18"/>
        </w:rPr>
        <w:t xml:space="preserve">ation Processes – A Case of Central Europe and the Czech Republic. </w:t>
      </w:r>
      <w:r w:rsidRPr="009424D1">
        <w:rPr>
          <w:rFonts w:ascii="Times New Roman" w:hAnsi="Times New Roman" w:cs="Times New Roman"/>
          <w:i/>
          <w:iCs/>
          <w:sz w:val="18"/>
          <w:szCs w:val="18"/>
        </w:rPr>
        <w:t>Prague Economic Papers</w:t>
      </w:r>
      <w:r w:rsidRPr="009424D1">
        <w:rPr>
          <w:rFonts w:ascii="Times New Roman" w:hAnsi="Times New Roman" w:cs="Times New Roman"/>
          <w:sz w:val="18"/>
          <w:szCs w:val="18"/>
        </w:rPr>
        <w:t>, vol. 26, No 5, pp. 505-522. ISSN 2336-730X. DOI: 10. 18267/ j.pep.624.</w:t>
      </w:r>
    </w:p>
    <w:p w14:paraId="7AD39296" w14:textId="77777777" w:rsidR="00481BC9" w:rsidRDefault="00F04E4D" w:rsidP="00F83DEC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bookmarkStart w:id="4" w:name="_Hlk91351503"/>
      <w:r w:rsidRPr="009424D1">
        <w:rPr>
          <w:rFonts w:ascii="Times New Roman" w:hAnsi="Times New Roman" w:cs="Times New Roman"/>
          <w:caps/>
          <w:sz w:val="18"/>
          <w:szCs w:val="18"/>
        </w:rPr>
        <w:t>Viturka, M., Pařil V.</w:t>
      </w:r>
      <w:r w:rsidRPr="009424D1">
        <w:rPr>
          <w:rFonts w:ascii="Times New Roman" w:hAnsi="Times New Roman" w:cs="Times New Roman"/>
          <w:sz w:val="18"/>
          <w:szCs w:val="18"/>
        </w:rPr>
        <w:t xml:space="preserve"> </w:t>
      </w:r>
      <w:bookmarkEnd w:id="4"/>
      <w:r w:rsidRPr="009424D1">
        <w:rPr>
          <w:rFonts w:ascii="Times New Roman" w:hAnsi="Times New Roman" w:cs="Times New Roman"/>
          <w:sz w:val="18"/>
          <w:szCs w:val="18"/>
        </w:rPr>
        <w:t xml:space="preserve">(2020). Evaluation of the effectiveness of high-speed rail projects in the Czech Republic in terms of their integration potential. </w:t>
      </w:r>
      <w:r w:rsidRPr="009424D1">
        <w:rPr>
          <w:rFonts w:ascii="Times New Roman" w:hAnsi="Times New Roman" w:cs="Times New Roman"/>
          <w:i/>
          <w:iCs/>
          <w:sz w:val="18"/>
          <w:szCs w:val="18"/>
        </w:rPr>
        <w:t>GeoScape</w:t>
      </w:r>
      <w:r w:rsidRPr="009424D1">
        <w:rPr>
          <w:rFonts w:ascii="Times New Roman" w:hAnsi="Times New Roman" w:cs="Times New Roman"/>
          <w:sz w:val="18"/>
          <w:szCs w:val="18"/>
        </w:rPr>
        <w:t xml:space="preserve">, 14 No. 2, pp. 1-10, ISSN 1802-1115. </w:t>
      </w:r>
      <w:bookmarkStart w:id="5" w:name="_Hlk91351747"/>
      <w:proofErr w:type="spellStart"/>
      <w:r w:rsidRPr="009424D1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9424D1">
        <w:rPr>
          <w:rFonts w:ascii="Times New Roman" w:hAnsi="Times New Roman" w:cs="Times New Roman"/>
          <w:sz w:val="18"/>
          <w:szCs w:val="18"/>
        </w:rPr>
        <w:t>:</w:t>
      </w:r>
      <w:bookmarkEnd w:id="5"/>
      <w:r w:rsidRPr="009424D1">
        <w:rPr>
          <w:rFonts w:ascii="Times New Roman" w:hAnsi="Times New Roman" w:cs="Times New Roman"/>
          <w:sz w:val="18"/>
          <w:szCs w:val="18"/>
        </w:rPr>
        <w:t xml:space="preserve"> 10.2478/</w:t>
      </w:r>
      <w:proofErr w:type="spellStart"/>
      <w:r w:rsidRPr="009424D1">
        <w:rPr>
          <w:rFonts w:ascii="Times New Roman" w:hAnsi="Times New Roman" w:cs="Times New Roman"/>
          <w:sz w:val="18"/>
          <w:szCs w:val="18"/>
        </w:rPr>
        <w:t>geosc</w:t>
      </w:r>
      <w:proofErr w:type="spellEnd"/>
      <w:r w:rsidRPr="009424D1">
        <w:rPr>
          <w:rFonts w:ascii="Times New Roman" w:hAnsi="Times New Roman" w:cs="Times New Roman"/>
          <w:sz w:val="18"/>
          <w:szCs w:val="18"/>
        </w:rPr>
        <w:t>-2020-0001.</w:t>
      </w:r>
    </w:p>
    <w:p w14:paraId="3E52C62C" w14:textId="15077954" w:rsidR="00F04E4D" w:rsidRPr="00481BC9" w:rsidRDefault="00F04E4D" w:rsidP="00F83DEC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424D1">
        <w:rPr>
          <w:rFonts w:ascii="Times New Roman" w:hAnsi="Times New Roman" w:cs="Times New Roman"/>
          <w:sz w:val="18"/>
          <w:szCs w:val="18"/>
        </w:rPr>
        <w:t xml:space="preserve">VITURKA, M., PAŘIL V. </w:t>
      </w:r>
      <w:proofErr w:type="spellStart"/>
      <w:r w:rsidRPr="009424D1">
        <w:rPr>
          <w:rFonts w:ascii="Times New Roman" w:hAnsi="Times New Roman" w:cs="Times New Roman"/>
          <w:caps/>
          <w:sz w:val="18"/>
          <w:szCs w:val="18"/>
        </w:rPr>
        <w:t>Löw</w:t>
      </w:r>
      <w:proofErr w:type="spellEnd"/>
      <w:r w:rsidRPr="009424D1">
        <w:rPr>
          <w:rFonts w:ascii="Times New Roman" w:hAnsi="Times New Roman" w:cs="Times New Roman"/>
          <w:sz w:val="18"/>
          <w:szCs w:val="18"/>
        </w:rPr>
        <w:t xml:space="preserve">, J. (2021). Territorial assessment of environmental and economic aspects of planned Czech </w:t>
      </w:r>
      <w:r w:rsidRPr="00481BC9">
        <w:rPr>
          <w:rFonts w:ascii="Times New Roman" w:hAnsi="Times New Roman" w:cs="Times New Roman"/>
          <w:sz w:val="18"/>
          <w:szCs w:val="18"/>
        </w:rPr>
        <w:t>high-</w:t>
      </w:r>
      <w:r w:rsidR="00562728" w:rsidRPr="00481BC9">
        <w:rPr>
          <w:rFonts w:ascii="Times New Roman" w:hAnsi="Times New Roman" w:cs="Times New Roman"/>
          <w:sz w:val="18"/>
          <w:szCs w:val="18"/>
        </w:rPr>
        <w:t>speed</w:t>
      </w:r>
      <w:r w:rsidRPr="00481BC9">
        <w:rPr>
          <w:rFonts w:ascii="Times New Roman" w:hAnsi="Times New Roman" w:cs="Times New Roman"/>
          <w:sz w:val="18"/>
          <w:szCs w:val="18"/>
        </w:rPr>
        <w:t xml:space="preserve"> rail construction. </w:t>
      </w:r>
      <w:r w:rsidRPr="00481BC9">
        <w:rPr>
          <w:rFonts w:ascii="Times New Roman" w:hAnsi="Times New Roman" w:cs="Times New Roman"/>
          <w:i/>
          <w:iCs/>
          <w:sz w:val="18"/>
          <w:szCs w:val="18"/>
        </w:rPr>
        <w:t>Folia Geographica</w:t>
      </w:r>
      <w:r w:rsidRPr="00481BC9">
        <w:rPr>
          <w:rFonts w:ascii="Times New Roman" w:hAnsi="Times New Roman" w:cs="Times New Roman"/>
          <w:sz w:val="18"/>
          <w:szCs w:val="18"/>
        </w:rPr>
        <w:t>, 63 No. 2), pp. 135-154, ISSN 1336-6157.</w:t>
      </w:r>
      <w:r w:rsidRPr="00481BC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sectPr w:rsidR="00F04E4D" w:rsidRPr="00481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6987" w14:textId="77777777" w:rsidR="000001B2" w:rsidRDefault="000001B2" w:rsidP="001C700B">
      <w:pPr>
        <w:spacing w:after="0" w:line="240" w:lineRule="auto"/>
      </w:pPr>
      <w:r>
        <w:separator/>
      </w:r>
    </w:p>
  </w:endnote>
  <w:endnote w:type="continuationSeparator" w:id="0">
    <w:p w14:paraId="2948700B" w14:textId="77777777" w:rsidR="000001B2" w:rsidRDefault="000001B2" w:rsidP="001C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3589" w14:textId="77777777" w:rsidR="000001B2" w:rsidRDefault="000001B2" w:rsidP="001C700B">
      <w:pPr>
        <w:spacing w:after="0" w:line="240" w:lineRule="auto"/>
      </w:pPr>
      <w:r>
        <w:separator/>
      </w:r>
    </w:p>
  </w:footnote>
  <w:footnote w:type="continuationSeparator" w:id="0">
    <w:p w14:paraId="4BAD4AB8" w14:textId="77777777" w:rsidR="000001B2" w:rsidRDefault="000001B2" w:rsidP="001C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EAF"/>
    <w:multiLevelType w:val="hybridMultilevel"/>
    <w:tmpl w:val="E0385D30"/>
    <w:lvl w:ilvl="0" w:tplc="6980E7B8">
      <w:start w:val="1"/>
      <w:numFmt w:val="upperLetter"/>
      <w:lvlText w:val="%1)"/>
      <w:lvlJc w:val="left"/>
      <w:pPr>
        <w:ind w:left="2061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66910D5"/>
    <w:multiLevelType w:val="multilevel"/>
    <w:tmpl w:val="D26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70A4C"/>
    <w:multiLevelType w:val="hybridMultilevel"/>
    <w:tmpl w:val="A9BC3CDA"/>
    <w:lvl w:ilvl="0" w:tplc="C470B76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0066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1E46"/>
    <w:multiLevelType w:val="hybridMultilevel"/>
    <w:tmpl w:val="02A00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7EE8"/>
    <w:multiLevelType w:val="hybridMultilevel"/>
    <w:tmpl w:val="71987696"/>
    <w:lvl w:ilvl="0" w:tplc="DEA4F3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3D0B45"/>
    <w:multiLevelType w:val="hybridMultilevel"/>
    <w:tmpl w:val="6590A3E2"/>
    <w:lvl w:ilvl="0" w:tplc="88E2BB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C3D6F"/>
    <w:multiLevelType w:val="hybridMultilevel"/>
    <w:tmpl w:val="2AE8753A"/>
    <w:lvl w:ilvl="0" w:tplc="982A1E5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7740EA"/>
    <w:multiLevelType w:val="hybridMultilevel"/>
    <w:tmpl w:val="A134EA40"/>
    <w:lvl w:ilvl="0" w:tplc="1E840E2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008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3489" w:hanging="360"/>
      </w:pPr>
    </w:lvl>
    <w:lvl w:ilvl="2" w:tplc="0405001B" w:tentative="1">
      <w:start w:val="1"/>
      <w:numFmt w:val="lowerRoman"/>
      <w:lvlText w:val="%3."/>
      <w:lvlJc w:val="right"/>
      <w:pPr>
        <w:ind w:left="4209" w:hanging="180"/>
      </w:pPr>
    </w:lvl>
    <w:lvl w:ilvl="3" w:tplc="0405000F" w:tentative="1">
      <w:start w:val="1"/>
      <w:numFmt w:val="decimal"/>
      <w:lvlText w:val="%4."/>
      <w:lvlJc w:val="left"/>
      <w:pPr>
        <w:ind w:left="4929" w:hanging="360"/>
      </w:pPr>
    </w:lvl>
    <w:lvl w:ilvl="4" w:tplc="04050019" w:tentative="1">
      <w:start w:val="1"/>
      <w:numFmt w:val="lowerLetter"/>
      <w:lvlText w:val="%5."/>
      <w:lvlJc w:val="left"/>
      <w:pPr>
        <w:ind w:left="5649" w:hanging="360"/>
      </w:pPr>
    </w:lvl>
    <w:lvl w:ilvl="5" w:tplc="0405001B" w:tentative="1">
      <w:start w:val="1"/>
      <w:numFmt w:val="lowerRoman"/>
      <w:lvlText w:val="%6."/>
      <w:lvlJc w:val="right"/>
      <w:pPr>
        <w:ind w:left="6369" w:hanging="180"/>
      </w:pPr>
    </w:lvl>
    <w:lvl w:ilvl="6" w:tplc="0405000F" w:tentative="1">
      <w:start w:val="1"/>
      <w:numFmt w:val="decimal"/>
      <w:lvlText w:val="%7."/>
      <w:lvlJc w:val="left"/>
      <w:pPr>
        <w:ind w:left="7089" w:hanging="360"/>
      </w:pPr>
    </w:lvl>
    <w:lvl w:ilvl="7" w:tplc="04050019" w:tentative="1">
      <w:start w:val="1"/>
      <w:numFmt w:val="lowerLetter"/>
      <w:lvlText w:val="%8."/>
      <w:lvlJc w:val="left"/>
      <w:pPr>
        <w:ind w:left="7809" w:hanging="360"/>
      </w:pPr>
    </w:lvl>
    <w:lvl w:ilvl="8" w:tplc="0405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8" w15:restartNumberingAfterBreak="0">
    <w:nsid w:val="3ED83137"/>
    <w:multiLevelType w:val="hybridMultilevel"/>
    <w:tmpl w:val="A4C24674"/>
    <w:lvl w:ilvl="0" w:tplc="9CEA46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9" w15:restartNumberingAfterBreak="0">
    <w:nsid w:val="44D30A39"/>
    <w:multiLevelType w:val="hybridMultilevel"/>
    <w:tmpl w:val="2A08E060"/>
    <w:lvl w:ilvl="0" w:tplc="42E4A1F8">
      <w:start w:val="1"/>
      <w:numFmt w:val="decimal"/>
      <w:pStyle w:val="000LiteraturasezSbo15"/>
      <w:lvlText w:val="[%1]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329E6"/>
    <w:multiLevelType w:val="hybridMultilevel"/>
    <w:tmpl w:val="3EDE4F1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07EB7"/>
    <w:multiLevelType w:val="hybridMultilevel"/>
    <w:tmpl w:val="D3F6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05C8B"/>
    <w:multiLevelType w:val="hybridMultilevel"/>
    <w:tmpl w:val="14928472"/>
    <w:lvl w:ilvl="0" w:tplc="5CBCF3A6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7C211E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9C59DB"/>
    <w:multiLevelType w:val="hybridMultilevel"/>
    <w:tmpl w:val="4ED22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E3F33"/>
    <w:multiLevelType w:val="hybridMultilevel"/>
    <w:tmpl w:val="6D9C6138"/>
    <w:lvl w:ilvl="0" w:tplc="2E08795A">
      <w:start w:val="1"/>
      <w:numFmt w:val="bullet"/>
      <w:pStyle w:val="000Odrky-Sbo15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E73F29"/>
    <w:multiLevelType w:val="hybridMultilevel"/>
    <w:tmpl w:val="9626B93C"/>
    <w:lvl w:ilvl="0" w:tplc="B2B0BBB0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E01EE"/>
    <w:multiLevelType w:val="hybridMultilevel"/>
    <w:tmpl w:val="45C621B6"/>
    <w:lvl w:ilvl="0" w:tplc="00000003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23C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66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92002894">
    <w:abstractNumId w:val="12"/>
  </w:num>
  <w:num w:numId="2" w16cid:durableId="1223713608">
    <w:abstractNumId w:val="10"/>
  </w:num>
  <w:num w:numId="3" w16cid:durableId="1378973265">
    <w:abstractNumId w:val="18"/>
  </w:num>
  <w:num w:numId="4" w16cid:durableId="2014257206">
    <w:abstractNumId w:val="8"/>
  </w:num>
  <w:num w:numId="5" w16cid:durableId="1854345807">
    <w:abstractNumId w:val="17"/>
  </w:num>
  <w:num w:numId="6" w16cid:durableId="1111432787">
    <w:abstractNumId w:val="1"/>
  </w:num>
  <w:num w:numId="7" w16cid:durableId="217670578">
    <w:abstractNumId w:val="9"/>
  </w:num>
  <w:num w:numId="8" w16cid:durableId="196743052">
    <w:abstractNumId w:val="14"/>
  </w:num>
  <w:num w:numId="9" w16cid:durableId="1970236785">
    <w:abstractNumId w:val="16"/>
  </w:num>
  <w:num w:numId="10" w16cid:durableId="1561209126">
    <w:abstractNumId w:val="5"/>
  </w:num>
  <w:num w:numId="11" w16cid:durableId="354383859">
    <w:abstractNumId w:val="7"/>
  </w:num>
  <w:num w:numId="12" w16cid:durableId="1855800560">
    <w:abstractNumId w:val="11"/>
  </w:num>
  <w:num w:numId="13" w16cid:durableId="1654024810">
    <w:abstractNumId w:val="19"/>
  </w:num>
  <w:num w:numId="14" w16cid:durableId="1119421644">
    <w:abstractNumId w:val="4"/>
  </w:num>
  <w:num w:numId="15" w16cid:durableId="751853061">
    <w:abstractNumId w:val="6"/>
  </w:num>
  <w:num w:numId="16" w16cid:durableId="1991059832">
    <w:abstractNumId w:val="2"/>
  </w:num>
  <w:num w:numId="17" w16cid:durableId="1856648818">
    <w:abstractNumId w:val="0"/>
  </w:num>
  <w:num w:numId="18" w16cid:durableId="1762094661">
    <w:abstractNumId w:val="0"/>
  </w:num>
  <w:num w:numId="19" w16cid:durableId="831138402">
    <w:abstractNumId w:val="3"/>
  </w:num>
  <w:num w:numId="20" w16cid:durableId="96564843">
    <w:abstractNumId w:val="13"/>
  </w:num>
  <w:num w:numId="21" w16cid:durableId="5532702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NjO2NDUyNzUyMjFX0lEKTi0uzszPAykwqgUAEf4DRCwAAAA="/>
  </w:docVars>
  <w:rsids>
    <w:rsidRoot w:val="00DE4B9F"/>
    <w:rsid w:val="000001B2"/>
    <w:rsid w:val="00001E13"/>
    <w:rsid w:val="0000247E"/>
    <w:rsid w:val="00004BF4"/>
    <w:rsid w:val="00005466"/>
    <w:rsid w:val="00015A5B"/>
    <w:rsid w:val="00017152"/>
    <w:rsid w:val="00022D1A"/>
    <w:rsid w:val="00024D77"/>
    <w:rsid w:val="00032BC8"/>
    <w:rsid w:val="000520B2"/>
    <w:rsid w:val="000561E0"/>
    <w:rsid w:val="0005629C"/>
    <w:rsid w:val="000652E8"/>
    <w:rsid w:val="00074A1C"/>
    <w:rsid w:val="00075C4F"/>
    <w:rsid w:val="000762F7"/>
    <w:rsid w:val="00077675"/>
    <w:rsid w:val="00077BBB"/>
    <w:rsid w:val="00080E8B"/>
    <w:rsid w:val="0008601A"/>
    <w:rsid w:val="00086370"/>
    <w:rsid w:val="00087010"/>
    <w:rsid w:val="000950C6"/>
    <w:rsid w:val="000A050D"/>
    <w:rsid w:val="000A41DE"/>
    <w:rsid w:val="000A446B"/>
    <w:rsid w:val="000A5A65"/>
    <w:rsid w:val="000A7147"/>
    <w:rsid w:val="000B572C"/>
    <w:rsid w:val="000B5937"/>
    <w:rsid w:val="000B6CDD"/>
    <w:rsid w:val="000B6E1B"/>
    <w:rsid w:val="000B6E8C"/>
    <w:rsid w:val="000C0414"/>
    <w:rsid w:val="000C4014"/>
    <w:rsid w:val="000C5A4B"/>
    <w:rsid w:val="000D03BC"/>
    <w:rsid w:val="000D3D6E"/>
    <w:rsid w:val="000D6A98"/>
    <w:rsid w:val="000D7455"/>
    <w:rsid w:val="000E337C"/>
    <w:rsid w:val="00101D46"/>
    <w:rsid w:val="001029B5"/>
    <w:rsid w:val="00112EC0"/>
    <w:rsid w:val="0011762B"/>
    <w:rsid w:val="00123127"/>
    <w:rsid w:val="00125052"/>
    <w:rsid w:val="00125B1A"/>
    <w:rsid w:val="001411B6"/>
    <w:rsid w:val="001421EE"/>
    <w:rsid w:val="00147472"/>
    <w:rsid w:val="00147B33"/>
    <w:rsid w:val="0015374B"/>
    <w:rsid w:val="00154A83"/>
    <w:rsid w:val="00157035"/>
    <w:rsid w:val="00164A85"/>
    <w:rsid w:val="00166623"/>
    <w:rsid w:val="00167D2B"/>
    <w:rsid w:val="00184825"/>
    <w:rsid w:val="00185552"/>
    <w:rsid w:val="00196173"/>
    <w:rsid w:val="001A48E3"/>
    <w:rsid w:val="001A4C8D"/>
    <w:rsid w:val="001A5C24"/>
    <w:rsid w:val="001B4310"/>
    <w:rsid w:val="001B4994"/>
    <w:rsid w:val="001B5BEB"/>
    <w:rsid w:val="001C700B"/>
    <w:rsid w:val="001C7A91"/>
    <w:rsid w:val="001D1810"/>
    <w:rsid w:val="001D412E"/>
    <w:rsid w:val="001D42FA"/>
    <w:rsid w:val="001D47D7"/>
    <w:rsid w:val="001D4BD7"/>
    <w:rsid w:val="001E0098"/>
    <w:rsid w:val="001E2E3B"/>
    <w:rsid w:val="001E434A"/>
    <w:rsid w:val="001E584C"/>
    <w:rsid w:val="001E7D06"/>
    <w:rsid w:val="001F0CF7"/>
    <w:rsid w:val="001F2867"/>
    <w:rsid w:val="001F7232"/>
    <w:rsid w:val="00201434"/>
    <w:rsid w:val="0020335B"/>
    <w:rsid w:val="00212842"/>
    <w:rsid w:val="002143A7"/>
    <w:rsid w:val="002217E9"/>
    <w:rsid w:val="002319C2"/>
    <w:rsid w:val="00231D54"/>
    <w:rsid w:val="00240712"/>
    <w:rsid w:val="00240DCC"/>
    <w:rsid w:val="00241F98"/>
    <w:rsid w:val="00252A0D"/>
    <w:rsid w:val="00262A09"/>
    <w:rsid w:val="00263CA3"/>
    <w:rsid w:val="00266E33"/>
    <w:rsid w:val="0027442B"/>
    <w:rsid w:val="0027607F"/>
    <w:rsid w:val="00280CBB"/>
    <w:rsid w:val="0028349E"/>
    <w:rsid w:val="00283D46"/>
    <w:rsid w:val="00285564"/>
    <w:rsid w:val="00286E42"/>
    <w:rsid w:val="00293578"/>
    <w:rsid w:val="002937C3"/>
    <w:rsid w:val="00297C90"/>
    <w:rsid w:val="002A0B7A"/>
    <w:rsid w:val="002A0D43"/>
    <w:rsid w:val="002A3F15"/>
    <w:rsid w:val="002B1E45"/>
    <w:rsid w:val="002B2B6E"/>
    <w:rsid w:val="002B354D"/>
    <w:rsid w:val="002B7881"/>
    <w:rsid w:val="002C0992"/>
    <w:rsid w:val="002D44D1"/>
    <w:rsid w:val="002E25C4"/>
    <w:rsid w:val="002E3AC5"/>
    <w:rsid w:val="002E60A2"/>
    <w:rsid w:val="002F04AE"/>
    <w:rsid w:val="0031315D"/>
    <w:rsid w:val="00316128"/>
    <w:rsid w:val="00317103"/>
    <w:rsid w:val="00320543"/>
    <w:rsid w:val="003213B8"/>
    <w:rsid w:val="00321778"/>
    <w:rsid w:val="00325BC6"/>
    <w:rsid w:val="00327B64"/>
    <w:rsid w:val="00327E4A"/>
    <w:rsid w:val="00337510"/>
    <w:rsid w:val="00343654"/>
    <w:rsid w:val="00346E56"/>
    <w:rsid w:val="00354754"/>
    <w:rsid w:val="00362020"/>
    <w:rsid w:val="0036392D"/>
    <w:rsid w:val="00363BEC"/>
    <w:rsid w:val="00364CF5"/>
    <w:rsid w:val="00371371"/>
    <w:rsid w:val="00381889"/>
    <w:rsid w:val="003850F6"/>
    <w:rsid w:val="00390D15"/>
    <w:rsid w:val="00390F12"/>
    <w:rsid w:val="003A3DCB"/>
    <w:rsid w:val="003A4EF5"/>
    <w:rsid w:val="003B0A81"/>
    <w:rsid w:val="003B2038"/>
    <w:rsid w:val="003B381C"/>
    <w:rsid w:val="003B53A3"/>
    <w:rsid w:val="003C1C0C"/>
    <w:rsid w:val="003D080C"/>
    <w:rsid w:val="003D322C"/>
    <w:rsid w:val="003D3331"/>
    <w:rsid w:val="003D6797"/>
    <w:rsid w:val="003E461B"/>
    <w:rsid w:val="003E4C90"/>
    <w:rsid w:val="003F4891"/>
    <w:rsid w:val="00405BF5"/>
    <w:rsid w:val="00410020"/>
    <w:rsid w:val="00412090"/>
    <w:rsid w:val="004143A4"/>
    <w:rsid w:val="0041654A"/>
    <w:rsid w:val="00422EEF"/>
    <w:rsid w:val="00423A7C"/>
    <w:rsid w:val="0043132C"/>
    <w:rsid w:val="004416DA"/>
    <w:rsid w:val="00441B4F"/>
    <w:rsid w:val="004446B8"/>
    <w:rsid w:val="00445A4A"/>
    <w:rsid w:val="00452A3D"/>
    <w:rsid w:val="00456AAD"/>
    <w:rsid w:val="00462511"/>
    <w:rsid w:val="00462970"/>
    <w:rsid w:val="00464002"/>
    <w:rsid w:val="0046526D"/>
    <w:rsid w:val="00476735"/>
    <w:rsid w:val="00481BC9"/>
    <w:rsid w:val="0048579A"/>
    <w:rsid w:val="00493269"/>
    <w:rsid w:val="0049472A"/>
    <w:rsid w:val="004B1543"/>
    <w:rsid w:val="004B20C2"/>
    <w:rsid w:val="004B2E71"/>
    <w:rsid w:val="004B3BAE"/>
    <w:rsid w:val="004B441E"/>
    <w:rsid w:val="004B628F"/>
    <w:rsid w:val="004B688B"/>
    <w:rsid w:val="004D0111"/>
    <w:rsid w:val="004D294F"/>
    <w:rsid w:val="004D627D"/>
    <w:rsid w:val="004D73B1"/>
    <w:rsid w:val="004E0E7A"/>
    <w:rsid w:val="004E169A"/>
    <w:rsid w:val="004E5012"/>
    <w:rsid w:val="004E531F"/>
    <w:rsid w:val="004E5FEA"/>
    <w:rsid w:val="004E7771"/>
    <w:rsid w:val="004F1C10"/>
    <w:rsid w:val="004F79CE"/>
    <w:rsid w:val="00501920"/>
    <w:rsid w:val="00503FA6"/>
    <w:rsid w:val="005153F0"/>
    <w:rsid w:val="00515766"/>
    <w:rsid w:val="0052064B"/>
    <w:rsid w:val="00521F73"/>
    <w:rsid w:val="00526234"/>
    <w:rsid w:val="005349EA"/>
    <w:rsid w:val="00535231"/>
    <w:rsid w:val="00536486"/>
    <w:rsid w:val="00537648"/>
    <w:rsid w:val="00546D67"/>
    <w:rsid w:val="005507F3"/>
    <w:rsid w:val="00553776"/>
    <w:rsid w:val="00562728"/>
    <w:rsid w:val="005638E3"/>
    <w:rsid w:val="00563F0D"/>
    <w:rsid w:val="0057183F"/>
    <w:rsid w:val="00572A8A"/>
    <w:rsid w:val="00573EB8"/>
    <w:rsid w:val="0057401D"/>
    <w:rsid w:val="0057513A"/>
    <w:rsid w:val="0057750B"/>
    <w:rsid w:val="00580E83"/>
    <w:rsid w:val="00581EA6"/>
    <w:rsid w:val="00584602"/>
    <w:rsid w:val="00587A40"/>
    <w:rsid w:val="005966A1"/>
    <w:rsid w:val="005A3C53"/>
    <w:rsid w:val="005B1803"/>
    <w:rsid w:val="005C5F05"/>
    <w:rsid w:val="005C699A"/>
    <w:rsid w:val="005D0AA0"/>
    <w:rsid w:val="005D2981"/>
    <w:rsid w:val="005D4181"/>
    <w:rsid w:val="005D6025"/>
    <w:rsid w:val="005E42A1"/>
    <w:rsid w:val="005E6661"/>
    <w:rsid w:val="0060472E"/>
    <w:rsid w:val="00607B57"/>
    <w:rsid w:val="006104F9"/>
    <w:rsid w:val="00616D04"/>
    <w:rsid w:val="00617303"/>
    <w:rsid w:val="00617FC9"/>
    <w:rsid w:val="006216E5"/>
    <w:rsid w:val="00622047"/>
    <w:rsid w:val="006238DC"/>
    <w:rsid w:val="00626517"/>
    <w:rsid w:val="00633415"/>
    <w:rsid w:val="00634629"/>
    <w:rsid w:val="00641290"/>
    <w:rsid w:val="006414E3"/>
    <w:rsid w:val="0064260E"/>
    <w:rsid w:val="00644C60"/>
    <w:rsid w:val="006523A9"/>
    <w:rsid w:val="0065428B"/>
    <w:rsid w:val="00654A10"/>
    <w:rsid w:val="00654A6A"/>
    <w:rsid w:val="00661CC7"/>
    <w:rsid w:val="00665983"/>
    <w:rsid w:val="00665DCD"/>
    <w:rsid w:val="00666DD3"/>
    <w:rsid w:val="00677527"/>
    <w:rsid w:val="00680632"/>
    <w:rsid w:val="00682BB6"/>
    <w:rsid w:val="006A2B28"/>
    <w:rsid w:val="006A328F"/>
    <w:rsid w:val="006A3C22"/>
    <w:rsid w:val="006B2317"/>
    <w:rsid w:val="006B3D9C"/>
    <w:rsid w:val="006B4B1A"/>
    <w:rsid w:val="006B77A9"/>
    <w:rsid w:val="006C0DDC"/>
    <w:rsid w:val="006C1F8D"/>
    <w:rsid w:val="006C2F0E"/>
    <w:rsid w:val="006C6537"/>
    <w:rsid w:val="006D072D"/>
    <w:rsid w:val="006D1291"/>
    <w:rsid w:val="006D235C"/>
    <w:rsid w:val="006D3681"/>
    <w:rsid w:val="006E597C"/>
    <w:rsid w:val="006E6844"/>
    <w:rsid w:val="006F1918"/>
    <w:rsid w:val="006F2654"/>
    <w:rsid w:val="00702836"/>
    <w:rsid w:val="00703FC8"/>
    <w:rsid w:val="0071268C"/>
    <w:rsid w:val="00715593"/>
    <w:rsid w:val="0071685B"/>
    <w:rsid w:val="00720000"/>
    <w:rsid w:val="00732ED2"/>
    <w:rsid w:val="00734285"/>
    <w:rsid w:val="00735F05"/>
    <w:rsid w:val="00751D16"/>
    <w:rsid w:val="0075499B"/>
    <w:rsid w:val="00754A24"/>
    <w:rsid w:val="007563D5"/>
    <w:rsid w:val="00761578"/>
    <w:rsid w:val="00766CB6"/>
    <w:rsid w:val="00767816"/>
    <w:rsid w:val="00776426"/>
    <w:rsid w:val="00777E7D"/>
    <w:rsid w:val="0078520C"/>
    <w:rsid w:val="007A649D"/>
    <w:rsid w:val="007A65A9"/>
    <w:rsid w:val="007B4DEA"/>
    <w:rsid w:val="007B7D56"/>
    <w:rsid w:val="007C29FD"/>
    <w:rsid w:val="007C2ECA"/>
    <w:rsid w:val="007D39BC"/>
    <w:rsid w:val="007D66E0"/>
    <w:rsid w:val="007E0F84"/>
    <w:rsid w:val="007E2A9C"/>
    <w:rsid w:val="007E3723"/>
    <w:rsid w:val="007F004D"/>
    <w:rsid w:val="007F005E"/>
    <w:rsid w:val="007F1052"/>
    <w:rsid w:val="007F2824"/>
    <w:rsid w:val="007F309E"/>
    <w:rsid w:val="007F41C7"/>
    <w:rsid w:val="007F6522"/>
    <w:rsid w:val="007F7994"/>
    <w:rsid w:val="007F7E55"/>
    <w:rsid w:val="008001F0"/>
    <w:rsid w:val="0080517A"/>
    <w:rsid w:val="00807202"/>
    <w:rsid w:val="00811B2A"/>
    <w:rsid w:val="0082175B"/>
    <w:rsid w:val="00821C1B"/>
    <w:rsid w:val="0082362C"/>
    <w:rsid w:val="00836324"/>
    <w:rsid w:val="00836F43"/>
    <w:rsid w:val="00837B13"/>
    <w:rsid w:val="00840A96"/>
    <w:rsid w:val="0084357C"/>
    <w:rsid w:val="0084421F"/>
    <w:rsid w:val="008446E9"/>
    <w:rsid w:val="008448C6"/>
    <w:rsid w:val="00860A64"/>
    <w:rsid w:val="00866257"/>
    <w:rsid w:val="00867CB4"/>
    <w:rsid w:val="00870D34"/>
    <w:rsid w:val="00872203"/>
    <w:rsid w:val="00875DFC"/>
    <w:rsid w:val="00884C43"/>
    <w:rsid w:val="00887E5D"/>
    <w:rsid w:val="00896E26"/>
    <w:rsid w:val="008A1655"/>
    <w:rsid w:val="008A2A53"/>
    <w:rsid w:val="008B102D"/>
    <w:rsid w:val="008B2FDC"/>
    <w:rsid w:val="008B3ABA"/>
    <w:rsid w:val="008B4B4F"/>
    <w:rsid w:val="008B5718"/>
    <w:rsid w:val="008B5EB7"/>
    <w:rsid w:val="008C217F"/>
    <w:rsid w:val="008C3228"/>
    <w:rsid w:val="008C505F"/>
    <w:rsid w:val="008C5CFC"/>
    <w:rsid w:val="008C6334"/>
    <w:rsid w:val="008E06EF"/>
    <w:rsid w:val="008E428B"/>
    <w:rsid w:val="008E717E"/>
    <w:rsid w:val="008E784E"/>
    <w:rsid w:val="008F4153"/>
    <w:rsid w:val="008F4F8B"/>
    <w:rsid w:val="008F5FEE"/>
    <w:rsid w:val="008F723C"/>
    <w:rsid w:val="00903FC1"/>
    <w:rsid w:val="00910EEE"/>
    <w:rsid w:val="00910FBE"/>
    <w:rsid w:val="009126FC"/>
    <w:rsid w:val="00912F60"/>
    <w:rsid w:val="0091605D"/>
    <w:rsid w:val="009164B2"/>
    <w:rsid w:val="0091667F"/>
    <w:rsid w:val="00917EED"/>
    <w:rsid w:val="00920AA9"/>
    <w:rsid w:val="009226DF"/>
    <w:rsid w:val="009263CE"/>
    <w:rsid w:val="009300FA"/>
    <w:rsid w:val="00933665"/>
    <w:rsid w:val="00934451"/>
    <w:rsid w:val="0093781D"/>
    <w:rsid w:val="0094214B"/>
    <w:rsid w:val="009424D1"/>
    <w:rsid w:val="00942E13"/>
    <w:rsid w:val="00943E73"/>
    <w:rsid w:val="00944EEF"/>
    <w:rsid w:val="00946A60"/>
    <w:rsid w:val="00956DF4"/>
    <w:rsid w:val="00961605"/>
    <w:rsid w:val="0096547B"/>
    <w:rsid w:val="0097176E"/>
    <w:rsid w:val="0098651D"/>
    <w:rsid w:val="00993AD0"/>
    <w:rsid w:val="00996A28"/>
    <w:rsid w:val="00997841"/>
    <w:rsid w:val="00997E25"/>
    <w:rsid w:val="009A24B4"/>
    <w:rsid w:val="009B129C"/>
    <w:rsid w:val="009B1D6F"/>
    <w:rsid w:val="009B5C55"/>
    <w:rsid w:val="009C161B"/>
    <w:rsid w:val="009C1E83"/>
    <w:rsid w:val="009C370A"/>
    <w:rsid w:val="009C3C27"/>
    <w:rsid w:val="009C5031"/>
    <w:rsid w:val="009D03E2"/>
    <w:rsid w:val="009D42BA"/>
    <w:rsid w:val="009D4499"/>
    <w:rsid w:val="009D646D"/>
    <w:rsid w:val="009E1CC2"/>
    <w:rsid w:val="009E2AD7"/>
    <w:rsid w:val="009E4402"/>
    <w:rsid w:val="009E5516"/>
    <w:rsid w:val="009F054F"/>
    <w:rsid w:val="009F1CBA"/>
    <w:rsid w:val="009F24F0"/>
    <w:rsid w:val="009F46B9"/>
    <w:rsid w:val="00A015AA"/>
    <w:rsid w:val="00A022EB"/>
    <w:rsid w:val="00A02DB1"/>
    <w:rsid w:val="00A05291"/>
    <w:rsid w:val="00A05631"/>
    <w:rsid w:val="00A077D1"/>
    <w:rsid w:val="00A13882"/>
    <w:rsid w:val="00A170B2"/>
    <w:rsid w:val="00A221B3"/>
    <w:rsid w:val="00A24BB1"/>
    <w:rsid w:val="00A31DE9"/>
    <w:rsid w:val="00A31F82"/>
    <w:rsid w:val="00A40CFB"/>
    <w:rsid w:val="00A42AE1"/>
    <w:rsid w:val="00A4409C"/>
    <w:rsid w:val="00A47FF7"/>
    <w:rsid w:val="00A50A04"/>
    <w:rsid w:val="00A531DC"/>
    <w:rsid w:val="00A54AEC"/>
    <w:rsid w:val="00A63799"/>
    <w:rsid w:val="00A64A49"/>
    <w:rsid w:val="00A72BD1"/>
    <w:rsid w:val="00A75C0A"/>
    <w:rsid w:val="00A765CD"/>
    <w:rsid w:val="00A769AF"/>
    <w:rsid w:val="00A77E19"/>
    <w:rsid w:val="00A83EFC"/>
    <w:rsid w:val="00A85F77"/>
    <w:rsid w:val="00AA2497"/>
    <w:rsid w:val="00AA5FAE"/>
    <w:rsid w:val="00AA62A7"/>
    <w:rsid w:val="00AB18AE"/>
    <w:rsid w:val="00AB4BE1"/>
    <w:rsid w:val="00AB6D4B"/>
    <w:rsid w:val="00AC3C79"/>
    <w:rsid w:val="00AC6F40"/>
    <w:rsid w:val="00AD0A83"/>
    <w:rsid w:val="00AD0F24"/>
    <w:rsid w:val="00AD18E4"/>
    <w:rsid w:val="00AD31F5"/>
    <w:rsid w:val="00AD7C51"/>
    <w:rsid w:val="00AE0D00"/>
    <w:rsid w:val="00AE23ED"/>
    <w:rsid w:val="00AE2B9D"/>
    <w:rsid w:val="00AF2C19"/>
    <w:rsid w:val="00AF4139"/>
    <w:rsid w:val="00AF6925"/>
    <w:rsid w:val="00B046FA"/>
    <w:rsid w:val="00B0570B"/>
    <w:rsid w:val="00B05CC8"/>
    <w:rsid w:val="00B06843"/>
    <w:rsid w:val="00B113B4"/>
    <w:rsid w:val="00B22EBF"/>
    <w:rsid w:val="00B24578"/>
    <w:rsid w:val="00B2738B"/>
    <w:rsid w:val="00B328E0"/>
    <w:rsid w:val="00B42072"/>
    <w:rsid w:val="00B44434"/>
    <w:rsid w:val="00B47379"/>
    <w:rsid w:val="00B52AC3"/>
    <w:rsid w:val="00B57DC6"/>
    <w:rsid w:val="00B632A2"/>
    <w:rsid w:val="00B65DC1"/>
    <w:rsid w:val="00B669CE"/>
    <w:rsid w:val="00B67233"/>
    <w:rsid w:val="00B77658"/>
    <w:rsid w:val="00B8161B"/>
    <w:rsid w:val="00B82CC8"/>
    <w:rsid w:val="00B859D0"/>
    <w:rsid w:val="00B85C0A"/>
    <w:rsid w:val="00B91BC6"/>
    <w:rsid w:val="00BB1ADD"/>
    <w:rsid w:val="00BB4402"/>
    <w:rsid w:val="00BB7D62"/>
    <w:rsid w:val="00BC2CEA"/>
    <w:rsid w:val="00BD35FC"/>
    <w:rsid w:val="00BD4F41"/>
    <w:rsid w:val="00BD6A53"/>
    <w:rsid w:val="00BF2B37"/>
    <w:rsid w:val="00BF4676"/>
    <w:rsid w:val="00C04638"/>
    <w:rsid w:val="00C04CAC"/>
    <w:rsid w:val="00C119AF"/>
    <w:rsid w:val="00C17FEB"/>
    <w:rsid w:val="00C22276"/>
    <w:rsid w:val="00C2268F"/>
    <w:rsid w:val="00C2540A"/>
    <w:rsid w:val="00C254AB"/>
    <w:rsid w:val="00C26507"/>
    <w:rsid w:val="00C32111"/>
    <w:rsid w:val="00C35FE1"/>
    <w:rsid w:val="00C3707B"/>
    <w:rsid w:val="00C441AB"/>
    <w:rsid w:val="00C456FA"/>
    <w:rsid w:val="00C50628"/>
    <w:rsid w:val="00C51DA9"/>
    <w:rsid w:val="00C529C6"/>
    <w:rsid w:val="00C564D7"/>
    <w:rsid w:val="00C571C3"/>
    <w:rsid w:val="00C61399"/>
    <w:rsid w:val="00C62D68"/>
    <w:rsid w:val="00C636BC"/>
    <w:rsid w:val="00C7345C"/>
    <w:rsid w:val="00C74F0A"/>
    <w:rsid w:val="00C767DD"/>
    <w:rsid w:val="00C77D19"/>
    <w:rsid w:val="00C8026F"/>
    <w:rsid w:val="00C82C9C"/>
    <w:rsid w:val="00C865A0"/>
    <w:rsid w:val="00C95BB2"/>
    <w:rsid w:val="00C96672"/>
    <w:rsid w:val="00C96D2E"/>
    <w:rsid w:val="00CA1F1D"/>
    <w:rsid w:val="00CB0903"/>
    <w:rsid w:val="00CC1849"/>
    <w:rsid w:val="00CC2C0F"/>
    <w:rsid w:val="00CC4F1F"/>
    <w:rsid w:val="00CC53E1"/>
    <w:rsid w:val="00CD0DA6"/>
    <w:rsid w:val="00CD1096"/>
    <w:rsid w:val="00CD2A13"/>
    <w:rsid w:val="00CD3E43"/>
    <w:rsid w:val="00CE05B0"/>
    <w:rsid w:val="00CE3374"/>
    <w:rsid w:val="00CE41D4"/>
    <w:rsid w:val="00CF3699"/>
    <w:rsid w:val="00CF4857"/>
    <w:rsid w:val="00D02574"/>
    <w:rsid w:val="00D0307B"/>
    <w:rsid w:val="00D05094"/>
    <w:rsid w:val="00D0595E"/>
    <w:rsid w:val="00D06448"/>
    <w:rsid w:val="00D1596D"/>
    <w:rsid w:val="00D16158"/>
    <w:rsid w:val="00D16717"/>
    <w:rsid w:val="00D21827"/>
    <w:rsid w:val="00D259A5"/>
    <w:rsid w:val="00D4009D"/>
    <w:rsid w:val="00D41755"/>
    <w:rsid w:val="00D4392C"/>
    <w:rsid w:val="00D5123B"/>
    <w:rsid w:val="00D51C51"/>
    <w:rsid w:val="00D52D8B"/>
    <w:rsid w:val="00D61D26"/>
    <w:rsid w:val="00D63820"/>
    <w:rsid w:val="00D66E13"/>
    <w:rsid w:val="00D7232B"/>
    <w:rsid w:val="00D728B1"/>
    <w:rsid w:val="00D72D05"/>
    <w:rsid w:val="00D74211"/>
    <w:rsid w:val="00D80871"/>
    <w:rsid w:val="00D90962"/>
    <w:rsid w:val="00D963C4"/>
    <w:rsid w:val="00D97199"/>
    <w:rsid w:val="00D97C5C"/>
    <w:rsid w:val="00DA58B2"/>
    <w:rsid w:val="00DB46A3"/>
    <w:rsid w:val="00DB5916"/>
    <w:rsid w:val="00DB7B87"/>
    <w:rsid w:val="00DC04B6"/>
    <w:rsid w:val="00DC14E6"/>
    <w:rsid w:val="00DD0F0D"/>
    <w:rsid w:val="00DD2F2F"/>
    <w:rsid w:val="00DE496D"/>
    <w:rsid w:val="00DE4B9F"/>
    <w:rsid w:val="00DE5CDD"/>
    <w:rsid w:val="00DF0C3F"/>
    <w:rsid w:val="00DF33BE"/>
    <w:rsid w:val="00DF53D8"/>
    <w:rsid w:val="00DF773E"/>
    <w:rsid w:val="00E16A0A"/>
    <w:rsid w:val="00E30CBA"/>
    <w:rsid w:val="00E3234C"/>
    <w:rsid w:val="00E451A4"/>
    <w:rsid w:val="00E55BED"/>
    <w:rsid w:val="00E60723"/>
    <w:rsid w:val="00E61964"/>
    <w:rsid w:val="00E64916"/>
    <w:rsid w:val="00E74D70"/>
    <w:rsid w:val="00E75C8A"/>
    <w:rsid w:val="00E80363"/>
    <w:rsid w:val="00E80DD6"/>
    <w:rsid w:val="00E84BAE"/>
    <w:rsid w:val="00E96941"/>
    <w:rsid w:val="00EA352A"/>
    <w:rsid w:val="00EA605C"/>
    <w:rsid w:val="00EC7E99"/>
    <w:rsid w:val="00EE368F"/>
    <w:rsid w:val="00EE67DE"/>
    <w:rsid w:val="00EF26BC"/>
    <w:rsid w:val="00EF3C54"/>
    <w:rsid w:val="00EF483A"/>
    <w:rsid w:val="00EF5147"/>
    <w:rsid w:val="00EF5A47"/>
    <w:rsid w:val="00EF5B3F"/>
    <w:rsid w:val="00F00E8D"/>
    <w:rsid w:val="00F015FC"/>
    <w:rsid w:val="00F03C35"/>
    <w:rsid w:val="00F040DB"/>
    <w:rsid w:val="00F04E4D"/>
    <w:rsid w:val="00F06CBC"/>
    <w:rsid w:val="00F1131E"/>
    <w:rsid w:val="00F15EC1"/>
    <w:rsid w:val="00F22247"/>
    <w:rsid w:val="00F223D0"/>
    <w:rsid w:val="00F24EAD"/>
    <w:rsid w:val="00F337FC"/>
    <w:rsid w:val="00F35965"/>
    <w:rsid w:val="00F41B35"/>
    <w:rsid w:val="00F43823"/>
    <w:rsid w:val="00F47F1C"/>
    <w:rsid w:val="00F606AB"/>
    <w:rsid w:val="00F62603"/>
    <w:rsid w:val="00F628CF"/>
    <w:rsid w:val="00F6410D"/>
    <w:rsid w:val="00F708D3"/>
    <w:rsid w:val="00F809E7"/>
    <w:rsid w:val="00F83DEC"/>
    <w:rsid w:val="00F83E00"/>
    <w:rsid w:val="00F9094B"/>
    <w:rsid w:val="00FA141C"/>
    <w:rsid w:val="00FA18FA"/>
    <w:rsid w:val="00FA2265"/>
    <w:rsid w:val="00FA5C19"/>
    <w:rsid w:val="00FA7655"/>
    <w:rsid w:val="00FB1848"/>
    <w:rsid w:val="00FB26EB"/>
    <w:rsid w:val="00FB5D18"/>
    <w:rsid w:val="00FB75A6"/>
    <w:rsid w:val="00FC7E88"/>
    <w:rsid w:val="00FD074C"/>
    <w:rsid w:val="00FD291A"/>
    <w:rsid w:val="00FD4DCF"/>
    <w:rsid w:val="00FE1DDA"/>
    <w:rsid w:val="00FE3C1B"/>
    <w:rsid w:val="00FF0265"/>
    <w:rsid w:val="00FF0729"/>
    <w:rsid w:val="00FF0761"/>
    <w:rsid w:val="00FF2C75"/>
    <w:rsid w:val="00FF3E2D"/>
    <w:rsid w:val="00FF63DD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F5D5"/>
  <w15:docId w15:val="{5D2C2FF4-A5D4-4803-A0E9-2BF85DC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D70"/>
  </w:style>
  <w:style w:type="paragraph" w:styleId="Nadpis1">
    <w:name w:val="heading 1"/>
    <w:basedOn w:val="Normln"/>
    <w:next w:val="Normln"/>
    <w:link w:val="Nadpis1Char"/>
    <w:uiPriority w:val="99"/>
    <w:qFormat/>
    <w:rsid w:val="001C700B"/>
    <w:pPr>
      <w:keepNext/>
      <w:keepLines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700B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700B"/>
    <w:pPr>
      <w:keepNext/>
      <w:keepLines/>
      <w:spacing w:before="40" w:after="0"/>
      <w:outlineLvl w:val="2"/>
    </w:pPr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customStyle="1" w:styleId="000Odrky-Sbo15">
    <w:name w:val="000 Odrážky - Sbo15"/>
    <w:basedOn w:val="Normln"/>
    <w:qFormat/>
    <w:rsid w:val="00870D34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75C0A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D16158"/>
  </w:style>
  <w:style w:type="character" w:customStyle="1" w:styleId="Nadpis1Char">
    <w:name w:val="Nadpis 1 Char"/>
    <w:basedOn w:val="Standardnpsmoodstavce"/>
    <w:link w:val="Nadpis1"/>
    <w:uiPriority w:val="99"/>
    <w:rsid w:val="001C700B"/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700B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700B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1C70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C700B"/>
    <w:rPr>
      <w:rFonts w:ascii="Consolas" w:hAnsi="Consolas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1C70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C70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C700B"/>
    <w:rPr>
      <w:vertAlign w:val="superscript"/>
    </w:rPr>
  </w:style>
  <w:style w:type="character" w:styleId="CittHTML">
    <w:name w:val="HTML Cite"/>
    <w:basedOn w:val="Standardnpsmoodstavce"/>
    <w:uiPriority w:val="99"/>
    <w:semiHidden/>
    <w:unhideWhenUsed/>
    <w:rsid w:val="001C700B"/>
    <w:rPr>
      <w:i/>
      <w:iCs/>
    </w:rPr>
  </w:style>
  <w:style w:type="character" w:customStyle="1" w:styleId="cizojazycne">
    <w:name w:val="cizojazycne"/>
    <w:basedOn w:val="Standardnpsmoodstavce"/>
    <w:rsid w:val="001C700B"/>
  </w:style>
  <w:style w:type="character" w:styleId="Zstupntext">
    <w:name w:val="Placeholder Text"/>
    <w:basedOn w:val="Standardnpsmoodstavce"/>
    <w:uiPriority w:val="99"/>
    <w:semiHidden/>
    <w:rsid w:val="001C700B"/>
    <w:rPr>
      <w:color w:val="808080"/>
    </w:rPr>
  </w:style>
  <w:style w:type="character" w:styleId="Zdraznn">
    <w:name w:val="Emphasis"/>
    <w:basedOn w:val="Standardnpsmoodstavce"/>
    <w:uiPriority w:val="20"/>
    <w:qFormat/>
    <w:rsid w:val="001C700B"/>
    <w:rPr>
      <w:i/>
      <w:iCs/>
    </w:rPr>
  </w:style>
  <w:style w:type="character" w:styleId="Siln">
    <w:name w:val="Strong"/>
    <w:basedOn w:val="Standardnpsmoodstavce"/>
    <w:uiPriority w:val="22"/>
    <w:qFormat/>
    <w:rsid w:val="001C700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700B"/>
  </w:style>
  <w:style w:type="paragraph" w:styleId="Zpat">
    <w:name w:val="footer"/>
    <w:basedOn w:val="Normln"/>
    <w:link w:val="ZpatChar"/>
    <w:uiPriority w:val="99"/>
    <w:unhideWhenUsed/>
    <w:rsid w:val="001C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700B"/>
  </w:style>
  <w:style w:type="character" w:customStyle="1" w:styleId="a">
    <w:name w:val="a"/>
    <w:basedOn w:val="Standardnpsmoodstavce"/>
    <w:rsid w:val="001C700B"/>
  </w:style>
  <w:style w:type="paragraph" w:styleId="Revize">
    <w:name w:val="Revision"/>
    <w:hidden/>
    <w:uiPriority w:val="99"/>
    <w:semiHidden/>
    <w:rsid w:val="001C700B"/>
    <w:pPr>
      <w:spacing w:after="0" w:line="240" w:lineRule="auto"/>
    </w:pPr>
  </w:style>
  <w:style w:type="character" w:customStyle="1" w:styleId="hgkelc">
    <w:name w:val="hgkelc"/>
    <w:basedOn w:val="Standardnpsmoodstavce"/>
    <w:rsid w:val="001C700B"/>
  </w:style>
  <w:style w:type="character" w:customStyle="1" w:styleId="highlight">
    <w:name w:val="highlight"/>
    <w:basedOn w:val="Standardnpsmoodstavce"/>
    <w:rsid w:val="001C700B"/>
    <w:rPr>
      <w:rFonts w:cs="Times New Roman"/>
    </w:rPr>
  </w:style>
  <w:style w:type="character" w:customStyle="1" w:styleId="doi">
    <w:name w:val="doi"/>
    <w:basedOn w:val="Standardnpsmoodstavce"/>
    <w:rsid w:val="001C700B"/>
    <w:rPr>
      <w:rFonts w:cs="Times New Roman"/>
    </w:rPr>
  </w:style>
  <w:style w:type="paragraph" w:customStyle="1" w:styleId="References">
    <w:name w:val="References"/>
    <w:basedOn w:val="Normln"/>
    <w:autoRedefine/>
    <w:qFormat/>
    <w:rsid w:val="001C700B"/>
    <w:pPr>
      <w:keepNext/>
      <w:keepLines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aps/>
      <w:sz w:val="18"/>
      <w:szCs w:val="18"/>
      <w:lang w:eastAsia="en-GB"/>
    </w:rPr>
  </w:style>
  <w:style w:type="character" w:customStyle="1" w:styleId="acopre">
    <w:name w:val="acopre"/>
    <w:basedOn w:val="Standardnpsmoodstavce"/>
    <w:rsid w:val="001C700B"/>
    <w:rPr>
      <w:rFonts w:cs="Times New Roman"/>
    </w:rPr>
  </w:style>
  <w:style w:type="character" w:customStyle="1" w:styleId="field-label">
    <w:name w:val="field-label"/>
    <w:basedOn w:val="Standardnpsmoodstavce"/>
    <w:rsid w:val="001C700B"/>
    <w:rPr>
      <w:rFonts w:cs="Times New Roman"/>
    </w:rPr>
  </w:style>
  <w:style w:type="character" w:customStyle="1" w:styleId="field-items">
    <w:name w:val="field-items"/>
    <w:basedOn w:val="Standardnpsmoodstavce"/>
    <w:rsid w:val="001C700B"/>
    <w:rPr>
      <w:rFonts w:cs="Times New Roman"/>
    </w:rPr>
  </w:style>
  <w:style w:type="paragraph" w:customStyle="1" w:styleId="normalni">
    <w:name w:val="normalni"/>
    <w:basedOn w:val="Normln"/>
    <w:rsid w:val="001C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">
    <w:name w:val="Tabulka"/>
    <w:basedOn w:val="Normln"/>
    <w:autoRedefine/>
    <w:qFormat/>
    <w:rsid w:val="001C700B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color w:val="00B050"/>
      <w:lang w:eastAsia="cs-CZ"/>
    </w:rPr>
  </w:style>
  <w:style w:type="paragraph" w:customStyle="1" w:styleId="nova-legacy-e-listitem">
    <w:name w:val="nova-legacy-e-list__item"/>
    <w:basedOn w:val="Normln"/>
    <w:rsid w:val="001C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:32009L01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regional_policy/sources/docoffic/offici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book.cz/catalog/product/view/id/3108248?utm_source=dgt&amp;a_aid=5feb09ff2cee8&amp;a_bid=321a9fea&amp;data1=gclid_EAIaIQobChMIwrimxZP69AIVFpBoCR3brAGfEAQYASABEgL1mvD_BwE&amp;gclid=EAIaIQobChMIwrimxZP69AIVFpBoCR3brAGfEAQYASABEgL1mvD_Bw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E8B9-141C-49E4-A875-628C8277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9</TotalTime>
  <Pages>7</Pages>
  <Words>5788</Words>
  <Characters>34150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Milan Viturka</cp:lastModifiedBy>
  <cp:revision>8</cp:revision>
  <cp:lastPrinted>2022-01-03T10:10:00Z</cp:lastPrinted>
  <dcterms:created xsi:type="dcterms:W3CDTF">2023-03-08T15:17:00Z</dcterms:created>
  <dcterms:modified xsi:type="dcterms:W3CDTF">2023-03-08T18:40:00Z</dcterms:modified>
</cp:coreProperties>
</file>