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 pro bakalářské SZZ</w:t>
      </w:r>
    </w:p>
    <w:p w:rsidR="001E1045" w:rsidRPr="001E1045" w:rsidRDefault="001E1045" w:rsidP="001E1045">
      <w:pPr>
        <w:spacing w:before="100" w:beforeAutospacing="1" w:after="100" w:afterAutospacing="1"/>
        <w:jc w:val="left"/>
        <w:rPr>
          <w:rFonts w:eastAsia="Times New Roman"/>
          <w:sz w:val="24"/>
          <w:lang w:val="cs-CZ" w:eastAsia="cs-CZ"/>
        </w:rPr>
      </w:pPr>
      <w:hyperlink r:id="rId8" w:tgtFrame="_blank" w:history="1">
        <w:r w:rsidRPr="001E1045">
          <w:rPr>
            <w:rFonts w:eastAsia="Times New Roman"/>
            <w:color w:val="0000FF"/>
            <w:sz w:val="24"/>
            <w:u w:val="single"/>
            <w:lang w:val="cs-CZ" w:eastAsia="cs-CZ"/>
          </w:rPr>
          <w:t>Otázky z mikroekonomie pro obor Podniková informatika</w:t>
        </w:r>
      </w:hyperlink>
    </w:p>
    <w:p w:rsidR="001E1045" w:rsidRPr="001E1045" w:rsidRDefault="001E1045" w:rsidP="001E1045">
      <w:pPr>
        <w:spacing w:before="100" w:beforeAutospacing="1" w:after="100" w:afterAutospacing="1"/>
        <w:jc w:val="left"/>
        <w:outlineLvl w:val="2"/>
        <w:rPr>
          <w:rFonts w:eastAsia="Times New Roman"/>
          <w:b/>
          <w:bCs/>
          <w:sz w:val="27"/>
          <w:szCs w:val="27"/>
          <w:lang w:val="cs-CZ" w:eastAsia="cs-CZ"/>
        </w:rPr>
      </w:pPr>
      <w:r w:rsidRPr="001E1045">
        <w:rPr>
          <w:rFonts w:eastAsia="Times New Roman"/>
          <w:b/>
          <w:bCs/>
          <w:sz w:val="27"/>
          <w:szCs w:val="27"/>
          <w:lang w:val="cs-CZ" w:eastAsia="cs-CZ"/>
        </w:rPr>
        <w:t>PODNIKOVÁ EKONOMIKA</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Podnik a hospodářský systém</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Životní cyklus organizace</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Podnikové výrobní faktory a jejich charakteristika</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Systém podnikových cílů (typologie, cílové konflikty)</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Úkoly a struktura plánování v podniku</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Podniková organizace (úkoly, formální a neformální organizační struktura)</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Lidský pracovní výkon a činitele jej ovlivňující</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Odměňování práce a nástroje mzdové diferenciace</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Dlouhodobý hmotný (respektive investiční) majetek a materiál jako výrobní faktory</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Organizačně právní formy podnikání</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Živnostenské podnikání</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Sdružování podniků (cíle, druhy a formy spojování)</w:t>
      </w:r>
    </w:p>
    <w:p w:rsidR="001E1045" w:rsidRPr="001E1045" w:rsidRDefault="001E1045" w:rsidP="001E1045">
      <w:pPr>
        <w:numPr>
          <w:ilvl w:val="0"/>
          <w:numId w:val="1"/>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Funkce organizace</w:t>
      </w:r>
    </w:p>
    <w:p w:rsidR="001E1045" w:rsidRPr="001E1045" w:rsidRDefault="001E1045" w:rsidP="001E1045">
      <w:pPr>
        <w:spacing w:before="100" w:beforeAutospacing="1" w:after="100" w:afterAutospacing="1"/>
        <w:jc w:val="left"/>
        <w:outlineLvl w:val="2"/>
        <w:rPr>
          <w:rFonts w:eastAsia="Times New Roman"/>
          <w:b/>
          <w:bCs/>
          <w:sz w:val="27"/>
          <w:szCs w:val="27"/>
          <w:lang w:val="cs-CZ" w:eastAsia="cs-CZ"/>
        </w:rPr>
      </w:pPr>
      <w:r w:rsidRPr="001E1045">
        <w:rPr>
          <w:rFonts w:eastAsia="Times New Roman"/>
          <w:b/>
          <w:bCs/>
          <w:sz w:val="27"/>
          <w:szCs w:val="27"/>
          <w:lang w:val="cs-CZ" w:eastAsia="cs-CZ"/>
        </w:rPr>
        <w:t>Podniková informatika – Teoretická část</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Definujte a objasněte roli informací v podniku. Zdroje informací (hesla, práva, role).</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Základní charakteristiky informačních systémů. Historie vývoje informačních systémů.</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Dvojvrstvá a trojvrstvá a architektura typu klient – server. Podstata transakčního zpracování.</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Systémy ERP jako nástroj pro řízení podniku. Zpětnovazební schéma (dokumenty –transakce – reporty – informace – korekce odchylek).</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ERP systémy – základní vazby mezi funkčními bloky, tabulky, relace mezi tabulkami a objekty, okna – formuláře, zprávy, dataporty – ukázka objektů v systému MS Dynamics NAV.</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Základní kroky implementace ERP systémů (řízení projektu implementace ERP), možná rizika projektů, přínosy využívání ERP systémů pro zákazníka, rozbor možných námitek zákazníků v průběhu výběrového řízení, při implementaci a ve fázi samotného využívání ERP.</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„Bolesti“ v procesech zákazníka a přínosy v důsledku implementace ERP.</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Licence a licenční smlouva, implementační služby etapy.</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Workflow – popis, využití, výhody.</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Business Intelligence, modely OLAP, popis, využití.</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Teorie omezení (Theory of Constraints – TOC) – nákladový a výnosový pohled, řízení podniku podle úzkého místa, základní metriky TOC. Pět základních kroků TOC, přínosy TOC.</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Logické stromy a jejich použití, vazby stromových struktur – zejména CRT, Evaporating Cloud a FRT.</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Drum-Buffer-Rope, MRP, MRP-II a JIT.</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Metoda kritického řetězu – definice, popis, využití. Kritická cesta a kritický řetězec. Buffer management. Multitasking.</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lastRenderedPageBreak/>
        <w:t>Balanced Scorecard – definice, cíle, měřítka, popis jednotlivých oblastí.</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Metoda Kepner-Tregoe a její možné využití.</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Paretova analýza – princip a využití. Fishbone diagram/Ishikawa – principy a využití.</w:t>
      </w:r>
    </w:p>
    <w:p w:rsidR="001E1045" w:rsidRPr="001E1045" w:rsidRDefault="001E1045" w:rsidP="001E1045">
      <w:pPr>
        <w:numPr>
          <w:ilvl w:val="0"/>
          <w:numId w:val="2"/>
        </w:numPr>
        <w:spacing w:before="100" w:beforeAutospacing="1" w:after="100" w:afterAutospacing="1"/>
        <w:jc w:val="left"/>
        <w:rPr>
          <w:rFonts w:eastAsia="Times New Roman"/>
          <w:sz w:val="24"/>
          <w:lang w:val="cs-CZ" w:eastAsia="cs-CZ"/>
        </w:rPr>
      </w:pPr>
      <w:r w:rsidRPr="001E1045">
        <w:rPr>
          <w:rFonts w:eastAsia="Times New Roman"/>
          <w:sz w:val="24"/>
          <w:lang w:val="cs-CZ" w:eastAsia="cs-CZ"/>
        </w:rPr>
        <w:t>Gartnerova matice (Magic Quadrant) a její využití. Bostonská matice a životní cyklus ERP systémů.</w:t>
      </w:r>
    </w:p>
    <w:p w:rsidR="001E1045" w:rsidRPr="001E1045" w:rsidRDefault="001E1045" w:rsidP="001E1045">
      <w:pPr>
        <w:spacing w:before="100" w:beforeAutospacing="1" w:after="100" w:afterAutospacing="1"/>
        <w:jc w:val="left"/>
        <w:outlineLvl w:val="2"/>
        <w:rPr>
          <w:rFonts w:eastAsia="Times New Roman"/>
          <w:b/>
          <w:bCs/>
          <w:sz w:val="27"/>
          <w:szCs w:val="27"/>
          <w:lang w:val="cs-CZ" w:eastAsia="cs-CZ"/>
        </w:rPr>
      </w:pPr>
      <w:r w:rsidRPr="001E1045">
        <w:rPr>
          <w:rFonts w:eastAsia="Times New Roman"/>
          <w:b/>
          <w:bCs/>
          <w:sz w:val="27"/>
          <w:szCs w:val="27"/>
          <w:lang w:val="cs-CZ" w:eastAsia="cs-CZ"/>
        </w:rPr>
        <w:t>Podniková informatika – Praktická část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Otázky se týkají základních principů a používání ERP systému Microsoft Dynamics NAV podle probraného učiva v semestrech léto 2015/ podzim 2015.</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Předpokládá se ukázka na standardní databázi systému MS Dynamics NAV na školním počítači s napojením na projektor</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Otázky:</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 cílový segment uživatelů, co to znamená ERP jako mezinárodní produkt a aspekty s tím spojené, škálovatelnost ERP systému – modulárnost řešení a jeho význam, význam kvality podpory a rychlost odezvy, charakter distribučního řetězce, základní technologické přednosti ERP Dynamics NAV (původně Navision) jako je zálohování za chodu-verze a existence kalkulovaných polí. Poznámka autora (vyučujícího) : při vysvětlování možno využít přímo ERP MS Dynamics.</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přínosu.Typy oken – jako jsou karta, seznam, hlavička a řádky a maticové okno – praktická ukázka (např. Okno zboží dle lokací spuštěné z karty zboží). Typy polí v tabulkách a relace mezi tabulkami – praktická ukázka (co to znamená Look-Up a pole typu Option), Co je to relace mezi tabulkami. Poznámka autora (vyučujícího) : při vysvětlování možno využít přímo ERP MS Dynamics.</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Code Units, Dataporty, Menu a Vývojové prostředí systému – praktická ukázka při vstupu do vývojového prostředí Object Designer s použitím tabulky číslo 18, která je tímto nástrojem v demonstrační databázi přístupná. Co to je vlastnost pole. Ovládání myší nebo použitím kombinací funkčních kláves a ukázka nápovědy pro ovládání kláves (klávesové zkratky). Jak se dá zviditelnit nápověda. Jak se dá využít nápověda. Co to je relace mezi tabulkami. Kde se nastavuje (viz např. Tabulka 18, pole Kód země apod.)</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4. Kalkulovaná pole – vysvětlení principu tohoto pole</w:t>
      </w:r>
      <w:r w:rsidRPr="001E1045">
        <w:rPr>
          <w:rFonts w:eastAsia="Times New Roman"/>
          <w:sz w:val="24"/>
          <w:lang w:val="cs-CZ" w:eastAsia="cs-CZ"/>
        </w:rPr>
        <w:t xml:space="preserve"> Rozpad otázky: ukázka nastavení tohoto pole ve vývojovém prostředí. Typy možných výpočtů. Ukázka tohoto pole na kartě obchodního partnera (zákazník, dodavatel, účetní osnova), dále v okně Zboží dle Zboží dle lokací.</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klávesy F7 a využití tzv. plovoucího filtru (Flow Filter) – a praktická ukázka na seznamu zboží a v účetní osnově ve skupině účtů 602 pro různé časové okno (Od-Do). Ukázka dohledávání pomocí nástroje k tomu určeného. Kombinované dotazy. Co je to vzorec data (zvedně jako příklad </w:t>
      </w:r>
      <w:r w:rsidRPr="001E1045">
        <w:rPr>
          <w:rFonts w:eastAsia="Times New Roman"/>
          <w:sz w:val="24"/>
          <w:lang w:val="cs-CZ" w:eastAsia="cs-CZ"/>
        </w:rPr>
        <w:lastRenderedPageBreak/>
        <w:t>nastavení výrobního plánu v nastavení výroby a pak spusťte plán z okna vydané výrobní zakázky. Jak se zadává datum.</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6. Navigace z položek</w:t>
      </w:r>
      <w:r w:rsidRPr="001E1045">
        <w:rPr>
          <w:rFonts w:eastAsia="Times New Roman"/>
          <w:sz w:val="24"/>
          <w:lang w:val="cs-CZ" w:eastAsia="cs-CZ"/>
        </w:rPr>
        <w:t xml:space="preserve"> Rozpad otázky: vysvětlení a přínosy tohoto nástroje (Drill Down). Princip získání informace odkudkoli se mohu dostat kamkoli. Praktická ukázka navigace z položek. Využití v praxi. Jak vzniká položka dodavatele nebo zákazníka? Jaké typy položek dodavatele nebo zákazníka znáte?</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Sklad-&gt;Zásoby-&gt;Deníky fyzické inventury. Co to je kontextová nápověda. Nahrazení manuálů systémem helpů (popisy procedur „jak na to“). Poznámka autora (vyučujícího) : při vysvětlování vysvětlit inventuru a spustit funkci pro výpočet očekávaného množství ve skladě. Vysvětlit, že při zaúčtování se při správném nastavení opraví nejenom stavy skladů (ks), ale zaúčtují se i manka nebo přírůstky.</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Bezpečnost systému</w:t>
      </w:r>
      <w:r w:rsidRPr="001E1045">
        <w:rPr>
          <w:rFonts w:eastAsia="Times New Roman"/>
          <w:sz w:val="24"/>
          <w:lang w:val="cs-CZ" w:eastAsia="cs-CZ"/>
        </w:rPr>
        <w:t xml:space="preserve"> Rozpad otázky: (zdroj viz PWP Introduction ) rozsah bezpečnosti na databázi, firmu, tabulku a záznam. Zabezpečení pomocí hesel. Co to je ID a přiřazení uživatelů k předem nadefinovaným rolím a právům s tím spojených, přímé a nepřímé zápisy – viz definice rolí na vybrané objekty a jejich povolování. Protokol změn 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Pr="001E1045">
        <w:rPr>
          <w:rFonts w:eastAsia="Times New Roman"/>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 Statistika.</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10. Kmenová data II</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Množství na nákupních resp. prodejních objednávkách nacházejících se na různých záložkách karty zboží (obecné, plánování, doplnění apod.) Co to jsou položky zboží a položky ocenění a jaký je mezi nimi rozdíl. Kde se na kartě najde uložení zboží dle lokací. Co to je položka zboží? Co to je položka ocenění? Vysvětlete princip adjustace skladu-&gt;stanovení hodnoty a vazby položek nad kartami zboží a věcnými položkami v hlavní knize. Kde najdeme okono dostupnost dle období a jaké informace v okně mohu najít?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11. Nákupní objednávka (nákup zboží)</w:t>
      </w:r>
      <w:r w:rsidRPr="001E1045">
        <w:rPr>
          <w:rFonts w:eastAsia="Times New Roman"/>
          <w:sz w:val="24"/>
          <w:lang w:val="cs-CZ" w:eastAsia="cs-CZ"/>
        </w:rPr>
        <w:t xml:space="preserve"> Rozpad otázky: provedení nákupu vybraného zboží, vysvětlení postupu a po zaúčtování klávesou F11 ukázat dohledání vlivu této akce. Finance-&gt;Historie-&gt;Žurnály-&gt;Věcné položky, dále pak z karty dodavatele zobrazte jeho položky. Z karty zboží zobrazte položky zboží a položky ocenění.</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12. Prodejní objednávka (prodej zboží)</w:t>
      </w:r>
      <w:r w:rsidRPr="001E1045">
        <w:rPr>
          <w:rFonts w:eastAsia="Times New Roman"/>
          <w:sz w:val="24"/>
          <w:lang w:val="cs-CZ" w:eastAsia="cs-CZ"/>
        </w:rPr>
        <w:t xml:space="preserve"> Rozpad otázky: provedení prodeje vybraného zboží, vysvětlení postupu a po zaúčtování klávesou F11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 Vysvětlete pojem Nejlepší cena (Best Price)</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Využijte k vysvětlení xls sešit, který byl v rámci výuky jako pomůcka pro Vás vytvořen. Sešit v této fázi můžete použít jako pomůcku a to v elektronické nebo papírové verzi. Vysvětlete praktické aspekty této funkčnosti. Poznámka autora (vyučujícího) : ke studiu použijte příslušný soubor v tabulkovém procesoru a materiál týkající se sešitu požadavků. viz příklad z 3.11.2008.</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16. Účetní schéma a základy dimenzí (dimenze podrobněji v otázce 27)</w:t>
      </w:r>
      <w:r w:rsidRPr="001E1045">
        <w:rPr>
          <w:rFonts w:eastAsia="Times New Roman"/>
          <w:sz w:val="24"/>
          <w:lang w:val="cs-CZ" w:eastAsia="cs-CZ"/>
        </w:rPr>
        <w:t xml:space="preserve"> Rozpad otázky: Vysvětlení základní funkce účetního schéma na existujících demo schématech demo DB. Co je to dimenze (nastavení a využití). Co jsou to položky dimenze. Ukázka nastavení dimenzí v Nastavení financí a v nastavení obecném (hodnoty dimenzí). Vytvoření elementárního účetního schéma podle výběru (DPH vstup a výstup, náklady a výnosy, prodej zboží v různých oblastech,…)</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a D. Vyrovnání jednoduché již zaúčtované faktury platbou. Ukázka účetního žurnálu. Co jsou to otevřené zákaznické nebo dodavatelské položky. Základní struktura účetní osnovy (skutečné a virtuální účty).Vysvětlení polí Pohyb a Saldo a ukázka aplikace Flow filtru na data z účetní osnovy. Poznámka autora (vyučujícího) : viz příklad z 3.11.2008</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19. Základy analýz</w:t>
      </w:r>
      <w:r w:rsidRPr="001E1045">
        <w:rPr>
          <w:rFonts w:eastAsia="Times New Roman"/>
          <w:sz w:val="24"/>
          <w:lang w:val="cs-CZ" w:eastAsia="cs-CZ"/>
        </w:rPr>
        <w:t xml:space="preserve"> Rozpad otázky: vysvětlení základní funkcí analýzy (Prodej, Nákup nebo Zboží). Poznámka autora (vyučujícího) : Základní okna již vytvořených analýz. Ukažte, jak jsou nastaveny řádky a sloupce maticového okna vybraných analýz. Vysvětlete pojem aktualizace, tedy zahrnutí těch položek do analýzy, které byly vytvořeny po jejím posledním běhu. Filtrace.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20. Rozpočty, účetní schéma a analýzy</w:t>
      </w:r>
      <w:r w:rsidRPr="001E1045">
        <w:rPr>
          <w:rFonts w:eastAsia="Times New Roman"/>
          <w:sz w:val="24"/>
          <w:lang w:val="cs-CZ" w:eastAsia="cs-CZ"/>
        </w:rPr>
        <w:t xml:space="preserve"> Rozpad otázky: vysvětlení základní funkce rozpočtů, využití znalostí z otázky Účetní schéma a Základy;analýz a otázky 19 Základy analýz. </w:t>
      </w:r>
      <w:r w:rsidRPr="001E1045">
        <w:rPr>
          <w:rFonts w:eastAsia="Times New Roman"/>
          <w:sz w:val="24"/>
          <w:lang w:val="cs-CZ" w:eastAsia="cs-CZ"/>
        </w:rPr>
        <w:lastRenderedPageBreak/>
        <w:t>Poznámka autora (vyučujícího) : V rámci této otázky vysvětlit konstrukci rozpočtu, jeho použití při plánování Cash Flow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č.10 Kmenová data. Viz příklad nebo jeho varianta z 27.10.2008. Poz¬nám</w:t>
      </w:r>
      <w:r w:rsidRPr="001E1045">
        <w:rPr>
          <w:rFonts w:eastAsia="Times New Roman"/>
          <w:sz w:val="24"/>
          <w:lang w:val="cs-CZ" w:eastAsia="cs-CZ"/>
        </w:rPr>
        <w:softHyphen/>
        <w:t>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Viz příklad z 27.10.2008. Poz-námka autora (vyučujícího) : V rámci této otázky vysvětlit funkce uvedené v hlavičce otázky a jejich využití a výhody z toho plynoucí v reálném provozu. Provést transfer zboží z modré na červenou lokaci a ukázat na položkách zboží jak transfer proběhnul.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 a Ganttův graf. Jeho nastavení v menu výroba – časy dopředu a zpětně a jeho spuštění z okna vydané výrobní zakázky. Vytvořte jednoduchou VZ pro výrobek s dvěma komponentami (např. zadní nebo přední náboj z demo verze MS Dynamics NAV) a 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24. Hromadné objednávky,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Ukažte co je to prognóza a její využití při zadávání Hlavního rozvrhu výroby (Master Production Schedule) nebo prodeje. Viz příklad z 13.10.2008. Poz¬nám</w:t>
      </w:r>
      <w:r w:rsidRPr="001E1045">
        <w:rPr>
          <w:rFonts w:eastAsia="Times New Roman"/>
          <w:sz w:val="24"/>
          <w:lang w:val="cs-CZ" w:eastAsia="cs-CZ"/>
        </w:rPr>
        <w:softHyphen/>
        <w:t>ka autora (vyučujícího) : Ukažte, jak se projeví hromadná objednávka v řádcích Sešitu požadavků (viz otázka č. 15) a jak se po zaúčtování prodejní objednávky při aktivaci řádků HO myší projeví to, co již bylo prodáno a co se má ještě prodat. Vysvětlete proč je využívání HO výhodné.</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25. Řízení objednávek vratek (Return Management).</w:t>
      </w:r>
      <w:r w:rsidRPr="001E1045">
        <w:rPr>
          <w:rFonts w:eastAsia="Times New Roman"/>
          <w:sz w:val="24"/>
          <w:lang w:val="cs-CZ" w:eastAsia="cs-CZ"/>
        </w:rPr>
        <w:t xml:space="preserve"> Rozpad otázky: vysvětlení funkce hromadné objednávky (rámcové smlouvy), co je to skladová dostupnost (čistý a hrubý požadavek). Ukažte co je to prognóza a její využití při zadávání Hlavního rozvrhu výroby (Master Production Schedule) nebo prodeje. Viz příklad z 20.10.2008. Poz¬nám</w:t>
      </w:r>
      <w:r w:rsidRPr="001E1045">
        <w:rPr>
          <w:rFonts w:eastAsia="Times New Roman"/>
          <w:sz w:val="24"/>
          <w:lang w:val="cs-CZ" w:eastAsia="cs-CZ"/>
        </w:rPr>
        <w:softHyphen/>
        <w:t>ka autora (vyučujícího) : vysvětlete využití vytváření vratek v návaznosti na systémy řízení kvality jako je částečné nebo úplné vracení vadného-reklamovaného zboží, oprava reklamovaného zboží a náklady s tím spojené, vytváření dobropisů. Pro prezentaci použijte již nastavený příklad</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26. Řízení vtahů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27. Dimenze a jejich využití</w:t>
      </w:r>
      <w:r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Dopad tohoto nastavení na vytváření položek. Ukázka dimenzí u již vytvořených položek. Analýza dle dimenzí. Vysvětlete praktické aspekty této funkčnosti s návazností a srovnání s funkčnostmi OLAP.</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NO dvěma možnými způsoby, stačí jeden vysvětlit a druhý převést) a zaúčtovat a ukázat se zaúčtovalo automaticky.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vstavují? Namodelujte upomínku s pomocí již provedeného nastavení nebo Vašeho osobního nastavení. Vysvětlete praktické aspekty této funkčnosti. Jak se nastavuje rezervace, co je to rezervační položka. Jak se rezervace projevuje. Jak se dá rezervace zrušit. Materiál ke studiu – PWP Doplnění Trade kurzu , snímky 20–29.</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dokument typu Nákupní objednávka nebo Prodejní objednávka a další, následné zaúčtování (v pozdějším čase) následného dokumentu (např. jako poplatek za dopravu nebo příspěvek na prodej (allowance) a to podle studentem zvoleného typu poplatků v řádcích objednávek (viz Typ řádku jak je Účet, Zboží apod.). Před zaúčtováním tohoto dokumentu je potřeba přiřadit tento poplatek vybranému a již zaúčtovanému dokumentu a to podle Částky nebo Rovnoměrně. Vysvětlit tento princip přiřazení. Po zaúčtování ukázat dopad přitančí na položkách ocenění zboží.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31. Řízení skladů</w:t>
      </w:r>
      <w:r w:rsidRPr="001E1045">
        <w:rPr>
          <w:rFonts w:eastAsia="Times New Roman"/>
          <w:sz w:val="24"/>
          <w:lang w:val="cs-CZ" w:eastAsia="cs-CZ"/>
        </w:rPr>
        <w:t xml:space="preserve"> Rozpad otázky: vysvětlení pojmu Lokace a přihrádka a jejich nastavení. Příjmová a výdejová přihrádka. Příjem zboží na příjmovou přihrádku a následné naskladnění a s tím spojené dokumenty. Příjmová zóna (put-away zone), vyskladňovací zóna (picking zone) a dodávací zóna (shipping zone). Vyskladnění (picking) a dodávka (shipment) a s tím spojené dokumenty. Po zaúčtování dokumentů ukázat dopad na položkách zboží a položkách skladu. Ukažte položky skladu. Vysvětlete praktické aspekty této funkčnosti (typy podniků, kde se řízení skladů používá).</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 a to dříve než dostane firma konečnou fakturu. Po příjmu se tato očekávaná částka odúčtuje a zaúčtuje se reálný náklad. Přednášeno s pomocí PWP prezentace XXXIII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p>
    <w:p w:rsidR="003A4267" w:rsidRDefault="003A4267">
      <w:bookmarkStart w:id="0" w:name="_GoBack"/>
      <w:bookmarkEnd w:id="0"/>
    </w:p>
    <w:sectPr w:rsidR="003A42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E7" w:rsidRDefault="00C11AE7" w:rsidP="001E1045">
      <w:pPr>
        <w:spacing w:after="0"/>
      </w:pPr>
      <w:r>
        <w:separator/>
      </w:r>
    </w:p>
  </w:endnote>
  <w:endnote w:type="continuationSeparator" w:id="0">
    <w:p w:rsidR="00C11AE7" w:rsidRDefault="00C11AE7"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E7" w:rsidRDefault="00C11AE7" w:rsidP="001E1045">
      <w:pPr>
        <w:spacing w:after="0"/>
      </w:pPr>
      <w:r>
        <w:separator/>
      </w:r>
    </w:p>
  </w:footnote>
  <w:footnote w:type="continuationSeparator" w:id="0">
    <w:p w:rsidR="00C11AE7" w:rsidRDefault="00C11AE7" w:rsidP="001E1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19002"/>
      <w:docPartObj>
        <w:docPartGallery w:val="Page Numbers (Top of Page)"/>
        <w:docPartUnique/>
      </w:docPartObj>
    </w:sdtPr>
    <w:sdtContent>
      <w:p w:rsidR="001E1045" w:rsidRDefault="001E1045">
        <w:pPr>
          <w:pStyle w:val="Zhlav"/>
          <w:jc w:val="center"/>
        </w:pPr>
        <w:r>
          <w:fldChar w:fldCharType="begin"/>
        </w:r>
        <w:r>
          <w:instrText>PAGE   \* MERGEFORMAT</w:instrText>
        </w:r>
        <w:r>
          <w:fldChar w:fldCharType="separate"/>
        </w:r>
        <w:r w:rsidRPr="001E1045">
          <w:rPr>
            <w:noProof/>
            <w:lang w:val="cs-CZ"/>
          </w:rPr>
          <w:t>1</w:t>
        </w:r>
        <w:r>
          <w:fldChar w:fldCharType="end"/>
        </w:r>
      </w:p>
    </w:sdtContent>
  </w:sdt>
  <w:p w:rsidR="001E1045" w:rsidRDefault="001E10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5"/>
    <w:rsid w:val="001E1045"/>
    <w:rsid w:val="003A4267"/>
    <w:rsid w:val="00C11AE7"/>
    <w:rsid w:val="00C81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do/econ/soubory/katedry/kph/3915224/POIN_mikroekonomie.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16586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1</cp:revision>
  <dcterms:created xsi:type="dcterms:W3CDTF">2016-11-21T09:24:00Z</dcterms:created>
  <dcterms:modified xsi:type="dcterms:W3CDTF">2016-11-21T09:25:00Z</dcterms:modified>
</cp:coreProperties>
</file>