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7B" w:rsidRDefault="004A6B7B"/>
    <w:p w:rsidR="004A6B7B" w:rsidRPr="0065446A" w:rsidRDefault="004A6B7B" w:rsidP="0065446A">
      <w:pPr>
        <w:keepNext/>
        <w:tabs>
          <w:tab w:val="num" w:pos="567"/>
        </w:tabs>
        <w:spacing w:before="240" w:after="240"/>
        <w:ind w:left="567" w:hanging="567"/>
        <w:outlineLvl w:val="0"/>
        <w:rPr>
          <w:rFonts w:ascii="Times New Roman" w:hAnsi="Times New Roman"/>
          <w:b/>
          <w:bCs/>
          <w:caps/>
          <w:kern w:val="32"/>
          <w:sz w:val="32"/>
          <w:szCs w:val="32"/>
          <w:lang w:eastAsia="cs-CZ"/>
        </w:rPr>
      </w:pPr>
      <w:bookmarkStart w:id="0" w:name="_Toc182657653"/>
      <w:r>
        <w:rPr>
          <w:rFonts w:ascii="Times New Roman" w:hAnsi="Times New Roman"/>
          <w:b/>
          <w:bCs/>
          <w:caps/>
          <w:sz w:val="32"/>
          <w:szCs w:val="32"/>
          <w:lang w:eastAsia="sk-SK"/>
        </w:rPr>
        <w:t xml:space="preserve">12 </w:t>
      </w:r>
      <w:r w:rsidRPr="0065446A">
        <w:rPr>
          <w:rFonts w:ascii="Times New Roman" w:hAnsi="Times New Roman"/>
          <w:b/>
          <w:bCs/>
          <w:caps/>
          <w:sz w:val="32"/>
          <w:szCs w:val="32"/>
          <w:lang w:eastAsia="sk-SK"/>
        </w:rPr>
        <w:t>Manažerská</w:t>
      </w:r>
      <w:r w:rsidRPr="0065446A">
        <w:rPr>
          <w:rFonts w:ascii="Times New Roman" w:hAnsi="Times New Roman"/>
          <w:b/>
          <w:bCs/>
          <w:caps/>
          <w:kern w:val="32"/>
          <w:sz w:val="32"/>
          <w:szCs w:val="32"/>
          <w:lang w:eastAsia="cs-CZ"/>
        </w:rPr>
        <w:t xml:space="preserve"> etika</w:t>
      </w:r>
      <w:bookmarkEnd w:id="0"/>
    </w:p>
    <w:p w:rsidR="004A6B7B" w:rsidRPr="0065446A" w:rsidRDefault="004A6B7B" w:rsidP="0065446A">
      <w:pPr>
        <w:keepNext/>
        <w:numPr>
          <w:ilvl w:val="1"/>
          <w:numId w:val="0"/>
        </w:numPr>
        <w:tabs>
          <w:tab w:val="num" w:pos="576"/>
        </w:tabs>
        <w:spacing w:before="240" w:after="60"/>
        <w:ind w:left="576" w:hanging="576"/>
        <w:jc w:val="both"/>
        <w:outlineLvl w:val="1"/>
        <w:rPr>
          <w:rFonts w:ascii="Arial" w:hAnsi="Arial" w:cs="Arial"/>
          <w:b/>
          <w:bCs/>
          <w:i/>
          <w:iCs/>
          <w:sz w:val="28"/>
          <w:szCs w:val="28"/>
          <w:lang w:eastAsia="cs-CZ"/>
        </w:rPr>
      </w:pPr>
      <w:bookmarkStart w:id="1" w:name="_Toc182657654"/>
      <w:r>
        <w:rPr>
          <w:rFonts w:ascii="Arial" w:hAnsi="Arial" w:cs="Arial"/>
          <w:b/>
          <w:bCs/>
          <w:i/>
          <w:iCs/>
          <w:sz w:val="28"/>
          <w:szCs w:val="28"/>
          <w:lang w:eastAsia="cs-CZ"/>
        </w:rPr>
        <w:t xml:space="preserve">12.1 </w:t>
      </w:r>
      <w:r w:rsidRPr="0065446A">
        <w:rPr>
          <w:rFonts w:ascii="Arial" w:hAnsi="Arial" w:cs="Arial"/>
          <w:b/>
          <w:bCs/>
          <w:i/>
          <w:iCs/>
          <w:sz w:val="28"/>
          <w:szCs w:val="28"/>
          <w:lang w:eastAsia="cs-CZ"/>
        </w:rPr>
        <w:t>Vývojové trendy</w:t>
      </w:r>
      <w:bookmarkEnd w:id="1"/>
    </w:p>
    <w:p w:rsidR="004A6B7B" w:rsidRPr="0065446A" w:rsidRDefault="004A6B7B" w:rsidP="0065446A">
      <w:pPr>
        <w:jc w:val="both"/>
        <w:rPr>
          <w:rFonts w:ascii="Times New Roman" w:hAnsi="Times New Roman"/>
          <w:sz w:val="24"/>
          <w:szCs w:val="24"/>
          <w:lang w:eastAsia="cs-CZ"/>
        </w:rPr>
      </w:pPr>
      <w:r w:rsidRPr="0065446A">
        <w:rPr>
          <w:rFonts w:ascii="Times New Roman" w:hAnsi="Times New Roman"/>
          <w:sz w:val="24"/>
          <w:szCs w:val="24"/>
          <w:lang w:eastAsia="cs-CZ"/>
        </w:rPr>
        <w:t>Závěrečné tři dekády dvacátého století i začátek století jedenadvacátého jsou ve znamení rozmachu manažerské etiky a společenské odpovědnosti podnikání. Zdá se, jako by od čistě instrumentálního pojetí ekonomické teorie a praxe, kdy prostředek – zisk – je povyšován na cíl, docházelo k návratu ke „kořenům“ klasického evropského myšlení. Žádný z morálních filozofů, píše Bell</w:t>
      </w:r>
      <w:r w:rsidRPr="0065446A">
        <w:rPr>
          <w:rFonts w:ascii="Times New Roman" w:hAnsi="Times New Roman"/>
          <w:sz w:val="24"/>
          <w:szCs w:val="24"/>
          <w:vertAlign w:val="superscript"/>
          <w:lang w:eastAsia="cs-CZ"/>
        </w:rPr>
        <w:footnoteReference w:id="1"/>
      </w:r>
      <w:r w:rsidRPr="0065446A">
        <w:rPr>
          <w:rFonts w:ascii="Times New Roman" w:hAnsi="Times New Roman"/>
          <w:sz w:val="24"/>
          <w:szCs w:val="24"/>
          <w:lang w:eastAsia="cs-CZ"/>
        </w:rPr>
        <w:t>, od Aristotela a Tomáše Akvinského až po Johna Locka a Adama Smitha, nevnímal ekonomii odděleně od konkrétního souboru mravních cílů, které se na ni vztahují a žádný z nich nepovažoval výrobu statků za samoúčelnou. Vnímali ji naopak jako prostředek k ctnostné praxi či k dosažení civilizovaného života.</w:t>
      </w:r>
    </w:p>
    <w:p w:rsidR="004A6B7B" w:rsidRPr="0065446A" w:rsidRDefault="004A6B7B" w:rsidP="0065446A">
      <w:pPr>
        <w:jc w:val="both"/>
        <w:rPr>
          <w:rFonts w:ascii="Times New Roman" w:hAnsi="Times New Roman"/>
          <w:sz w:val="24"/>
          <w:szCs w:val="24"/>
          <w:lang w:eastAsia="cs-CZ"/>
        </w:rPr>
      </w:pPr>
      <w:r w:rsidRPr="0065446A">
        <w:rPr>
          <w:rFonts w:ascii="Times New Roman" w:hAnsi="Times New Roman"/>
          <w:sz w:val="24"/>
          <w:szCs w:val="24"/>
          <w:lang w:eastAsia="cs-CZ"/>
        </w:rPr>
        <w:t>Zřetelná artikulace etiky podnikání, připomíná Küng, a s tím související širší odpovědnost při řízení podniku, zazněla již v roce 1971 na prvním výročním zasedání ekonomických činitelů v Davosu a návazně pak na zasedáních následujících „ … na třetím davoském fóru roku 1973 byl předložen Kodex správného etického chování podnikového vedení, který jeho úlohu spatřuje v tom, že bude sloužit zákazníkům, zaměstnancům, finančníkům a společnosti a bude vyrovnávat jejich protikladné zájmy. Kodex vrcholí závěrečným ustanovením, že podnikatelský zisk je sice nutným prostředkem, nikoliv však konečným cílem každého podnikového vedení“.</w:t>
      </w:r>
      <w:r w:rsidRPr="0065446A">
        <w:rPr>
          <w:rFonts w:ascii="Times New Roman" w:hAnsi="Times New Roman"/>
          <w:sz w:val="24"/>
          <w:szCs w:val="24"/>
          <w:vertAlign w:val="superscript"/>
          <w:lang w:eastAsia="cs-CZ"/>
        </w:rPr>
        <w:footnoteReference w:id="2"/>
      </w:r>
    </w:p>
    <w:p w:rsidR="004A6B7B" w:rsidRPr="0065446A" w:rsidRDefault="004A6B7B" w:rsidP="0065446A">
      <w:pPr>
        <w:jc w:val="both"/>
        <w:rPr>
          <w:rFonts w:ascii="Times New Roman" w:hAnsi="Times New Roman"/>
          <w:sz w:val="24"/>
          <w:szCs w:val="24"/>
          <w:lang w:eastAsia="cs-CZ"/>
        </w:rPr>
      </w:pPr>
      <w:r w:rsidRPr="0065446A">
        <w:rPr>
          <w:rFonts w:ascii="Times New Roman" w:hAnsi="Times New Roman"/>
          <w:sz w:val="24"/>
          <w:szCs w:val="24"/>
          <w:lang w:eastAsia="cs-CZ"/>
        </w:rPr>
        <w:t>Dané pojetí přerůstá do podoby konceptu společenské odpovědnosti podnikání. Ta má řadu příznivců, má však i svoje odpůrce. Luknič</w:t>
      </w:r>
      <w:r w:rsidRPr="0065446A">
        <w:rPr>
          <w:rFonts w:ascii="Times New Roman" w:hAnsi="Times New Roman"/>
          <w:sz w:val="24"/>
          <w:szCs w:val="24"/>
          <w:vertAlign w:val="superscript"/>
          <w:lang w:eastAsia="cs-CZ"/>
        </w:rPr>
        <w:footnoteReference w:id="3"/>
      </w:r>
      <w:r w:rsidRPr="0065446A">
        <w:rPr>
          <w:rFonts w:ascii="Times New Roman" w:hAnsi="Times New Roman"/>
          <w:sz w:val="24"/>
          <w:szCs w:val="24"/>
          <w:lang w:eastAsia="cs-CZ"/>
        </w:rPr>
        <w:t xml:space="preserve"> upozorňuje, že tento koncept je v rozporu s názory liberálních ekonomů a připomíná v této souvislosti stanoviska M. Friedmana a J.K. Galbraitha. Ti vychází z premisy, že podnikatelé se řídí pouze ekonomickými zájmy, přičemž usměrňování jejich chování je dáno “neviditelnou rukou trhu” (neseriózní a nezodpovědný podnikatel nemůže být na trhu dlouhodobě úspěšný) a “viditelnou rukou státu”, která je schopna neetické a neodpovědné chování podnikatelů omezit rámcem právních předpisů. Očekávat od podnikatelů vlastní iniciativu ve smyslu realizace společenské odpovědnosti na úkor vlastního zisku a jdoucí nad rámec dvou základních regulátorů, tj. trhu a státu, je ve většině případů iluzí, a pokud by se tak v některých případech skutečně stalo, působilo by to v tržním hospodářství destabilizačně a ve svých důsledcích kontraproduktivně.</w:t>
      </w:r>
    </w:p>
    <w:p w:rsidR="004A6B7B" w:rsidRPr="0065446A" w:rsidRDefault="004A6B7B" w:rsidP="0065446A">
      <w:pPr>
        <w:jc w:val="both"/>
        <w:rPr>
          <w:rFonts w:ascii="Times New Roman" w:hAnsi="Times New Roman"/>
          <w:sz w:val="24"/>
          <w:szCs w:val="24"/>
          <w:lang w:eastAsia="cs-CZ"/>
        </w:rPr>
      </w:pPr>
      <w:r w:rsidRPr="0065446A">
        <w:rPr>
          <w:rFonts w:ascii="Times New Roman" w:hAnsi="Times New Roman"/>
          <w:sz w:val="24"/>
          <w:szCs w:val="24"/>
          <w:lang w:eastAsia="cs-CZ"/>
        </w:rPr>
        <w:t>Všimněme si teď blíže často citovaných názorů Friedmana. Ten ve svém významném článku, publikovaném již v roce 1970</w:t>
      </w:r>
      <w:r w:rsidRPr="0065446A">
        <w:rPr>
          <w:rFonts w:ascii="Times New Roman" w:hAnsi="Times New Roman"/>
          <w:sz w:val="24"/>
          <w:szCs w:val="24"/>
          <w:vertAlign w:val="superscript"/>
          <w:lang w:eastAsia="cs-CZ"/>
        </w:rPr>
        <w:footnoteReference w:id="4"/>
      </w:r>
      <w:r w:rsidRPr="0065446A">
        <w:rPr>
          <w:rFonts w:ascii="Times New Roman" w:hAnsi="Times New Roman"/>
          <w:sz w:val="24"/>
          <w:szCs w:val="24"/>
          <w:lang w:eastAsia="cs-CZ"/>
        </w:rPr>
        <w:t>, považuje diskuse o společenské odpovědnosti podnikání za analyticky vágní, terminologicky mlhavé a aplikace těchto myšlenek za principiálně škodlivé. Připomíná, že podnikání nelze personifikovat a proto „podnikání“ nemůže nést zodpovědnost. Stejně tak podnik. Odpovědnost mohou mít pouze lidé, v daném případě buď vlastníci podniků, nebo manažeři. Vzhledem k tomu, že většina diskusí se implicite vztahuje k top managementu korporací, věnuje pozornost právě této oblasti. Manažer stojící v čele podniku je zaměstnancem vlastníků. Má vůči nim přímou zodpovědnost za vedení podniku podle jejich přání. To většinou znamená vydělat tolik peněz, kolik je jen možné, při respektování základních pravidel, jak jsou vyjádřena v právním systému a etických zvyklostí.</w:t>
      </w:r>
    </w:p>
    <w:p w:rsidR="004A6B7B" w:rsidRPr="0065446A" w:rsidRDefault="004A6B7B" w:rsidP="0065446A">
      <w:pPr>
        <w:jc w:val="both"/>
        <w:rPr>
          <w:rFonts w:ascii="Times New Roman" w:hAnsi="Times New Roman"/>
          <w:sz w:val="24"/>
          <w:szCs w:val="24"/>
          <w:lang w:eastAsia="cs-CZ"/>
        </w:rPr>
      </w:pPr>
      <w:r w:rsidRPr="0065446A">
        <w:rPr>
          <w:rFonts w:ascii="Times New Roman" w:hAnsi="Times New Roman"/>
          <w:sz w:val="24"/>
          <w:szCs w:val="24"/>
          <w:lang w:eastAsia="cs-CZ"/>
        </w:rPr>
        <w:t xml:space="preserve">Manažer, soudí Friedman, není však samozřejmě pouze zaměstnancem sloužícím vlastníkům. Je rovněž individualitou s řadou dalších závazků, a to například vůči rodině, komunitám, jejichž je členem i vůči vlastnímu svědomí. Díky tomu může cítit povinnost věnovat část svých aktivit, resp. část svých prostředků na účely, které považuje za toho hodné. Může tak však činit pouze mimo rámec smlouvy, kterou uzavřel s vlastníky, tedy mimo rámec pracovní doby a s vlastními finančními prostředky. Může také pochopitelně smluvní vztah s vlastníky podniku vypovědět, pokud s jejich cíli a způsoby jejich dosahování nebude souhlasit, či bude mít za to, že další setrvávání v podniku mu brání v realizaci něčeho, co považuje za důležitější. </w:t>
      </w:r>
    </w:p>
    <w:p w:rsidR="004A6B7B" w:rsidRPr="0065446A" w:rsidRDefault="004A6B7B" w:rsidP="0065446A">
      <w:pPr>
        <w:jc w:val="both"/>
        <w:rPr>
          <w:rFonts w:ascii="Times New Roman" w:hAnsi="Times New Roman"/>
          <w:sz w:val="24"/>
          <w:szCs w:val="24"/>
          <w:lang w:eastAsia="cs-CZ"/>
        </w:rPr>
      </w:pPr>
      <w:r w:rsidRPr="0065446A">
        <w:rPr>
          <w:rFonts w:ascii="Times New Roman" w:hAnsi="Times New Roman"/>
          <w:sz w:val="24"/>
          <w:szCs w:val="24"/>
          <w:lang w:eastAsia="cs-CZ"/>
        </w:rPr>
        <w:t>To vše je plně legitimní. Co však Friedman považuje za principiálně nesprávné, je situace, kdy manažer realizuje svoji společenskou odpovědnost na „cizí účet“, tedy s využíváním prostředků podniku bez vědomí vlastníků, či proti jejich vůli. Tím, že utrácí prostředky na naplňování nějakých širších společenských cílů, byť veden nezištnými a ušlechtilými pohnutkami, se dopouští nemorálního chování, neboť o tyto  prostředky krátí ty, kterým náleží: akcionáře, zaměstnance, zákazníky. Ti by mohli tyto své peníze na dané cíle věnovat, kdyby si to přáli. Manažer to však činí za ně a bez jejich souhlasu. Dostává se tak do role samozvaného přerozdělovacího orgánu. Ukládá „dodatečné daně“ a zároveň rozhoduje, na co by se měl jejich výnos utratit.</w:t>
      </w:r>
    </w:p>
    <w:p w:rsidR="004A6B7B" w:rsidRPr="0065446A" w:rsidRDefault="004A6B7B" w:rsidP="0065446A">
      <w:pPr>
        <w:jc w:val="both"/>
        <w:rPr>
          <w:rFonts w:ascii="Times New Roman" w:hAnsi="Times New Roman"/>
          <w:sz w:val="24"/>
          <w:szCs w:val="24"/>
          <w:lang w:eastAsia="cs-CZ"/>
        </w:rPr>
      </w:pPr>
      <w:r w:rsidRPr="0065446A">
        <w:rPr>
          <w:rFonts w:ascii="Times New Roman" w:hAnsi="Times New Roman"/>
          <w:sz w:val="24"/>
          <w:szCs w:val="24"/>
          <w:lang w:eastAsia="cs-CZ"/>
        </w:rPr>
        <w:t>Připusťme však nyní, že tak činí s vědomím či dokonce na základě přání vlastníků. Pak je z hlediska manažera i vlastníků všechno v pořádku. Vlastníci po splnění všech závazků vůči smluvním stranám věnují část svého zisku například na dobročinné účely či nadstandardní péči o životní prostředí a manažer koná to, co je jeho povinností, tedy tyto záměry vlastníků realizuje. Friedman si však klade otázku, co vlastníky motivuje k takovým záměrům a zda může být realizace společenské odpovědnosti na podnikové úrovni efektivní.</w:t>
      </w:r>
    </w:p>
    <w:p w:rsidR="004A6B7B" w:rsidRPr="0065446A" w:rsidRDefault="004A6B7B" w:rsidP="0065446A">
      <w:pPr>
        <w:jc w:val="both"/>
        <w:rPr>
          <w:rFonts w:ascii="Times New Roman" w:hAnsi="Times New Roman"/>
          <w:sz w:val="24"/>
          <w:szCs w:val="24"/>
          <w:lang w:eastAsia="cs-CZ"/>
        </w:rPr>
      </w:pPr>
      <w:r w:rsidRPr="0065446A">
        <w:rPr>
          <w:rFonts w:ascii="Times New Roman" w:hAnsi="Times New Roman"/>
          <w:sz w:val="24"/>
          <w:szCs w:val="24"/>
          <w:lang w:eastAsia="cs-CZ"/>
        </w:rPr>
        <w:t>Stran motivace má za to, že v praxi je často doktrína společenské odpovědnosti jen zástěrkou pro konání, jež má jiné, než nezištné důvody. Co se týká efektivnosti vynaložených prostředků, vyslovuje Friedman silné pochybnosti o tom, že to, co normálně náleží státu, může stejně dobře, ne-li lépe vykonávat soukromý podnik. Stát je pro tyto účely vybaven celou soustavou demokratických mechanismů. Má vládu a další ústřední orgány disponující řadou speciálně připravených odborníků pro realizaci přerozdělovacích funkcí. Má vytvořen systém propracovaných ústavních, parlamentních a soudních opatření pro kontrolu těchto funkcí. Naproti tomu podnikatel, nikým nezvolený, má najednou zastoupit funkci zákonodárnou, exekutivní a soudní. Má rozhodnout, „koho zdanit“ a jak s výtěžkem naložit. Je málo pravděpodobné, že takové počínání bude efektivní, nehledě na to, že lze pochybovat o jeho legitimitě v obecném slova smyslu.</w:t>
      </w:r>
    </w:p>
    <w:p w:rsidR="004A6B7B" w:rsidRPr="0065446A" w:rsidRDefault="004A6B7B" w:rsidP="0065446A">
      <w:pPr>
        <w:keepNext/>
        <w:spacing w:before="240" w:after="240"/>
        <w:outlineLvl w:val="4"/>
        <w:rPr>
          <w:rFonts w:ascii="Times New Roman" w:hAnsi="Times New Roman"/>
          <w:bCs/>
          <w:iCs/>
          <w:sz w:val="24"/>
          <w:szCs w:val="24"/>
          <w:lang w:eastAsia="cs-CZ"/>
        </w:rPr>
      </w:pPr>
      <w:r w:rsidRPr="0065446A">
        <w:rPr>
          <w:rFonts w:ascii="Times New Roman" w:hAnsi="Times New Roman"/>
          <w:bCs/>
          <w:iCs/>
          <w:sz w:val="24"/>
          <w:szCs w:val="24"/>
          <w:lang w:eastAsia="cs-CZ"/>
        </w:rPr>
        <w:t>Z výše uvedené interpretace Friedmanovy stati vyplývají tři důležité skutečnosti:</w:t>
      </w:r>
    </w:p>
    <w:p w:rsidR="004A6B7B" w:rsidRPr="0065446A" w:rsidRDefault="004A6B7B" w:rsidP="0065446A">
      <w:pPr>
        <w:numPr>
          <w:ilvl w:val="0"/>
          <w:numId w:val="1"/>
        </w:numPr>
        <w:spacing w:after="240" w:line="288" w:lineRule="auto"/>
        <w:contextualSpacing/>
        <w:jc w:val="both"/>
        <w:rPr>
          <w:rFonts w:ascii="Times New Roman" w:hAnsi="Times New Roman"/>
          <w:sz w:val="24"/>
          <w:szCs w:val="24"/>
          <w:lang w:eastAsia="cs-CZ"/>
        </w:rPr>
      </w:pPr>
      <w:r w:rsidRPr="0065446A">
        <w:rPr>
          <w:rFonts w:ascii="Times New Roman" w:hAnsi="Times New Roman"/>
          <w:sz w:val="24"/>
          <w:szCs w:val="24"/>
          <w:lang w:eastAsia="cs-CZ"/>
        </w:rPr>
        <w:t>Friedman není zastáncem dosahování zisku za jakýchkoliv podmínek, nýbrž pouze při respektování právních předpisů a (což je třeba zdůraznit) „etických zvyklostí“. Zdá se, že právě názor na to, co konkrétně se za etické zvyklosti považuje, je podstatou rozdílu mezi názory liberálních ekonomů a zastánci doktríny společenské odpovědnosti podniku.</w:t>
      </w:r>
    </w:p>
    <w:p w:rsidR="004A6B7B" w:rsidRPr="0065446A" w:rsidRDefault="004A6B7B" w:rsidP="0065446A">
      <w:pPr>
        <w:numPr>
          <w:ilvl w:val="0"/>
          <w:numId w:val="1"/>
        </w:numPr>
        <w:spacing w:after="240" w:line="288" w:lineRule="auto"/>
        <w:contextualSpacing/>
        <w:jc w:val="both"/>
        <w:rPr>
          <w:rFonts w:ascii="Times New Roman" w:hAnsi="Times New Roman"/>
          <w:sz w:val="24"/>
          <w:szCs w:val="24"/>
          <w:lang w:eastAsia="cs-CZ"/>
        </w:rPr>
      </w:pPr>
      <w:r w:rsidRPr="0065446A">
        <w:rPr>
          <w:rFonts w:ascii="Times New Roman" w:hAnsi="Times New Roman"/>
          <w:sz w:val="24"/>
          <w:szCs w:val="24"/>
          <w:lang w:eastAsia="cs-CZ"/>
        </w:rPr>
        <w:t>Realizaci společenské odpovědnosti manažerů a především vlastníků principiálně neodmítá, ovšem jasně říká, že není tak možno činit způsobem, kdy jsou zcizována práva jiných, byť ve jménu ušlechtilých cílů.</w:t>
      </w:r>
    </w:p>
    <w:p w:rsidR="004A6B7B" w:rsidRPr="0065446A" w:rsidRDefault="004A6B7B" w:rsidP="0065446A">
      <w:pPr>
        <w:numPr>
          <w:ilvl w:val="0"/>
          <w:numId w:val="1"/>
        </w:numPr>
        <w:spacing w:after="240" w:line="288" w:lineRule="auto"/>
        <w:contextualSpacing/>
        <w:jc w:val="both"/>
        <w:rPr>
          <w:rFonts w:ascii="Times New Roman" w:hAnsi="Times New Roman"/>
          <w:sz w:val="24"/>
          <w:szCs w:val="24"/>
          <w:lang w:eastAsia="cs-CZ"/>
        </w:rPr>
      </w:pPr>
      <w:r w:rsidRPr="0065446A">
        <w:rPr>
          <w:rFonts w:ascii="Times New Roman" w:hAnsi="Times New Roman"/>
          <w:sz w:val="24"/>
          <w:szCs w:val="24"/>
          <w:lang w:eastAsia="cs-CZ"/>
        </w:rPr>
        <w:t>Nahrazování funkcí státu realizací společenské odpovědnosti podniků považuje za neefektivní.</w:t>
      </w:r>
    </w:p>
    <w:p w:rsidR="004A6B7B" w:rsidRPr="0065446A" w:rsidRDefault="004A6B7B" w:rsidP="0065446A">
      <w:pPr>
        <w:jc w:val="both"/>
        <w:rPr>
          <w:rFonts w:ascii="Times New Roman" w:hAnsi="Times New Roman"/>
          <w:sz w:val="24"/>
          <w:szCs w:val="24"/>
          <w:lang w:eastAsia="cs-CZ"/>
        </w:rPr>
      </w:pPr>
      <w:r w:rsidRPr="0065446A">
        <w:rPr>
          <w:rFonts w:ascii="Times New Roman" w:hAnsi="Times New Roman"/>
          <w:sz w:val="24"/>
          <w:szCs w:val="24"/>
          <w:lang w:eastAsia="cs-CZ"/>
        </w:rPr>
        <w:t>Zmíněná kritika tedy nepředstavuje totální negaci doktríny společenské odpovědnosti podniků. Je naopak dobře využitelná pro její analýzu a teoretické upřesnění. Od zmíněných aktivit však dle Friedmana nelze očekávat, že by měly začít v širší míře nahrazovat funkce státu, zejména co se týče přerozdělovacích procesů. Není to reálné, a pokud by přece k tomu začalo docházet, svědčilo by to o vážném selhání na straně státu.</w:t>
      </w:r>
    </w:p>
    <w:p w:rsidR="004A6B7B" w:rsidRPr="0065446A" w:rsidRDefault="004A6B7B" w:rsidP="0065446A">
      <w:pPr>
        <w:jc w:val="both"/>
        <w:rPr>
          <w:rFonts w:ascii="Times New Roman" w:hAnsi="Times New Roman"/>
          <w:sz w:val="24"/>
          <w:szCs w:val="24"/>
          <w:lang w:eastAsia="cs-CZ"/>
        </w:rPr>
      </w:pPr>
      <w:r w:rsidRPr="0065446A">
        <w:rPr>
          <w:rFonts w:ascii="Times New Roman" w:hAnsi="Times New Roman"/>
          <w:sz w:val="24"/>
          <w:szCs w:val="24"/>
          <w:lang w:eastAsia="cs-CZ"/>
        </w:rPr>
        <w:t>Dlužno připomenout, že od doby publikace uvedeného článku došlo k řadě zásadních změn. Vývojové tendence závěrečných dekád dvacátého století jasně směřují ke zvětšování podnikatelských subjektů, nabývajících podobu nadnárodních společností, s rozsáhlou strukturou, často provázanou do složitých sítí, napojujících na sebe velké množství dalších menších podnikatelských subjektů, operujících nezřídka v globálních rozměrech. Tyto subjekty disponují obrovským ekonomickým potenciálem a obrovskou mocí.</w:t>
      </w:r>
    </w:p>
    <w:p w:rsidR="004A6B7B" w:rsidRPr="0065446A" w:rsidRDefault="004A6B7B" w:rsidP="0065446A">
      <w:pPr>
        <w:jc w:val="both"/>
        <w:rPr>
          <w:rFonts w:ascii="Times New Roman" w:hAnsi="Times New Roman"/>
          <w:sz w:val="24"/>
          <w:szCs w:val="24"/>
          <w:lang w:eastAsia="cs-CZ"/>
        </w:rPr>
      </w:pPr>
      <w:r w:rsidRPr="0065446A">
        <w:rPr>
          <w:rFonts w:ascii="Times New Roman" w:hAnsi="Times New Roman"/>
          <w:sz w:val="24"/>
          <w:szCs w:val="24"/>
          <w:lang w:eastAsia="cs-CZ"/>
        </w:rPr>
        <w:t>Působení výše zmíněných dvou regulátorů - trhu a státu se vůči jejich moci stává problematickým. Trh, na kterém tyto subjekty působí, je na hony vzdálen trhu volné soutěže v modelech liberálních ekonomů, charakteristickému velkým počtem aktérů na straně nabídky i na straně poptávky, z nichž žádný jednotlivě nemůže situaci trhu jako celku zvrátit. Zmíněné gigantické podnikatelské subjekty zaujímají v nejednom případě takové dominantní postavení, že objektivní působení trhu může být značně oslabeno. Podobně je to i se státem. Jak známo, státy, zvláště s méně rozvinutou ekonomikou a s nižším potenciálem svého hospodářství, se dostávají do závislosti na nadnárodním kapitálu a mocným nadnárodním společnostem činí rozsáhlé ústupky. Kapitál operuje v globálním měřítku a volí si místo pro své podnikatelské aktivity podle kriterií vlastní výhodnosti, zatímco moc státu a z něho odvozené možnosti vlivu jsou omezeny pouze na jeho území.</w:t>
      </w:r>
    </w:p>
    <w:p w:rsidR="004A6B7B" w:rsidRDefault="004A6B7B" w:rsidP="0065446A">
      <w:pPr>
        <w:jc w:val="both"/>
        <w:rPr>
          <w:rFonts w:ascii="Times New Roman" w:hAnsi="Times New Roman"/>
          <w:sz w:val="24"/>
          <w:szCs w:val="24"/>
          <w:lang w:eastAsia="cs-CZ"/>
        </w:rPr>
      </w:pPr>
      <w:r w:rsidRPr="0065446A">
        <w:rPr>
          <w:rFonts w:ascii="Times New Roman" w:hAnsi="Times New Roman"/>
          <w:sz w:val="24"/>
          <w:szCs w:val="24"/>
          <w:lang w:eastAsia="cs-CZ"/>
        </w:rPr>
        <w:t>Rostoucí moc nadnárodních společností může vést k převaze jejich moci nad trhem a státem a z toho vyplývající nerovnováze. Vznikají obavy, že tyto subjekty využijí své mocenské převahy k ničím neomezené maximalizaci vlastního užitku, což povede k devastaci ekonomického, sociálního, politického i přírodního prostředí.</w:t>
      </w:r>
    </w:p>
    <w:p w:rsidR="004A6B7B" w:rsidRDefault="004A6B7B" w:rsidP="0065446A">
      <w:pPr>
        <w:jc w:val="both"/>
        <w:rPr>
          <w:rFonts w:ascii="Times New Roman" w:hAnsi="Times New Roman"/>
          <w:sz w:val="24"/>
          <w:szCs w:val="24"/>
          <w:lang w:eastAsia="cs-CZ"/>
        </w:rPr>
      </w:pPr>
    </w:p>
    <w:p w:rsidR="004A6B7B" w:rsidRDefault="004A6B7B" w:rsidP="0065446A">
      <w:pPr>
        <w:jc w:val="both"/>
        <w:rPr>
          <w:rFonts w:ascii="Times New Roman" w:hAnsi="Times New Roman"/>
          <w:sz w:val="24"/>
          <w:szCs w:val="24"/>
          <w:lang w:eastAsia="cs-CZ"/>
        </w:rPr>
      </w:pPr>
    </w:p>
    <w:p w:rsidR="004A6B7B" w:rsidRPr="0065446A" w:rsidRDefault="004A6B7B" w:rsidP="0065446A">
      <w:pPr>
        <w:jc w:val="both"/>
        <w:rPr>
          <w:rFonts w:ascii="Times New Roman" w:hAnsi="Times New Roman"/>
          <w:sz w:val="24"/>
          <w:szCs w:val="24"/>
          <w:lang w:eastAsia="cs-CZ"/>
        </w:rPr>
      </w:pPr>
      <w:r>
        <w:rPr>
          <w:rFonts w:ascii="Times New Roman" w:hAnsi="Times New Roman"/>
          <w:sz w:val="24"/>
          <w:szCs w:val="24"/>
          <w:lang w:eastAsia="cs-CZ"/>
        </w:rPr>
        <w:t xml:space="preserve">Převzato z publikace BLAŽEK, Ladislav, ČÁSTEK, Ondřej. </w:t>
      </w:r>
      <w:r w:rsidRPr="0065446A">
        <w:rPr>
          <w:rFonts w:ascii="Times New Roman" w:hAnsi="Times New Roman"/>
          <w:i/>
          <w:sz w:val="24"/>
          <w:szCs w:val="24"/>
          <w:lang w:eastAsia="cs-CZ"/>
        </w:rPr>
        <w:t>Management II. Průvodce studiem.</w:t>
      </w:r>
      <w:r>
        <w:rPr>
          <w:rFonts w:ascii="Times New Roman" w:hAnsi="Times New Roman"/>
          <w:sz w:val="24"/>
          <w:szCs w:val="24"/>
          <w:lang w:eastAsia="cs-CZ"/>
        </w:rPr>
        <w:t xml:space="preserve"> Brno : MU ESF 2007. s. 71 až 73</w:t>
      </w:r>
    </w:p>
    <w:p w:rsidR="004A6B7B" w:rsidRDefault="004A6B7B">
      <w:bookmarkStart w:id="2" w:name="_GoBack"/>
      <w:bookmarkEnd w:id="2"/>
    </w:p>
    <w:sectPr w:rsidR="004A6B7B" w:rsidSect="002C71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B7B" w:rsidRDefault="004A6B7B" w:rsidP="0065446A">
      <w:r>
        <w:separator/>
      </w:r>
    </w:p>
  </w:endnote>
  <w:endnote w:type="continuationSeparator" w:id="0">
    <w:p w:rsidR="004A6B7B" w:rsidRDefault="004A6B7B" w:rsidP="00654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B7B" w:rsidRDefault="004A6B7B" w:rsidP="0065446A">
      <w:r>
        <w:separator/>
      </w:r>
    </w:p>
  </w:footnote>
  <w:footnote w:type="continuationSeparator" w:id="0">
    <w:p w:rsidR="004A6B7B" w:rsidRDefault="004A6B7B" w:rsidP="0065446A">
      <w:r>
        <w:continuationSeparator/>
      </w:r>
    </w:p>
  </w:footnote>
  <w:footnote w:id="1">
    <w:p w:rsidR="004A6B7B" w:rsidRDefault="004A6B7B" w:rsidP="0065446A">
      <w:pPr>
        <w:pStyle w:val="FootnoteText"/>
      </w:pPr>
      <w:r>
        <w:rPr>
          <w:rStyle w:val="FootnoteReference"/>
        </w:rPr>
        <w:footnoteRef/>
      </w:r>
      <w:r>
        <w:t xml:space="preserve"> </w:t>
      </w:r>
      <w:r w:rsidRPr="00BA3E80">
        <w:rPr>
          <w:caps/>
        </w:rPr>
        <w:t>Bell</w:t>
      </w:r>
      <w:r>
        <w:t xml:space="preserve">, D. </w:t>
      </w:r>
      <w:r w:rsidRPr="00BA3E80">
        <w:rPr>
          <w:i/>
        </w:rPr>
        <w:t>Kulturní rozpory kapitalismu</w:t>
      </w:r>
      <w:r>
        <w:t>. Praha : Sociologické nakladatelství, 1999. s.10.</w:t>
      </w:r>
    </w:p>
  </w:footnote>
  <w:footnote w:id="2">
    <w:p w:rsidR="004A6B7B" w:rsidRDefault="004A6B7B" w:rsidP="0065446A">
      <w:pPr>
        <w:pStyle w:val="FootnoteText"/>
      </w:pPr>
      <w:r>
        <w:rPr>
          <w:rStyle w:val="FootnoteReference"/>
        </w:rPr>
        <w:footnoteRef/>
      </w:r>
      <w:r>
        <w:t xml:space="preserve"> </w:t>
      </w:r>
      <w:r w:rsidRPr="00BA3E80">
        <w:rPr>
          <w:caps/>
        </w:rPr>
        <w:t>Küng</w:t>
      </w:r>
      <w:r>
        <w:t xml:space="preserve">, H. </w:t>
      </w:r>
      <w:r w:rsidRPr="00BA3E80">
        <w:rPr>
          <w:i/>
        </w:rPr>
        <w:t>Weltethos für Welfpolitik und Weltwirtschaft</w:t>
      </w:r>
      <w:r>
        <w:t>. München: Piper Verlag, 1997.</w:t>
      </w:r>
    </w:p>
  </w:footnote>
  <w:footnote w:id="3">
    <w:p w:rsidR="004A6B7B" w:rsidRDefault="004A6B7B" w:rsidP="0065446A">
      <w:r w:rsidRPr="00482BA4">
        <w:rPr>
          <w:rStyle w:val="FootnoteReference"/>
          <w:sz w:val="20"/>
          <w:szCs w:val="20"/>
        </w:rPr>
        <w:footnoteRef/>
      </w:r>
      <w:r w:rsidRPr="00482BA4">
        <w:t xml:space="preserve"> </w:t>
      </w:r>
      <w:r w:rsidRPr="00973A55">
        <w:rPr>
          <w:caps/>
        </w:rPr>
        <w:t>Luknič</w:t>
      </w:r>
      <w:r w:rsidRPr="00482BA4">
        <w:t xml:space="preserve">, A. </w:t>
      </w:r>
      <w:r w:rsidRPr="00973A55">
        <w:rPr>
          <w:i/>
        </w:rPr>
        <w:t>Štvrtý rozmer podnikania - etika</w:t>
      </w:r>
      <w:r w:rsidRPr="00896D22">
        <w:t>. Bratislava: Slovak Academic Press, 1994.</w:t>
      </w:r>
    </w:p>
  </w:footnote>
  <w:footnote w:id="4">
    <w:p w:rsidR="004A6B7B" w:rsidRDefault="004A6B7B" w:rsidP="0065446A">
      <w:pPr>
        <w:pStyle w:val="FootnoteText"/>
      </w:pPr>
      <w:r>
        <w:rPr>
          <w:rStyle w:val="FootnoteReference"/>
        </w:rPr>
        <w:footnoteRef/>
      </w:r>
      <w:r>
        <w:t xml:space="preserve"> </w:t>
      </w:r>
      <w:r w:rsidRPr="00973A55">
        <w:rPr>
          <w:caps/>
        </w:rPr>
        <w:t>Friedman</w:t>
      </w:r>
      <w:r>
        <w:t xml:space="preserve">, M. </w:t>
      </w:r>
      <w:r w:rsidRPr="00973A55">
        <w:rPr>
          <w:i/>
        </w:rPr>
        <w:t>The Social Responsibility of Business Is to Increase Its Profits</w:t>
      </w:r>
      <w:r>
        <w:t>. New York Times Magazíne, Sept. 1970.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E3D"/>
    <w:multiLevelType w:val="hybridMultilevel"/>
    <w:tmpl w:val="32C4E966"/>
    <w:lvl w:ilvl="0" w:tplc="931AE85A">
      <w:start w:val="1"/>
      <w:numFmt w:val="lowerLetter"/>
      <w:lvlText w:val="%1)"/>
      <w:lvlJc w:val="left"/>
      <w:pPr>
        <w:tabs>
          <w:tab w:val="num" w:pos="720"/>
        </w:tabs>
        <w:ind w:left="720" w:hanging="360"/>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oNotDisplayPageBoundari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46A"/>
    <w:rsid w:val="002C71D7"/>
    <w:rsid w:val="00482BA4"/>
    <w:rsid w:val="004A6B7B"/>
    <w:rsid w:val="004C0FCA"/>
    <w:rsid w:val="0065446A"/>
    <w:rsid w:val="007B1196"/>
    <w:rsid w:val="00896D22"/>
    <w:rsid w:val="00973A55"/>
    <w:rsid w:val="009D11F0"/>
    <w:rsid w:val="00BA3E80"/>
    <w:rsid w:val="00C349D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1D7"/>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446A"/>
    <w:rPr>
      <w:sz w:val="20"/>
      <w:szCs w:val="20"/>
    </w:rPr>
  </w:style>
  <w:style w:type="character" w:customStyle="1" w:styleId="FootnoteTextChar">
    <w:name w:val="Footnote Text Char"/>
    <w:basedOn w:val="DefaultParagraphFont"/>
    <w:link w:val="FootnoteText"/>
    <w:uiPriority w:val="99"/>
    <w:semiHidden/>
    <w:locked/>
    <w:rsid w:val="0065446A"/>
    <w:rPr>
      <w:rFonts w:cs="Times New Roman"/>
      <w:sz w:val="20"/>
      <w:szCs w:val="20"/>
    </w:rPr>
  </w:style>
  <w:style w:type="character" w:styleId="FootnoteReference">
    <w:name w:val="footnote reference"/>
    <w:basedOn w:val="DefaultParagraphFont"/>
    <w:uiPriority w:val="99"/>
    <w:semiHidden/>
    <w:rsid w:val="0065446A"/>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1325</Words>
  <Characters>7824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Blazek Ladislav</dc:creator>
  <cp:keywords/>
  <dc:description/>
  <cp:lastModifiedBy>Laďa</cp:lastModifiedBy>
  <cp:revision>2</cp:revision>
  <dcterms:created xsi:type="dcterms:W3CDTF">2015-09-08T14:03:00Z</dcterms:created>
  <dcterms:modified xsi:type="dcterms:W3CDTF">2015-09-20T11:16:00Z</dcterms:modified>
</cp:coreProperties>
</file>