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9" w:rsidRDefault="00C349D9"/>
    <w:p w:rsidR="00FD71E8" w:rsidRDefault="00FD71E8" w:rsidP="00FD71E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157C">
        <w:rPr>
          <w:rFonts w:ascii="Times New Roman" w:hAnsi="Times New Roman" w:cs="Times New Roman"/>
          <w:b/>
          <w:color w:val="0000FF"/>
          <w:sz w:val="28"/>
          <w:szCs w:val="28"/>
        </w:rPr>
        <w:t>T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07</w:t>
      </w:r>
      <w:r w:rsidRPr="0014157C">
        <w:rPr>
          <w:rFonts w:ascii="Times New Roman" w:hAnsi="Times New Roman" w:cs="Times New Roman"/>
          <w:b/>
          <w:sz w:val="28"/>
          <w:szCs w:val="28"/>
        </w:rPr>
        <w:t xml:space="preserve"> Řízení vztahu podniku k</w:t>
      </w:r>
      <w:r>
        <w:rPr>
          <w:rFonts w:ascii="Times New Roman" w:hAnsi="Times New Roman" w:cs="Times New Roman"/>
          <w:b/>
          <w:sz w:val="28"/>
          <w:szCs w:val="28"/>
        </w:rPr>
        <w:t xml:space="preserve"> dodavatelům</w:t>
      </w:r>
      <w:r w:rsidRPr="009503A3">
        <w:rPr>
          <w:rFonts w:ascii="Times New Roman" w:hAnsi="Times New Roman" w:cs="Times New Roman"/>
          <w:sz w:val="24"/>
          <w:szCs w:val="24"/>
        </w:rPr>
        <w:t>.</w:t>
      </w:r>
    </w:p>
    <w:p w:rsidR="008165B9" w:rsidRDefault="008165B9" w:rsidP="00032E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návaznosti na prohlubující se dělbu práce se podnik zpravidla specializuje převážně jen na ty činnosti, které dokáže realizovat lépe a levněji než jiní výrobci, vše ostatní vyčleňuje vně podniku. To je hlavní myšlenka outsourcingu. </w:t>
      </w:r>
      <w:r w:rsidR="00D701EA" w:rsidRPr="00D701EA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(viz. </w:t>
      </w:r>
      <w:hyperlink r:id="rId5" w:history="1">
        <w:r w:rsidR="00D701EA" w:rsidRPr="00B56F79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Outsourcing</w:t>
        </w:r>
      </w:hyperlink>
      <w:r w:rsidR="00D701EA" w:rsidRPr="00D701EA">
        <w:rPr>
          <w:rFonts w:ascii="Times New Roman" w:hAnsi="Times New Roman" w:cs="Times New Roman"/>
          <w:b/>
          <w:i/>
          <w:color w:val="7030A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01EA" w:rsidRDefault="00D701EA" w:rsidP="00032E38">
      <w:pPr>
        <w:spacing w:after="12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 se touto cestou stává stále</w:t>
      </w:r>
      <w:r w:rsidR="00032E38">
        <w:rPr>
          <w:rFonts w:ascii="Times New Roman" w:hAnsi="Times New Roman" w:cs="Times New Roman"/>
          <w:sz w:val="24"/>
          <w:szCs w:val="24"/>
        </w:rPr>
        <w:t xml:space="preserve"> více závislý</w:t>
      </w:r>
      <w:r>
        <w:rPr>
          <w:rFonts w:ascii="Times New Roman" w:hAnsi="Times New Roman" w:cs="Times New Roman"/>
          <w:sz w:val="24"/>
          <w:szCs w:val="24"/>
        </w:rPr>
        <w:t xml:space="preserve"> na dodavatelích. Počet dodavatelů roste a roste i jejich význam. </w:t>
      </w:r>
      <w:r w:rsidR="00821DA2">
        <w:rPr>
          <w:rFonts w:ascii="Times New Roman" w:hAnsi="Times New Roman" w:cs="Times New Roman"/>
          <w:sz w:val="24"/>
          <w:szCs w:val="24"/>
        </w:rPr>
        <w:t xml:space="preserve">V dané souvislosti je nezbytné se věnovat systematickému hodnocení dodavatelů, a to jak stávajících tak zejména nových. </w:t>
      </w:r>
      <w:r w:rsidR="00821DA2" w:rsidRPr="00AE4E90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(viz. </w:t>
      </w:r>
      <w:hyperlink r:id="rId6" w:history="1">
        <w:r w:rsidR="00821DA2" w:rsidRPr="00AA18CD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Analýza a v</w:t>
        </w:r>
        <w:r w:rsidR="00821DA2" w:rsidRPr="00AA18CD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o</w:t>
        </w:r>
        <w:r w:rsidR="00821DA2" w:rsidRPr="00AA18CD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lba dodavatele</w:t>
        </w:r>
      </w:hyperlink>
      <w:r w:rsidR="00821DA2" w:rsidRPr="00AE4E90">
        <w:rPr>
          <w:rFonts w:ascii="Times New Roman" w:hAnsi="Times New Roman" w:cs="Times New Roman"/>
          <w:b/>
          <w:i/>
          <w:color w:val="7030A0"/>
          <w:sz w:val="24"/>
          <w:szCs w:val="24"/>
        </w:rPr>
        <w:t>)</w:t>
      </w:r>
    </w:p>
    <w:p w:rsidR="00032E38" w:rsidRDefault="00F617EC" w:rsidP="00032E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17EC">
        <w:rPr>
          <w:rFonts w:ascii="Times New Roman" w:hAnsi="Times New Roman" w:cs="Times New Roman"/>
          <w:sz w:val="24"/>
          <w:szCs w:val="24"/>
        </w:rPr>
        <w:t xml:space="preserve">Charakteristickým </w:t>
      </w:r>
      <w:r>
        <w:rPr>
          <w:rFonts w:ascii="Times New Roman" w:hAnsi="Times New Roman" w:cs="Times New Roman"/>
          <w:sz w:val="24"/>
          <w:szCs w:val="24"/>
        </w:rPr>
        <w:t>pro</w:t>
      </w:r>
      <w:r w:rsidRPr="00F617EC">
        <w:rPr>
          <w:rFonts w:ascii="Times New Roman" w:hAnsi="Times New Roman" w:cs="Times New Roman"/>
          <w:sz w:val="24"/>
          <w:szCs w:val="24"/>
        </w:rPr>
        <w:t>jevem</w:t>
      </w:r>
      <w:r>
        <w:rPr>
          <w:rFonts w:ascii="Times New Roman" w:hAnsi="Times New Roman" w:cs="Times New Roman"/>
          <w:sz w:val="24"/>
          <w:szCs w:val="24"/>
        </w:rPr>
        <w:t xml:space="preserve"> postupující dělby práce na základě specializace, kdy na tvorbě hodnoty pro zákazníka se podílí stále větší počet podniků, je rozvoj dodavatelských řetězců.</w:t>
      </w:r>
      <w:r w:rsidR="00204B48">
        <w:rPr>
          <w:rFonts w:ascii="Times New Roman" w:hAnsi="Times New Roman" w:cs="Times New Roman"/>
          <w:sz w:val="24"/>
          <w:szCs w:val="24"/>
        </w:rPr>
        <w:t xml:space="preserve"> </w:t>
      </w:r>
      <w:r w:rsidR="00032E38">
        <w:rPr>
          <w:rFonts w:ascii="Times New Roman" w:hAnsi="Times New Roman" w:cs="Times New Roman"/>
          <w:sz w:val="24"/>
          <w:szCs w:val="24"/>
        </w:rPr>
        <w:t>Ve stávajícím pojetí dodavatelského řetězce již nejde jen o stranu dodavatelů předmětného podniku, ale též o stranu odběratelů s vyústěním až ke konečným zákazníkům.</w:t>
      </w:r>
      <w:r w:rsidR="00AE4E90">
        <w:rPr>
          <w:rFonts w:ascii="Times New Roman" w:hAnsi="Times New Roman" w:cs="Times New Roman"/>
          <w:sz w:val="24"/>
          <w:szCs w:val="24"/>
        </w:rPr>
        <w:t xml:space="preserve"> </w:t>
      </w:r>
      <w:r w:rsidR="00AE4E90" w:rsidRPr="00DA5C75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(viz </w:t>
      </w:r>
      <w:hyperlink r:id="rId7" w:history="1">
        <w:r w:rsidR="00AE4E90" w:rsidRPr="00AA18CD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Po</w:t>
        </w:r>
        <w:r w:rsidR="00AE4E90" w:rsidRPr="00AA18CD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d</w:t>
        </w:r>
        <w:r w:rsidR="00AE4E90" w:rsidRPr="00AA18CD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stata SCM</w:t>
        </w:r>
      </w:hyperlink>
      <w:r w:rsidR="00AE4E90" w:rsidRPr="00DA5C75">
        <w:rPr>
          <w:rFonts w:ascii="Times New Roman" w:hAnsi="Times New Roman" w:cs="Times New Roman"/>
          <w:b/>
          <w:i/>
          <w:color w:val="7030A0"/>
          <w:sz w:val="24"/>
          <w:szCs w:val="24"/>
        </w:rPr>
        <w:t>)</w:t>
      </w:r>
      <w:r w:rsidR="00204B48">
        <w:rPr>
          <w:rFonts w:ascii="Times New Roman" w:hAnsi="Times New Roman" w:cs="Times New Roman"/>
          <w:b/>
          <w:i/>
          <w:color w:val="7030A0"/>
          <w:sz w:val="24"/>
          <w:szCs w:val="24"/>
        </w:rPr>
        <w:t>,</w:t>
      </w:r>
      <w:r w:rsidRPr="00DA5C7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04B48" w:rsidRPr="00204B48">
        <w:rPr>
          <w:rFonts w:ascii="Times New Roman" w:hAnsi="Times New Roman" w:cs="Times New Roman"/>
          <w:i/>
          <w:color w:val="7030A0"/>
          <w:sz w:val="24"/>
          <w:szCs w:val="24"/>
        </w:rPr>
        <w:t>(</w:t>
      </w:r>
      <w:r w:rsidR="007E07F9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viz </w:t>
      </w:r>
      <w:hyperlink r:id="rId8" w:history="1">
        <w:proofErr w:type="spellStart"/>
        <w:r w:rsidR="00204B48" w:rsidRPr="0013186F">
          <w:rPr>
            <w:rStyle w:val="Hypertextovodkaz"/>
            <w:rFonts w:ascii="Times New Roman" w:hAnsi="Times New Roman" w:cs="Times New Roman"/>
            <w:b/>
            <w:bCs/>
            <w:i/>
            <w:sz w:val="24"/>
            <w:szCs w:val="24"/>
          </w:rPr>
          <w:t>D</w:t>
        </w:r>
        <w:r w:rsidR="004A7372" w:rsidRPr="0013186F">
          <w:rPr>
            <w:rStyle w:val="Hypertextovodkaz"/>
            <w:rFonts w:ascii="Times New Roman" w:hAnsi="Times New Roman" w:cs="Times New Roman"/>
            <w:b/>
            <w:bCs/>
            <w:i/>
            <w:sz w:val="24"/>
            <w:szCs w:val="24"/>
          </w:rPr>
          <w:t>efini</w:t>
        </w:r>
        <w:r w:rsidR="004A7372" w:rsidRPr="0013186F">
          <w:rPr>
            <w:rStyle w:val="Hypertextovodkaz"/>
            <w:rFonts w:ascii="Times New Roman" w:hAnsi="Times New Roman" w:cs="Times New Roman"/>
            <w:b/>
            <w:bCs/>
            <w:i/>
            <w:sz w:val="24"/>
            <w:szCs w:val="24"/>
          </w:rPr>
          <w:t>n</w:t>
        </w:r>
        <w:r w:rsidR="004A7372" w:rsidRPr="0013186F">
          <w:rPr>
            <w:rStyle w:val="Hypertextovodkaz"/>
            <w:rFonts w:ascii="Times New Roman" w:hAnsi="Times New Roman" w:cs="Times New Roman"/>
            <w:b/>
            <w:bCs/>
            <w:i/>
            <w:sz w:val="24"/>
            <w:szCs w:val="24"/>
          </w:rPr>
          <w:t>g</w:t>
        </w:r>
        <w:proofErr w:type="spellEnd"/>
        <w:r w:rsidR="00204B48" w:rsidRPr="0013186F">
          <w:rPr>
            <w:rStyle w:val="Hypertextovodkaz"/>
            <w:rFonts w:ascii="Times New Roman" w:hAnsi="Times New Roman" w:cs="Times New Roman"/>
            <w:b/>
            <w:bCs/>
            <w:i/>
            <w:sz w:val="24"/>
            <w:szCs w:val="24"/>
          </w:rPr>
          <w:t xml:space="preserve"> SCM</w:t>
        </w:r>
      </w:hyperlink>
      <w:r w:rsidR="00204B48" w:rsidRPr="00204B48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)</w:t>
      </w:r>
    </w:p>
    <w:p w:rsidR="001F2454" w:rsidRDefault="00032E38" w:rsidP="00032E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Řízení dodavatelského řetězce předpokládá zpravidla stabilní vztahy typické pro opakovanou výrobu. Cílem je zabezpečit bezchybný proud </w:t>
      </w:r>
      <w:r w:rsidR="004A1BF2">
        <w:rPr>
          <w:rFonts w:ascii="Times New Roman" w:hAnsi="Times New Roman" w:cs="Times New Roman"/>
          <w:sz w:val="24"/>
          <w:szCs w:val="24"/>
        </w:rPr>
        <w:t>surovin, polotovarů, součástí, komponent, služeb a hotových výrobků mezi podniky, které se na dodavatelském řetězci podílejí. Jde především o časovou koordinaci, která může nabývat až podoby</w:t>
      </w:r>
      <w:r w:rsidR="001F2454">
        <w:rPr>
          <w:rFonts w:ascii="Times New Roman" w:hAnsi="Times New Roman" w:cs="Times New Roman"/>
          <w:sz w:val="24"/>
          <w:szCs w:val="24"/>
        </w:rPr>
        <w:t xml:space="preserve"> </w:t>
      </w:r>
      <w:r w:rsidR="001F2454" w:rsidRPr="001F2454">
        <w:rPr>
          <w:rFonts w:ascii="Times New Roman" w:hAnsi="Times New Roman" w:cs="Times New Roman"/>
          <w:sz w:val="24"/>
          <w:szCs w:val="24"/>
        </w:rPr>
        <w:t xml:space="preserve">Just in </w:t>
      </w:r>
      <w:proofErr w:type="spellStart"/>
      <w:r w:rsidR="001F2454" w:rsidRPr="001F2454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1F2454" w:rsidRPr="001F2454">
        <w:rPr>
          <w:rFonts w:ascii="Times New Roman" w:hAnsi="Times New Roman" w:cs="Times New Roman"/>
          <w:sz w:val="24"/>
          <w:szCs w:val="24"/>
        </w:rPr>
        <w:t xml:space="preserve"> (JIT) = právě včas</w:t>
      </w:r>
      <w:r w:rsidR="001F2454">
        <w:rPr>
          <w:rFonts w:ascii="Times New Roman" w:hAnsi="Times New Roman" w:cs="Times New Roman"/>
          <w:sz w:val="24"/>
          <w:szCs w:val="24"/>
        </w:rPr>
        <w:t>.</w:t>
      </w:r>
    </w:p>
    <w:p w:rsidR="001F2454" w:rsidRDefault="001F2454" w:rsidP="001F24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Jde o </w:t>
      </w:r>
      <w:r w:rsidRPr="001F2454">
        <w:rPr>
          <w:rFonts w:ascii="Times New Roman" w:hAnsi="Times New Roman" w:cs="Times New Roman"/>
          <w:sz w:val="24"/>
          <w:szCs w:val="24"/>
        </w:rPr>
        <w:t>přístup, který se snaží eliminovat zbytečné držení zásob.</w:t>
      </w:r>
      <w:r w:rsidR="00DA5C75">
        <w:rPr>
          <w:rFonts w:ascii="Times New Roman" w:hAnsi="Times New Roman" w:cs="Times New Roman"/>
          <w:sz w:val="24"/>
          <w:szCs w:val="24"/>
        </w:rPr>
        <w:t xml:space="preserve"> Uplatňuje se princip tahu, nikoliv tlaku. Určující jsou zákazníci.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54">
        <w:rPr>
          <w:rFonts w:ascii="Times New Roman" w:hAnsi="Times New Roman" w:cs="Times New Roman"/>
          <w:sz w:val="24"/>
          <w:szCs w:val="24"/>
        </w:rPr>
        <w:t xml:space="preserve">Materiál je nakupován až </w:t>
      </w:r>
      <w:r w:rsidR="00DA5C75">
        <w:rPr>
          <w:rFonts w:ascii="Times New Roman" w:hAnsi="Times New Roman" w:cs="Times New Roman"/>
          <w:sz w:val="24"/>
          <w:szCs w:val="24"/>
        </w:rPr>
        <w:t>v</w:t>
      </w:r>
      <w:r w:rsidRPr="001F2454">
        <w:rPr>
          <w:rFonts w:ascii="Times New Roman" w:hAnsi="Times New Roman" w:cs="Times New Roman"/>
          <w:sz w:val="24"/>
          <w:szCs w:val="24"/>
        </w:rPr>
        <w:t xml:space="preserve"> okamžik</w:t>
      </w:r>
      <w:r w:rsidR="00DA5C75">
        <w:rPr>
          <w:rFonts w:ascii="Times New Roman" w:hAnsi="Times New Roman" w:cs="Times New Roman"/>
          <w:sz w:val="24"/>
          <w:szCs w:val="24"/>
        </w:rPr>
        <w:t>u</w:t>
      </w:r>
      <w:r w:rsidRPr="001F2454">
        <w:rPr>
          <w:rFonts w:ascii="Times New Roman" w:hAnsi="Times New Roman" w:cs="Times New Roman"/>
          <w:sz w:val="24"/>
          <w:szCs w:val="24"/>
        </w:rPr>
        <w:t xml:space="preserve"> potřeby, produkce je realizována až v okamžiku objednávky, polotovary se vyrábí až v okamžiku, kdy je výrobní středisko blíže k zákazníkovi potřebuje. Ne dřív, ne později. Právě včas. Systém pojmenovaný „Just in </w:t>
      </w:r>
      <w:proofErr w:type="spellStart"/>
      <w:r w:rsidRPr="001F2454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1F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4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1F2454">
        <w:rPr>
          <w:rFonts w:ascii="Times New Roman" w:hAnsi="Times New Roman" w:cs="Times New Roman"/>
          <w:sz w:val="24"/>
          <w:szCs w:val="24"/>
        </w:rPr>
        <w:t>“ představoval první stupeň k modernímu způsobu řízení výrobních procesů ve společnosti Toyota</w:t>
      </w:r>
      <w:r w:rsidR="0039370B">
        <w:rPr>
          <w:rFonts w:ascii="Times New Roman" w:hAnsi="Times New Roman" w:cs="Times New Roman"/>
          <w:sz w:val="24"/>
          <w:szCs w:val="24"/>
        </w:rPr>
        <w:t>, a to již v roce 1926</w:t>
      </w:r>
      <w:r w:rsidRPr="001F2454">
        <w:rPr>
          <w:rFonts w:ascii="Times New Roman" w:hAnsi="Times New Roman" w:cs="Times New Roman"/>
          <w:sz w:val="24"/>
          <w:szCs w:val="24"/>
        </w:rPr>
        <w:t xml:space="preserve">. Na jeho základech byl později vystavěn celý komplexní Toyota </w:t>
      </w:r>
      <w:proofErr w:type="spellStart"/>
      <w:r w:rsidRPr="001F2454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1F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45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F2454">
        <w:rPr>
          <w:rFonts w:ascii="Times New Roman" w:hAnsi="Times New Roman" w:cs="Times New Roman"/>
          <w:sz w:val="24"/>
          <w:szCs w:val="24"/>
        </w:rPr>
        <w:t xml:space="preserve"> (TPS).</w:t>
      </w:r>
      <w:r w:rsidR="00DA5C75">
        <w:rPr>
          <w:rFonts w:ascii="Times New Roman" w:hAnsi="Times New Roman" w:cs="Times New Roman"/>
          <w:sz w:val="24"/>
          <w:szCs w:val="24"/>
        </w:rPr>
        <w:t xml:space="preserve"> </w:t>
      </w:r>
      <w:r w:rsidR="00DA5C75" w:rsidRPr="00DA5C75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(viz </w:t>
      </w:r>
      <w:hyperlink r:id="rId9" w:history="1">
        <w:r w:rsidR="00DA5C75" w:rsidRPr="00242D9B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T</w:t>
        </w:r>
        <w:r w:rsidR="00DA5C75" w:rsidRPr="00242D9B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P</w:t>
        </w:r>
        <w:r w:rsidR="00DA5C75" w:rsidRPr="00242D9B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S zásada 3</w:t>
        </w:r>
      </w:hyperlink>
      <w:r w:rsidR="00DA5C75" w:rsidRPr="00DA5C75">
        <w:rPr>
          <w:rFonts w:ascii="Times New Roman" w:hAnsi="Times New Roman" w:cs="Times New Roman"/>
          <w:b/>
          <w:i/>
          <w:color w:val="7030A0"/>
          <w:sz w:val="24"/>
          <w:szCs w:val="24"/>
        </w:rPr>
        <w:t>)</w:t>
      </w:r>
      <w:r w:rsidR="0039370B">
        <w:rPr>
          <w:rFonts w:ascii="Times New Roman" w:hAnsi="Times New Roman" w:cs="Times New Roman"/>
          <w:sz w:val="24"/>
          <w:szCs w:val="24"/>
        </w:rPr>
        <w:t xml:space="preserve"> Největší rozmach tohoto přístupu nastává však až v osmdesátých letech dvacátého století, a to zejména v Japonsku a USA.</w:t>
      </w:r>
    </w:p>
    <w:p w:rsidR="00DA5C75" w:rsidRPr="001F2454" w:rsidRDefault="00DA5C75" w:rsidP="001F24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charakteristické znaky řízení dodavatelského řetězce patří zejména princip tahu</w:t>
      </w:r>
      <w:r w:rsidR="00206EFF">
        <w:rPr>
          <w:rFonts w:ascii="Times New Roman" w:hAnsi="Times New Roman" w:cs="Times New Roman"/>
          <w:sz w:val="24"/>
          <w:szCs w:val="24"/>
        </w:rPr>
        <w:t xml:space="preserve">, spolupráce ve smyslu </w:t>
      </w:r>
      <w:proofErr w:type="spellStart"/>
      <w:r w:rsidR="00206EFF">
        <w:rPr>
          <w:rFonts w:ascii="Times New Roman" w:hAnsi="Times New Roman" w:cs="Times New Roman"/>
          <w:sz w:val="24"/>
          <w:szCs w:val="24"/>
        </w:rPr>
        <w:t>win-win</w:t>
      </w:r>
      <w:proofErr w:type="spellEnd"/>
      <w:r w:rsidR="00206EFF">
        <w:rPr>
          <w:rFonts w:ascii="Times New Roman" w:hAnsi="Times New Roman" w:cs="Times New Roman"/>
          <w:sz w:val="24"/>
          <w:szCs w:val="24"/>
        </w:rPr>
        <w:t xml:space="preserve"> a partnerství v síti. </w:t>
      </w:r>
      <w:r w:rsidR="00206EFF" w:rsidRPr="00206EFF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(viz </w:t>
      </w:r>
      <w:hyperlink r:id="rId10" w:history="1">
        <w:r w:rsidR="00206EFF" w:rsidRPr="00242D9B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Charak</w:t>
        </w:r>
        <w:bookmarkStart w:id="0" w:name="_GoBack"/>
        <w:bookmarkEnd w:id="0"/>
        <w:r w:rsidR="00206EFF" w:rsidRPr="00242D9B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t</w:t>
        </w:r>
        <w:r w:rsidR="00206EFF" w:rsidRPr="00242D9B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eristické znaky SCM</w:t>
        </w:r>
      </w:hyperlink>
      <w:r w:rsidR="00206EFF" w:rsidRPr="00206EFF">
        <w:rPr>
          <w:rFonts w:ascii="Times New Roman" w:hAnsi="Times New Roman" w:cs="Times New Roman"/>
          <w:b/>
          <w:i/>
          <w:color w:val="7030A0"/>
          <w:sz w:val="24"/>
          <w:szCs w:val="24"/>
        </w:rPr>
        <w:t>)</w:t>
      </w:r>
    </w:p>
    <w:p w:rsidR="004A1BF2" w:rsidRDefault="008F1106" w:rsidP="00032E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Řízení dodavatelského řetězce je však velmi důležité (a obtížné)</w:t>
      </w:r>
      <w:r w:rsidR="0014021E">
        <w:rPr>
          <w:rFonts w:ascii="Times New Roman" w:hAnsi="Times New Roman" w:cs="Times New Roman"/>
          <w:sz w:val="24"/>
          <w:szCs w:val="24"/>
        </w:rPr>
        <w:t xml:space="preserve"> též</w:t>
      </w:r>
      <w:r>
        <w:rPr>
          <w:rFonts w:ascii="Times New Roman" w:hAnsi="Times New Roman" w:cs="Times New Roman"/>
          <w:sz w:val="24"/>
          <w:szCs w:val="24"/>
        </w:rPr>
        <w:t xml:space="preserve"> při realizaci velkých projektů</w:t>
      </w:r>
      <w:r w:rsidR="0014021E">
        <w:rPr>
          <w:rFonts w:ascii="Times New Roman" w:hAnsi="Times New Roman" w:cs="Times New Roman"/>
          <w:sz w:val="24"/>
          <w:szCs w:val="24"/>
        </w:rPr>
        <w:t xml:space="preserve">, tedy významných, rozsáhlých, finančně a časově náročných aktivit unikátního charakteru. V daných případech jde o </w:t>
      </w:r>
      <w:proofErr w:type="gramStart"/>
      <w:r w:rsidR="0014021E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14021E">
        <w:rPr>
          <w:rFonts w:ascii="Times New Roman" w:hAnsi="Times New Roman" w:cs="Times New Roman"/>
          <w:sz w:val="24"/>
          <w:szCs w:val="24"/>
        </w:rPr>
        <w:t xml:space="preserve"> hoc výběr dodavatelů a jejich zapojení do mimořádně složité sítě. Jedná se o akce zatížené velkým rizikem, jejichž realizace často naráží na velké problémy. Širší veřejnosti jsou známé zejména projekty z veřejného sektoru. Lze připomenout akce v oblasti silniční infrastruktury (tunel Blanka), informačních systémů (pražská </w:t>
      </w:r>
      <w:proofErr w:type="spellStart"/>
      <w:r w:rsidR="009C17AF">
        <w:rPr>
          <w:rFonts w:ascii="Times New Roman" w:hAnsi="Times New Roman" w:cs="Times New Roman"/>
          <w:sz w:val="24"/>
          <w:szCs w:val="24"/>
        </w:rPr>
        <w:t>Open</w:t>
      </w:r>
      <w:r w:rsidR="0014021E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="0014021E">
        <w:rPr>
          <w:rFonts w:ascii="Times New Roman" w:hAnsi="Times New Roman" w:cs="Times New Roman"/>
          <w:sz w:val="24"/>
          <w:szCs w:val="24"/>
        </w:rPr>
        <w:t xml:space="preserve">) apod.  </w:t>
      </w:r>
      <w:r w:rsidR="004A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21E" w:rsidRDefault="0014021E" w:rsidP="00FD71E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D71E8" w:rsidRPr="00174243" w:rsidRDefault="00FD71E8" w:rsidP="00FD71E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74243">
        <w:rPr>
          <w:rFonts w:ascii="Times New Roman" w:hAnsi="Times New Roman" w:cs="Times New Roman"/>
          <w:sz w:val="24"/>
          <w:szCs w:val="24"/>
        </w:rPr>
        <w:t>TOMEK, Gustav, VÁVROVÁ, Věra</w:t>
      </w:r>
      <w:r w:rsidR="00174243">
        <w:rPr>
          <w:rFonts w:ascii="Times New Roman" w:hAnsi="Times New Roman" w:cs="Times New Roman"/>
          <w:sz w:val="24"/>
          <w:szCs w:val="24"/>
        </w:rPr>
        <w:t xml:space="preserve">. </w:t>
      </w:r>
      <w:r w:rsidRPr="00174243">
        <w:rPr>
          <w:rFonts w:ascii="Times New Roman" w:hAnsi="Times New Roman" w:cs="Times New Roman"/>
          <w:sz w:val="24"/>
          <w:szCs w:val="24"/>
        </w:rPr>
        <w:t xml:space="preserve"> </w:t>
      </w:r>
      <w:r w:rsidRPr="00174243">
        <w:rPr>
          <w:rFonts w:ascii="Times New Roman" w:hAnsi="Times New Roman" w:cs="Times New Roman"/>
          <w:i/>
          <w:sz w:val="24"/>
          <w:szCs w:val="24"/>
        </w:rPr>
        <w:t>Řízení výroby a nákupu</w:t>
      </w:r>
      <w:r w:rsidRPr="001742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4243">
        <w:rPr>
          <w:rFonts w:ascii="Times New Roman" w:hAnsi="Times New Roman" w:cs="Times New Roman"/>
          <w:sz w:val="24"/>
          <w:szCs w:val="24"/>
        </w:rPr>
        <w:t xml:space="preserve">Praha : </w:t>
      </w:r>
      <w:proofErr w:type="spellStart"/>
      <w:r w:rsidRPr="00174243">
        <w:rPr>
          <w:rFonts w:ascii="Times New Roman" w:hAnsi="Times New Roman" w:cs="Times New Roman"/>
          <w:sz w:val="24"/>
          <w:szCs w:val="24"/>
        </w:rPr>
        <w:t>Grada</w:t>
      </w:r>
      <w:proofErr w:type="spellEnd"/>
      <w:proofErr w:type="gramEnd"/>
      <w:r w:rsidRPr="00174243">
        <w:rPr>
          <w:rFonts w:ascii="Times New Roman" w:hAnsi="Times New Roman" w:cs="Times New Roman"/>
          <w:sz w:val="24"/>
          <w:szCs w:val="24"/>
        </w:rPr>
        <w:t xml:space="preserve"> 2007. ISBN 978-80-247-1479-0.</w:t>
      </w:r>
    </w:p>
    <w:p w:rsidR="00FD71E8" w:rsidRPr="00174243" w:rsidRDefault="00134731" w:rsidP="00FD71E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74243">
        <w:rPr>
          <w:rFonts w:ascii="Times New Roman" w:hAnsi="Times New Roman" w:cs="Times New Roman"/>
          <w:sz w:val="24"/>
          <w:szCs w:val="24"/>
        </w:rPr>
        <w:t>L</w:t>
      </w:r>
      <w:r w:rsidR="00174243">
        <w:rPr>
          <w:rFonts w:ascii="Times New Roman" w:hAnsi="Times New Roman" w:cs="Times New Roman"/>
          <w:sz w:val="24"/>
          <w:szCs w:val="24"/>
        </w:rPr>
        <w:t>IKER</w:t>
      </w:r>
      <w:r w:rsidRPr="00174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243">
        <w:rPr>
          <w:rFonts w:ascii="Times New Roman" w:hAnsi="Times New Roman" w:cs="Times New Roman"/>
          <w:sz w:val="24"/>
          <w:szCs w:val="24"/>
        </w:rPr>
        <w:t>J</w:t>
      </w:r>
      <w:r w:rsidR="00174243">
        <w:rPr>
          <w:rFonts w:ascii="Times New Roman" w:hAnsi="Times New Roman" w:cs="Times New Roman"/>
          <w:sz w:val="24"/>
          <w:szCs w:val="24"/>
        </w:rPr>
        <w:t>effrey</w:t>
      </w:r>
      <w:proofErr w:type="spellEnd"/>
      <w:r w:rsidR="00174243">
        <w:rPr>
          <w:rFonts w:ascii="Times New Roman" w:hAnsi="Times New Roman" w:cs="Times New Roman"/>
          <w:sz w:val="24"/>
          <w:szCs w:val="24"/>
        </w:rPr>
        <w:t>,</w:t>
      </w:r>
      <w:r w:rsidRPr="00174243">
        <w:rPr>
          <w:rFonts w:ascii="Times New Roman" w:hAnsi="Times New Roman" w:cs="Times New Roman"/>
          <w:sz w:val="24"/>
          <w:szCs w:val="24"/>
        </w:rPr>
        <w:t xml:space="preserve"> K. </w:t>
      </w:r>
      <w:r w:rsidRPr="00174243">
        <w:rPr>
          <w:rFonts w:ascii="Times New Roman" w:hAnsi="Times New Roman" w:cs="Times New Roman"/>
          <w:i/>
          <w:sz w:val="24"/>
          <w:szCs w:val="24"/>
        </w:rPr>
        <w:t>Tak to dělá Toyota</w:t>
      </w:r>
      <w:r w:rsidRPr="00174243">
        <w:rPr>
          <w:rFonts w:ascii="Times New Roman" w:hAnsi="Times New Roman" w:cs="Times New Roman"/>
          <w:sz w:val="24"/>
          <w:szCs w:val="24"/>
        </w:rPr>
        <w:t xml:space="preserve">. Praha: Management </w:t>
      </w:r>
      <w:proofErr w:type="spellStart"/>
      <w:r w:rsidRPr="00174243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74243">
        <w:rPr>
          <w:rFonts w:ascii="Times New Roman" w:hAnsi="Times New Roman" w:cs="Times New Roman"/>
          <w:sz w:val="24"/>
          <w:szCs w:val="24"/>
        </w:rPr>
        <w:t>, 2008. ISBN 978-80-7261-173</w:t>
      </w:r>
    </w:p>
    <w:p w:rsidR="00087F4E" w:rsidRPr="00174243" w:rsidRDefault="00087F4E" w:rsidP="00087F4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74243">
        <w:rPr>
          <w:rFonts w:ascii="Times New Roman" w:hAnsi="Times New Roman" w:cs="Times New Roman"/>
          <w:sz w:val="24"/>
          <w:szCs w:val="24"/>
        </w:rPr>
        <w:t xml:space="preserve">STEHLÍK, Antonín, KAPOUN, Josef </w:t>
      </w:r>
      <w:r w:rsidRPr="00174243">
        <w:rPr>
          <w:rFonts w:ascii="Times New Roman" w:hAnsi="Times New Roman" w:cs="Times New Roman"/>
          <w:i/>
          <w:sz w:val="24"/>
          <w:szCs w:val="24"/>
        </w:rPr>
        <w:t>Logistika pro manažery</w:t>
      </w:r>
      <w:r w:rsidRPr="001742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4243">
        <w:rPr>
          <w:rFonts w:ascii="Times New Roman" w:hAnsi="Times New Roman" w:cs="Times New Roman"/>
          <w:sz w:val="24"/>
          <w:szCs w:val="24"/>
        </w:rPr>
        <w:t xml:space="preserve">Praha : </w:t>
      </w:r>
      <w:proofErr w:type="spellStart"/>
      <w:r w:rsidRPr="00174243">
        <w:rPr>
          <w:rFonts w:ascii="Times New Roman" w:hAnsi="Times New Roman" w:cs="Times New Roman"/>
          <w:sz w:val="24"/>
          <w:szCs w:val="24"/>
        </w:rPr>
        <w:t>Ekopress</w:t>
      </w:r>
      <w:proofErr w:type="spellEnd"/>
      <w:proofErr w:type="gramEnd"/>
      <w:r w:rsidRPr="00174243">
        <w:rPr>
          <w:rFonts w:ascii="Times New Roman" w:hAnsi="Times New Roman" w:cs="Times New Roman"/>
          <w:sz w:val="24"/>
          <w:szCs w:val="24"/>
        </w:rPr>
        <w:t xml:space="preserve"> , 2008. ISBN 978-80-86929-37-8.</w:t>
      </w:r>
    </w:p>
    <w:p w:rsidR="00087F4E" w:rsidRPr="00FD71E8" w:rsidRDefault="00087F4E">
      <w:pPr>
        <w:rPr>
          <w:rFonts w:ascii="Times New Roman" w:hAnsi="Times New Roman" w:cs="Times New Roman"/>
          <w:sz w:val="24"/>
          <w:szCs w:val="24"/>
        </w:rPr>
      </w:pPr>
    </w:p>
    <w:sectPr w:rsidR="00087F4E" w:rsidRPr="00FD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E8"/>
    <w:rsid w:val="00032E38"/>
    <w:rsid w:val="00087F4E"/>
    <w:rsid w:val="0013186F"/>
    <w:rsid w:val="00134731"/>
    <w:rsid w:val="0014021E"/>
    <w:rsid w:val="00174243"/>
    <w:rsid w:val="001A04D5"/>
    <w:rsid w:val="001F2454"/>
    <w:rsid w:val="00204B48"/>
    <w:rsid w:val="00206EFF"/>
    <w:rsid w:val="00242D9B"/>
    <w:rsid w:val="002C7A47"/>
    <w:rsid w:val="0039370B"/>
    <w:rsid w:val="004A1BF2"/>
    <w:rsid w:val="004A7372"/>
    <w:rsid w:val="007E07F9"/>
    <w:rsid w:val="008165B9"/>
    <w:rsid w:val="00821DA2"/>
    <w:rsid w:val="008F1106"/>
    <w:rsid w:val="009C17AF"/>
    <w:rsid w:val="00AA18CD"/>
    <w:rsid w:val="00AE4E90"/>
    <w:rsid w:val="00B56F79"/>
    <w:rsid w:val="00BE047D"/>
    <w:rsid w:val="00C07B26"/>
    <w:rsid w:val="00C349D9"/>
    <w:rsid w:val="00D45089"/>
    <w:rsid w:val="00D701EA"/>
    <w:rsid w:val="00DA5C75"/>
    <w:rsid w:val="00F617EC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1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6F7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6F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1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6F7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6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el/1456/podzim2015/MPH_MAN2/um/59139042/Defining_SC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.muni.cz/el/1456/podzim2015/MPH_MAN2/um/59139042/Podstata_SCM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.muni.cz/el/1456/podzim2015/MPH_MAN2/um/59139042/Analyza_a_volba_dodavatele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.muni.cz/el/1456/podzim2015/MPH_MAN2/um/59139042/Outsourcing.docx" TargetMode="External"/><Relationship Id="rId10" Type="http://schemas.openxmlformats.org/officeDocument/2006/relationships/hyperlink" Target="http://is.muni.cz/el/1456/podzim2015/MPH_MAN2/um/59139042/Charakteristicke_znaky_SC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.muni.cz/el/1456/podzim2015/MPH_MAN2/um/59139042/TPS_zasada_3.pp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Blazek Ladislav</cp:lastModifiedBy>
  <cp:revision>4</cp:revision>
  <dcterms:created xsi:type="dcterms:W3CDTF">2015-09-15T12:20:00Z</dcterms:created>
  <dcterms:modified xsi:type="dcterms:W3CDTF">2015-09-15T12:46:00Z</dcterms:modified>
</cp:coreProperties>
</file>