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C0" w:rsidRPr="0068650A" w:rsidRDefault="0068650A" w:rsidP="008377C0">
      <w:pPr>
        <w:spacing w:before="100" w:beforeAutospacing="1" w:after="100" w:afterAutospacing="1" w:line="240" w:lineRule="auto"/>
        <w:rPr>
          <w:rFonts w:ascii="Garamond" w:eastAsia="Times New Roman" w:hAnsi="Garamond" w:cs="Times New Roman"/>
          <w:sz w:val="26"/>
          <w:szCs w:val="26"/>
          <w:u w:val="single"/>
          <w:lang w:val="en-US" w:eastAsia="cs-CZ"/>
        </w:rPr>
      </w:pPr>
      <w:r>
        <w:rPr>
          <w:rFonts w:ascii="Garamond" w:eastAsia="Times New Roman" w:hAnsi="Garamond" w:cs="Times New Roman"/>
          <w:b/>
          <w:bCs/>
          <w:sz w:val="26"/>
          <w:szCs w:val="26"/>
          <w:u w:val="single"/>
          <w:lang w:val="en-US" w:eastAsia="cs-CZ"/>
        </w:rPr>
        <w:t xml:space="preserve">Some </w:t>
      </w:r>
      <w:r w:rsidR="003537D4">
        <w:rPr>
          <w:rFonts w:ascii="Garamond" w:eastAsia="Times New Roman" w:hAnsi="Garamond" w:cs="Times New Roman"/>
          <w:b/>
          <w:bCs/>
          <w:sz w:val="26"/>
          <w:szCs w:val="26"/>
          <w:u w:val="single"/>
          <w:lang w:val="en-US" w:eastAsia="cs-CZ"/>
        </w:rPr>
        <w:t>“</w:t>
      </w:r>
      <w:r>
        <w:rPr>
          <w:rFonts w:ascii="Garamond" w:eastAsia="Times New Roman" w:hAnsi="Garamond" w:cs="Times New Roman"/>
          <w:b/>
          <w:bCs/>
          <w:sz w:val="26"/>
          <w:szCs w:val="26"/>
          <w:u w:val="single"/>
          <w:lang w:val="en-US" w:eastAsia="cs-CZ"/>
        </w:rPr>
        <w:t xml:space="preserve">Do’s” and </w:t>
      </w:r>
      <w:r w:rsidR="003537D4">
        <w:rPr>
          <w:rFonts w:ascii="Garamond" w:eastAsia="Times New Roman" w:hAnsi="Garamond" w:cs="Times New Roman"/>
          <w:b/>
          <w:bCs/>
          <w:sz w:val="26"/>
          <w:szCs w:val="26"/>
          <w:u w:val="single"/>
          <w:lang w:val="en-US" w:eastAsia="cs-CZ"/>
        </w:rPr>
        <w:t>“</w:t>
      </w:r>
      <w:r>
        <w:rPr>
          <w:rFonts w:ascii="Garamond" w:eastAsia="Times New Roman" w:hAnsi="Garamond" w:cs="Times New Roman"/>
          <w:b/>
          <w:bCs/>
          <w:sz w:val="26"/>
          <w:szCs w:val="26"/>
          <w:u w:val="single"/>
          <w:lang w:val="en-US" w:eastAsia="cs-CZ"/>
        </w:rPr>
        <w:t>Don’ts”</w:t>
      </w:r>
      <w:r w:rsidR="008377C0" w:rsidRPr="0068650A">
        <w:rPr>
          <w:rFonts w:ascii="Garamond" w:eastAsia="Times New Roman" w:hAnsi="Garamond" w:cs="Times New Roman"/>
          <w:b/>
          <w:bCs/>
          <w:sz w:val="26"/>
          <w:szCs w:val="26"/>
          <w:u w:val="single"/>
          <w:lang w:val="en-US" w:eastAsia="cs-CZ"/>
        </w:rPr>
        <w:t xml:space="preserve"> of Peer Evaluations</w:t>
      </w:r>
    </w:p>
    <w:p w:rsidR="008377C0" w:rsidRPr="0068650A" w:rsidRDefault="00CE0D70" w:rsidP="008377C0">
      <w:pPr>
        <w:spacing w:before="100" w:beforeAutospacing="1" w:after="100" w:afterAutospacing="1" w:line="240" w:lineRule="auto"/>
        <w:rPr>
          <w:rFonts w:ascii="Garamond" w:eastAsia="Times New Roman" w:hAnsi="Garamond" w:cs="Times New Roman"/>
          <w:sz w:val="26"/>
          <w:szCs w:val="26"/>
          <w:lang w:val="en-US" w:eastAsia="cs-CZ"/>
        </w:rPr>
      </w:pPr>
      <w:r>
        <w:rPr>
          <w:rFonts w:ascii="Garamond" w:eastAsia="Times New Roman" w:hAnsi="Garamond" w:cs="Times New Roman"/>
          <w:b/>
          <w:bCs/>
          <w:sz w:val="26"/>
          <w:szCs w:val="26"/>
          <w:lang w:val="en-US" w:eastAsia="cs-CZ"/>
        </w:rPr>
        <w:t>“</w:t>
      </w:r>
      <w:r w:rsidR="0068650A">
        <w:rPr>
          <w:rFonts w:ascii="Garamond" w:eastAsia="Times New Roman" w:hAnsi="Garamond" w:cs="Times New Roman"/>
          <w:b/>
          <w:bCs/>
          <w:sz w:val="26"/>
          <w:szCs w:val="26"/>
          <w:lang w:val="en-US" w:eastAsia="cs-CZ"/>
        </w:rPr>
        <w:t>Do’</w:t>
      </w:r>
      <w:r w:rsidR="008377C0" w:rsidRPr="0068650A">
        <w:rPr>
          <w:rFonts w:ascii="Garamond" w:eastAsia="Times New Roman" w:hAnsi="Garamond" w:cs="Times New Roman"/>
          <w:b/>
          <w:bCs/>
          <w:sz w:val="26"/>
          <w:szCs w:val="26"/>
          <w:lang w:val="en-US" w:eastAsia="cs-CZ"/>
        </w:rPr>
        <w:t>s</w:t>
      </w:r>
      <w:r w:rsidR="0068650A">
        <w:rPr>
          <w:rFonts w:ascii="Garamond" w:eastAsia="Times New Roman" w:hAnsi="Garamond" w:cs="Times New Roman"/>
          <w:b/>
          <w:bCs/>
          <w:sz w:val="26"/>
          <w:szCs w:val="26"/>
          <w:lang w:val="en-US" w:eastAsia="cs-CZ"/>
        </w:rPr>
        <w:t>”</w:t>
      </w:r>
      <w:r w:rsidR="008377C0" w:rsidRPr="0068650A">
        <w:rPr>
          <w:rFonts w:ascii="Garamond" w:eastAsia="Times New Roman" w:hAnsi="Garamond" w:cs="Times New Roman"/>
          <w:sz w:val="26"/>
          <w:szCs w:val="26"/>
          <w:lang w:val="en-US" w:eastAsia="cs-CZ"/>
        </w:rPr>
        <w:t xml:space="preserve"> </w:t>
      </w:r>
    </w:p>
    <w:p w:rsidR="008377C0" w:rsidRPr="0068650A" w:rsidRDefault="008377C0" w:rsidP="008377C0">
      <w:pPr>
        <w:numPr>
          <w:ilvl w:val="0"/>
          <w:numId w:val="1"/>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 xml:space="preserve">Do treat the writer with courtesy and respect. </w:t>
      </w:r>
    </w:p>
    <w:p w:rsidR="008377C0" w:rsidRPr="0068650A" w:rsidRDefault="008377C0" w:rsidP="008377C0">
      <w:pPr>
        <w:numPr>
          <w:ilvl w:val="0"/>
          <w:numId w:val="1"/>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 xml:space="preserve">Do comment on the performance, not the person. </w:t>
      </w:r>
    </w:p>
    <w:p w:rsidR="008377C0" w:rsidRPr="0068650A" w:rsidRDefault="008377C0" w:rsidP="008377C0">
      <w:pPr>
        <w:numPr>
          <w:ilvl w:val="0"/>
          <w:numId w:val="1"/>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 xml:space="preserve">Do focus on </w:t>
      </w:r>
      <w:r w:rsidRPr="0068650A">
        <w:rPr>
          <w:rFonts w:ascii="Garamond" w:eastAsia="Times New Roman" w:hAnsi="Garamond" w:cs="Times New Roman"/>
          <w:sz w:val="26"/>
          <w:szCs w:val="26"/>
          <w:u w:val="single"/>
          <w:lang w:val="en-US" w:eastAsia="cs-CZ"/>
        </w:rPr>
        <w:t>how</w:t>
      </w:r>
      <w:r w:rsidRPr="0068650A">
        <w:rPr>
          <w:rFonts w:ascii="Garamond" w:eastAsia="Times New Roman" w:hAnsi="Garamond" w:cs="Times New Roman"/>
          <w:sz w:val="26"/>
          <w:szCs w:val="26"/>
          <w:lang w:val="en-US" w:eastAsia="cs-CZ"/>
        </w:rPr>
        <w:t xml:space="preserve"> the argument is supported (or not), rather than whether you agree or disagree with it. </w:t>
      </w:r>
    </w:p>
    <w:p w:rsidR="008377C0" w:rsidRPr="0068650A" w:rsidRDefault="008377C0" w:rsidP="008377C0">
      <w:pPr>
        <w:numPr>
          <w:ilvl w:val="0"/>
          <w:numId w:val="1"/>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 xml:space="preserve">Do aim for balance and completeness in pointing out strengths and problem areas. </w:t>
      </w:r>
    </w:p>
    <w:p w:rsidR="008377C0" w:rsidRPr="0068650A" w:rsidRDefault="008377C0" w:rsidP="008377C0">
      <w:pPr>
        <w:numPr>
          <w:ilvl w:val="0"/>
          <w:numId w:val="1"/>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 xml:space="preserve">Do comment on </w:t>
      </w:r>
      <w:r w:rsidRPr="0068650A">
        <w:rPr>
          <w:rFonts w:ascii="Garamond" w:eastAsia="Times New Roman" w:hAnsi="Garamond" w:cs="Times New Roman"/>
          <w:sz w:val="26"/>
          <w:szCs w:val="26"/>
          <w:u w:val="single"/>
          <w:lang w:val="en-US" w:eastAsia="cs-CZ"/>
        </w:rPr>
        <w:t>specific</w:t>
      </w:r>
      <w:r w:rsidRPr="0068650A">
        <w:rPr>
          <w:rFonts w:ascii="Garamond" w:eastAsia="Times New Roman" w:hAnsi="Garamond" w:cs="Times New Roman"/>
          <w:sz w:val="26"/>
          <w:szCs w:val="26"/>
          <w:lang w:val="en-US" w:eastAsia="cs-CZ"/>
        </w:rPr>
        <w:t xml:space="preserve"> examples of strengths and problem areas. </w:t>
      </w:r>
    </w:p>
    <w:p w:rsidR="008377C0" w:rsidRPr="0068650A" w:rsidRDefault="008377C0" w:rsidP="008377C0">
      <w:pPr>
        <w:numPr>
          <w:ilvl w:val="0"/>
          <w:numId w:val="1"/>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 xml:space="preserve">Do aim to help the writer see how to improve future work as well as the current draft. </w:t>
      </w:r>
    </w:p>
    <w:p w:rsidR="008377C0" w:rsidRPr="0068650A" w:rsidRDefault="00CE0D70" w:rsidP="008377C0">
      <w:pPr>
        <w:spacing w:before="100" w:beforeAutospacing="1" w:after="100" w:afterAutospacing="1" w:line="240" w:lineRule="auto"/>
        <w:rPr>
          <w:rFonts w:ascii="Garamond" w:eastAsia="Times New Roman" w:hAnsi="Garamond" w:cs="Times New Roman"/>
          <w:sz w:val="26"/>
          <w:szCs w:val="26"/>
          <w:lang w:val="en-US" w:eastAsia="cs-CZ"/>
        </w:rPr>
      </w:pPr>
      <w:r>
        <w:rPr>
          <w:rFonts w:ascii="Garamond" w:eastAsia="Times New Roman" w:hAnsi="Garamond" w:cs="Times New Roman"/>
          <w:b/>
          <w:bCs/>
          <w:sz w:val="26"/>
          <w:szCs w:val="26"/>
          <w:lang w:val="en-US" w:eastAsia="cs-CZ"/>
        </w:rPr>
        <w:t>“</w:t>
      </w:r>
      <w:r w:rsidR="0068650A">
        <w:rPr>
          <w:rFonts w:ascii="Garamond" w:eastAsia="Times New Roman" w:hAnsi="Garamond" w:cs="Times New Roman"/>
          <w:b/>
          <w:bCs/>
          <w:sz w:val="26"/>
          <w:szCs w:val="26"/>
          <w:lang w:val="en-US" w:eastAsia="cs-CZ"/>
        </w:rPr>
        <w:t>Don’t</w:t>
      </w:r>
      <w:r w:rsidR="008377C0" w:rsidRPr="0068650A">
        <w:rPr>
          <w:rFonts w:ascii="Garamond" w:eastAsia="Times New Roman" w:hAnsi="Garamond" w:cs="Times New Roman"/>
          <w:b/>
          <w:bCs/>
          <w:sz w:val="26"/>
          <w:szCs w:val="26"/>
          <w:lang w:val="en-US" w:eastAsia="cs-CZ"/>
        </w:rPr>
        <w:t>s</w:t>
      </w:r>
      <w:r w:rsidR="0068650A">
        <w:rPr>
          <w:rFonts w:ascii="Garamond" w:eastAsia="Times New Roman" w:hAnsi="Garamond" w:cs="Times New Roman"/>
          <w:b/>
          <w:bCs/>
          <w:sz w:val="26"/>
          <w:szCs w:val="26"/>
          <w:lang w:val="en-US" w:eastAsia="cs-CZ"/>
        </w:rPr>
        <w:t>”</w:t>
      </w:r>
      <w:r w:rsidR="008377C0" w:rsidRPr="0068650A">
        <w:rPr>
          <w:rFonts w:ascii="Garamond" w:eastAsia="Times New Roman" w:hAnsi="Garamond" w:cs="Times New Roman"/>
          <w:sz w:val="26"/>
          <w:szCs w:val="26"/>
          <w:lang w:val="en-US" w:eastAsia="cs-CZ"/>
        </w:rPr>
        <w:t xml:space="preserve"> </w:t>
      </w:r>
    </w:p>
    <w:p w:rsidR="008377C0" w:rsidRPr="0068650A" w:rsidRDefault="008377C0" w:rsidP="008377C0">
      <w:pPr>
        <w:numPr>
          <w:ilvl w:val="0"/>
          <w:numId w:val="2"/>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Don</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t use snippy marginal comments such as </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So what?</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 or </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What</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s your point?</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 </w:t>
      </w:r>
    </w:p>
    <w:p w:rsidR="008377C0" w:rsidRPr="0068650A" w:rsidRDefault="008377C0" w:rsidP="008377C0">
      <w:pPr>
        <w:numPr>
          <w:ilvl w:val="0"/>
          <w:numId w:val="2"/>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Don</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t get into debates over unresolvable questions of individual value and belief (for example, questions relating to religion, gun control, or abortion). </w:t>
      </w:r>
    </w:p>
    <w:p w:rsidR="008377C0" w:rsidRPr="0068650A" w:rsidRDefault="008377C0" w:rsidP="008377C0">
      <w:pPr>
        <w:numPr>
          <w:ilvl w:val="0"/>
          <w:numId w:val="2"/>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Don</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t argue with the writer. Raise objections or ask for explanations only to clarify and suggest ways of strengthening the argument. </w:t>
      </w:r>
    </w:p>
    <w:p w:rsidR="008377C0" w:rsidRPr="0068650A" w:rsidRDefault="008377C0" w:rsidP="008377C0">
      <w:pPr>
        <w:numPr>
          <w:ilvl w:val="0"/>
          <w:numId w:val="2"/>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Don</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t confine your comments to mechanical details. </w:t>
      </w:r>
    </w:p>
    <w:p w:rsidR="008377C0" w:rsidRPr="0068650A" w:rsidRDefault="008377C0" w:rsidP="008377C0">
      <w:pPr>
        <w:numPr>
          <w:ilvl w:val="0"/>
          <w:numId w:val="2"/>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Don</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 xml:space="preserve">t make vague, global comments. </w:t>
      </w:r>
    </w:p>
    <w:p w:rsidR="008377C0" w:rsidRPr="0068650A" w:rsidRDefault="008377C0" w:rsidP="008377C0">
      <w:pPr>
        <w:numPr>
          <w:ilvl w:val="0"/>
          <w:numId w:val="2"/>
        </w:numPr>
        <w:spacing w:before="100" w:beforeAutospacing="1" w:after="100" w:afterAutospacing="1" w:line="240" w:lineRule="auto"/>
        <w:rPr>
          <w:rFonts w:ascii="Garamond" w:eastAsia="Times New Roman" w:hAnsi="Garamond" w:cs="Times New Roman"/>
          <w:sz w:val="26"/>
          <w:szCs w:val="26"/>
          <w:lang w:val="en-US" w:eastAsia="cs-CZ"/>
        </w:rPr>
      </w:pPr>
      <w:r w:rsidRPr="0068650A">
        <w:rPr>
          <w:rFonts w:ascii="Garamond" w:eastAsia="Times New Roman" w:hAnsi="Garamond" w:cs="Times New Roman"/>
          <w:sz w:val="26"/>
          <w:szCs w:val="26"/>
          <w:lang w:val="en-US" w:eastAsia="cs-CZ"/>
        </w:rPr>
        <w:t>Don</w:t>
      </w:r>
      <w:r w:rsidR="0068650A">
        <w:rPr>
          <w:rFonts w:ascii="Garamond" w:eastAsia="Times New Roman" w:hAnsi="Garamond" w:cs="Times New Roman"/>
          <w:sz w:val="26"/>
          <w:szCs w:val="26"/>
          <w:lang w:val="en-US" w:eastAsia="cs-CZ"/>
        </w:rPr>
        <w:t>’</w:t>
      </w:r>
      <w:r w:rsidRPr="0068650A">
        <w:rPr>
          <w:rFonts w:ascii="Garamond" w:eastAsia="Times New Roman" w:hAnsi="Garamond" w:cs="Times New Roman"/>
          <w:sz w:val="26"/>
          <w:szCs w:val="26"/>
          <w:lang w:val="en-US" w:eastAsia="cs-CZ"/>
        </w:rPr>
        <w:t>t rewrite for the writer.</w:t>
      </w:r>
    </w:p>
    <w:p w:rsidR="005239EE" w:rsidRPr="0068650A" w:rsidRDefault="008377C0" w:rsidP="008377C0">
      <w:pPr>
        <w:jc w:val="right"/>
        <w:rPr>
          <w:rFonts w:ascii="Garamond" w:hAnsi="Garamond"/>
          <w:i/>
          <w:sz w:val="20"/>
          <w:szCs w:val="20"/>
          <w:lang w:val="en-US"/>
        </w:rPr>
      </w:pPr>
      <w:r w:rsidRPr="0068650A">
        <w:rPr>
          <w:rFonts w:ascii="Garamond" w:hAnsi="Garamond"/>
          <w:i/>
          <w:sz w:val="20"/>
          <w:szCs w:val="20"/>
          <w:lang w:val="en-US"/>
        </w:rPr>
        <w:t>http://www.mhhe.com/mayfieldpub/maner/resources/peer5.htm</w:t>
      </w:r>
    </w:p>
    <w:p w:rsidR="008377C0" w:rsidRPr="0068650A" w:rsidRDefault="008377C0" w:rsidP="008377C0">
      <w:pPr>
        <w:jc w:val="right"/>
        <w:rPr>
          <w:rFonts w:ascii="Garamond" w:hAnsi="Garamond"/>
          <w:i/>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F716B8t00"/>
          <w:b/>
          <w:sz w:val="26"/>
          <w:szCs w:val="26"/>
          <w:u w:val="single"/>
          <w:lang w:val="en-US"/>
        </w:rPr>
      </w:pPr>
    </w:p>
    <w:p w:rsidR="008377C0" w:rsidRPr="0068650A" w:rsidRDefault="008377C0" w:rsidP="008377C0">
      <w:pPr>
        <w:autoSpaceDE w:val="0"/>
        <w:autoSpaceDN w:val="0"/>
        <w:adjustRightInd w:val="0"/>
        <w:spacing w:after="0" w:line="240" w:lineRule="auto"/>
        <w:rPr>
          <w:rFonts w:ascii="Garamond" w:hAnsi="Garamond" w:cs="TTE1F716B8t00"/>
          <w:b/>
          <w:sz w:val="26"/>
          <w:szCs w:val="26"/>
          <w:u w:val="single"/>
          <w:lang w:val="en-US"/>
        </w:rPr>
      </w:pPr>
      <w:r w:rsidRPr="0068650A">
        <w:rPr>
          <w:rFonts w:ascii="Garamond" w:hAnsi="Garamond" w:cs="TTE1F716B8t00"/>
          <w:b/>
          <w:sz w:val="26"/>
          <w:szCs w:val="26"/>
          <w:u w:val="single"/>
          <w:lang w:val="en-US"/>
        </w:rPr>
        <w:t>Helpful Hints for Effective Peer Reviewing</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proofErr w:type="gramStart"/>
      <w:r w:rsidRPr="0068650A">
        <w:rPr>
          <w:rFonts w:ascii="Garamond" w:hAnsi="Garamond" w:cs="TTE1F716B8t00"/>
          <w:sz w:val="26"/>
          <w:szCs w:val="26"/>
          <w:lang w:val="en-US"/>
        </w:rPr>
        <w:t>by</w:t>
      </w:r>
      <w:proofErr w:type="gramEnd"/>
      <w:r w:rsidRPr="0068650A">
        <w:rPr>
          <w:rFonts w:ascii="Garamond" w:hAnsi="Garamond" w:cs="TTE1F716B8t00"/>
          <w:sz w:val="26"/>
          <w:szCs w:val="26"/>
          <w:lang w:val="en-US"/>
        </w:rPr>
        <w:t xml:space="preserve"> </w:t>
      </w:r>
      <w:r w:rsidRPr="0068650A">
        <w:rPr>
          <w:rFonts w:ascii="Garamond" w:hAnsi="Garamond" w:cs="TTE1EF7BE0t00"/>
          <w:sz w:val="26"/>
          <w:szCs w:val="26"/>
          <w:lang w:val="en-US"/>
        </w:rPr>
        <w:t>Seri Rudolph, Coordinator of Scientific Writing, The Writing Workshop, Bates College</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EF7BE0t00"/>
          <w:sz w:val="26"/>
          <w:szCs w:val="26"/>
          <w:lang w:val="en-US"/>
        </w:rPr>
        <w:t>One of the hardest things about getting started with peer reviewing is dealing with your</w:t>
      </w:r>
      <w:r w:rsidR="0068650A">
        <w:rPr>
          <w:rFonts w:ascii="Garamond" w:hAnsi="Garamond" w:cs="TTE1EF7BE0t00"/>
          <w:sz w:val="26"/>
          <w:szCs w:val="26"/>
          <w:lang w:val="en-US"/>
        </w:rPr>
        <w:t xml:space="preserve"> reluc</w:t>
      </w:r>
      <w:r w:rsidRPr="0068650A">
        <w:rPr>
          <w:rFonts w:ascii="Garamond" w:hAnsi="Garamond" w:cs="TTE1EF7BE0t00"/>
          <w:sz w:val="26"/>
          <w:szCs w:val="26"/>
          <w:lang w:val="en-US"/>
        </w:rPr>
        <w:t>tance to give negative feedback. After all, we</w:t>
      </w:r>
      <w:r w:rsidR="0068650A">
        <w:rPr>
          <w:rFonts w:ascii="Garamond" w:hAnsi="Garamond" w:cs="TTE1EF7BE0t00"/>
          <w:sz w:val="26"/>
          <w:szCs w:val="26"/>
          <w:lang w:val="en-US"/>
        </w:rPr>
        <w:t>’</w:t>
      </w:r>
      <w:r w:rsidRPr="0068650A">
        <w:rPr>
          <w:rFonts w:ascii="Garamond" w:hAnsi="Garamond" w:cs="TTE1EF7BE0t00"/>
          <w:sz w:val="26"/>
          <w:szCs w:val="26"/>
          <w:lang w:val="en-US"/>
        </w:rPr>
        <w:t>re all socialized not to say mean things to people, and purely negative commentary usually doesn</w:t>
      </w:r>
      <w:r w:rsidR="0068650A">
        <w:rPr>
          <w:rFonts w:ascii="Garamond" w:hAnsi="Garamond" w:cs="TTE1EF7BE0t00"/>
          <w:sz w:val="26"/>
          <w:szCs w:val="26"/>
          <w:lang w:val="en-US"/>
        </w:rPr>
        <w:t>’</w:t>
      </w:r>
      <w:r w:rsidRPr="0068650A">
        <w:rPr>
          <w:rFonts w:ascii="Garamond" w:hAnsi="Garamond" w:cs="TTE1EF7BE0t00"/>
          <w:sz w:val="26"/>
          <w:szCs w:val="26"/>
          <w:lang w:val="en-US"/>
        </w:rPr>
        <w:t>t end up helping the writer anyway. The purpose of this document is to help you find ways to get around this problem by</w:t>
      </w:r>
      <w:r w:rsidR="00D56CD0">
        <w:rPr>
          <w:rFonts w:ascii="Garamond" w:hAnsi="Garamond" w:cs="TTE1EF7BE0t00"/>
          <w:sz w:val="26"/>
          <w:szCs w:val="26"/>
          <w:lang w:val="en-US"/>
        </w:rPr>
        <w:t>:</w:t>
      </w:r>
    </w:p>
    <w:p w:rsidR="005A3F93" w:rsidRDefault="005A3F93" w:rsidP="008377C0">
      <w:pPr>
        <w:autoSpaceDE w:val="0"/>
        <w:autoSpaceDN w:val="0"/>
        <w:adjustRightInd w:val="0"/>
        <w:spacing w:after="0" w:line="240" w:lineRule="auto"/>
        <w:rPr>
          <w:rFonts w:ascii="Garamond" w:hAnsi="Garamond" w:cs="TTE1EF7BE0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EF7BE0t00"/>
          <w:sz w:val="26"/>
          <w:szCs w:val="26"/>
          <w:lang w:val="en-US"/>
        </w:rPr>
        <w:t xml:space="preserve">1) </w:t>
      </w:r>
      <w:proofErr w:type="gramStart"/>
      <w:r w:rsidRPr="0068650A">
        <w:rPr>
          <w:rFonts w:ascii="Garamond" w:hAnsi="Garamond" w:cs="TTE1EF7BE0t00"/>
          <w:sz w:val="26"/>
          <w:szCs w:val="26"/>
          <w:lang w:val="en-US"/>
        </w:rPr>
        <w:t>remembering</w:t>
      </w:r>
      <w:proofErr w:type="gramEnd"/>
      <w:r w:rsidRPr="0068650A">
        <w:rPr>
          <w:rFonts w:ascii="Garamond" w:hAnsi="Garamond" w:cs="TTE1EF7BE0t00"/>
          <w:sz w:val="26"/>
          <w:szCs w:val="26"/>
          <w:lang w:val="en-US"/>
        </w:rPr>
        <w:t xml:space="preserve"> to </w:t>
      </w:r>
      <w:r w:rsidRPr="0068650A">
        <w:rPr>
          <w:rFonts w:ascii="Garamond" w:hAnsi="Garamond" w:cs="TTE1F716B8t00"/>
          <w:sz w:val="26"/>
          <w:szCs w:val="26"/>
          <w:lang w:val="en-US"/>
        </w:rPr>
        <w:t xml:space="preserve">give positive commentary </w:t>
      </w:r>
      <w:r w:rsidRPr="0068650A">
        <w:rPr>
          <w:rFonts w:ascii="Garamond" w:hAnsi="Garamond" w:cs="TTE1EF7BE0t00"/>
          <w:sz w:val="26"/>
          <w:szCs w:val="26"/>
          <w:lang w:val="en-US"/>
        </w:rPr>
        <w:t>where a writer</w:t>
      </w:r>
      <w:r w:rsidR="0068650A">
        <w:rPr>
          <w:rFonts w:ascii="Garamond" w:hAnsi="Garamond" w:cs="TTE1EF7BE0t00"/>
          <w:sz w:val="26"/>
          <w:szCs w:val="26"/>
          <w:lang w:val="en-US"/>
        </w:rPr>
        <w:t xml:space="preserve"> </w:t>
      </w:r>
      <w:r w:rsidRPr="0068650A">
        <w:rPr>
          <w:rFonts w:ascii="Garamond" w:hAnsi="Garamond" w:cs="TTE1EF7BE0t00"/>
          <w:sz w:val="26"/>
          <w:szCs w:val="26"/>
          <w:lang w:val="en-US"/>
        </w:rPr>
        <w:t>has done well, and by,</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EF7BE0t00"/>
          <w:sz w:val="26"/>
          <w:szCs w:val="26"/>
          <w:lang w:val="en-US"/>
        </w:rPr>
        <w:t xml:space="preserve">2) </w:t>
      </w:r>
      <w:proofErr w:type="gramStart"/>
      <w:r w:rsidRPr="0068650A">
        <w:rPr>
          <w:rFonts w:ascii="Garamond" w:hAnsi="Garamond" w:cs="TTE1F716B8t00"/>
          <w:sz w:val="26"/>
          <w:szCs w:val="26"/>
          <w:lang w:val="en-US"/>
        </w:rPr>
        <w:t>turning</w:t>
      </w:r>
      <w:proofErr w:type="gramEnd"/>
      <w:r w:rsidRPr="0068650A">
        <w:rPr>
          <w:rFonts w:ascii="Garamond" w:hAnsi="Garamond" w:cs="TTE1F716B8t00"/>
          <w:sz w:val="26"/>
          <w:szCs w:val="26"/>
          <w:lang w:val="en-US"/>
        </w:rPr>
        <w:t xml:space="preserve"> negative feedback into productive feedback</w:t>
      </w:r>
      <w:r w:rsidRPr="0068650A">
        <w:rPr>
          <w:rFonts w:ascii="Garamond" w:hAnsi="Garamond" w:cs="TTE1EF7BE0t00"/>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r w:rsidRPr="0068650A">
        <w:rPr>
          <w:rFonts w:ascii="Garamond" w:hAnsi="Garamond" w:cs="TTE1EF7BE0t00"/>
          <w:sz w:val="26"/>
          <w:szCs w:val="26"/>
          <w:lang w:val="en-US"/>
        </w:rPr>
        <w:t xml:space="preserve">1. </w:t>
      </w:r>
      <w:r w:rsidRPr="0068650A">
        <w:rPr>
          <w:rFonts w:ascii="Garamond" w:hAnsi="Garamond" w:cs="TTE1F716B8t00"/>
          <w:sz w:val="26"/>
          <w:szCs w:val="26"/>
          <w:lang w:val="en-US"/>
        </w:rPr>
        <w:t>When reviewing, it is always important to note a paper</w:t>
      </w:r>
      <w:r w:rsidR="0068650A">
        <w:rPr>
          <w:rFonts w:ascii="Garamond" w:hAnsi="Garamond" w:cs="TTE1F716B8t00"/>
          <w:sz w:val="26"/>
          <w:szCs w:val="26"/>
          <w:lang w:val="en-US"/>
        </w:rPr>
        <w:t>’</w:t>
      </w:r>
      <w:r w:rsidRPr="0068650A">
        <w:rPr>
          <w:rFonts w:ascii="Garamond" w:hAnsi="Garamond" w:cs="TTE1F716B8t00"/>
          <w:sz w:val="26"/>
          <w:szCs w:val="26"/>
          <w:lang w:val="en-US"/>
        </w:rPr>
        <w:t xml:space="preserve">s strengths, so that the author will not lose these in the process of revision. </w:t>
      </w:r>
      <w:r w:rsidRPr="0068650A">
        <w:rPr>
          <w:rFonts w:ascii="Garamond" w:hAnsi="Garamond" w:cs="TTE1EF7BE0t00"/>
          <w:sz w:val="26"/>
          <w:szCs w:val="26"/>
          <w:lang w:val="en-US"/>
        </w:rPr>
        <w:t>Never assume an author will automatically know which parts</w:t>
      </w:r>
      <w:r w:rsidRPr="0068650A">
        <w:rPr>
          <w:rFonts w:ascii="Garamond" w:hAnsi="Garamond" w:cs="TTE1F716B8t00"/>
          <w:sz w:val="26"/>
          <w:szCs w:val="26"/>
          <w:lang w:val="en-US"/>
        </w:rPr>
        <w:t xml:space="preserve"> </w:t>
      </w:r>
      <w:r w:rsidRPr="0068650A">
        <w:rPr>
          <w:rFonts w:ascii="Garamond" w:hAnsi="Garamond" w:cs="TTE1EF7BE0t00"/>
          <w:sz w:val="26"/>
          <w:szCs w:val="26"/>
          <w:lang w:val="en-US"/>
        </w:rPr>
        <w:t xml:space="preserve">of a paper work well... remember, they have been immersed in it too long to be objective. </w:t>
      </w:r>
      <w:r w:rsidR="00D56CD0">
        <w:rPr>
          <w:rFonts w:ascii="Garamond" w:hAnsi="Garamond" w:cs="TTE1EF7BE0t00"/>
          <w:sz w:val="26"/>
          <w:szCs w:val="26"/>
          <w:lang w:val="en-US"/>
        </w:rPr>
        <w:t xml:space="preserve">While you should provide a general commentary at the end of the text, remember to also provide feedback on the text as you read: whether you write “good paragraph” or “unclear – what exactly are you trying to say (unclear pronoun reference)”, make sure to </w:t>
      </w:r>
      <w:r w:rsidR="00E0564F">
        <w:rPr>
          <w:rFonts w:ascii="Garamond" w:hAnsi="Garamond" w:cs="TTE1EF7BE0t00"/>
          <w:sz w:val="26"/>
          <w:szCs w:val="26"/>
          <w:lang w:val="en-US"/>
        </w:rPr>
        <w:t>provide feedback as you read.</w:t>
      </w:r>
    </w:p>
    <w:p w:rsidR="005A3F93" w:rsidRDefault="005A3F93" w:rsidP="008377C0">
      <w:pPr>
        <w:autoSpaceDE w:val="0"/>
        <w:autoSpaceDN w:val="0"/>
        <w:adjustRightInd w:val="0"/>
        <w:spacing w:after="0" w:line="240" w:lineRule="auto"/>
        <w:rPr>
          <w:rFonts w:ascii="Garamond" w:hAnsi="Garamond" w:cs="TTE1EF7BE0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EF7BE0t00"/>
          <w:sz w:val="26"/>
          <w:szCs w:val="26"/>
          <w:lang w:val="en-US"/>
        </w:rPr>
        <w:lastRenderedPageBreak/>
        <w:t xml:space="preserve">2. </w:t>
      </w:r>
      <w:r w:rsidRPr="0068650A">
        <w:rPr>
          <w:rFonts w:ascii="Garamond" w:hAnsi="Garamond" w:cs="TTE1F716B8t00"/>
          <w:sz w:val="26"/>
          <w:szCs w:val="26"/>
          <w:lang w:val="en-US"/>
        </w:rPr>
        <w:t xml:space="preserve">But how to deal with the parts that really do have problems? The key is to make sure the comments you write are substantive comments. </w:t>
      </w:r>
      <w:r w:rsidRPr="0068650A">
        <w:rPr>
          <w:rFonts w:ascii="Garamond" w:hAnsi="Garamond" w:cs="TTE1EF7BE0t00"/>
          <w:sz w:val="26"/>
          <w:szCs w:val="26"/>
          <w:lang w:val="en-US"/>
        </w:rPr>
        <w:t>As we read, we all have reactions to problematic</w:t>
      </w:r>
      <w:r w:rsidRPr="0068650A">
        <w:rPr>
          <w:rFonts w:ascii="Garamond" w:hAnsi="Garamond" w:cs="TTE1F716B8t00"/>
          <w:sz w:val="26"/>
          <w:szCs w:val="26"/>
          <w:lang w:val="en-US"/>
        </w:rPr>
        <w:t xml:space="preserve"> </w:t>
      </w:r>
      <w:r w:rsidRPr="0068650A">
        <w:rPr>
          <w:rFonts w:ascii="Garamond" w:hAnsi="Garamond" w:cs="TTE1EF7BE0t00"/>
          <w:sz w:val="26"/>
          <w:szCs w:val="26"/>
          <w:lang w:val="en-US"/>
        </w:rPr>
        <w:t xml:space="preserve">parts of a paper: </w:t>
      </w:r>
      <w:r w:rsidR="0068650A">
        <w:rPr>
          <w:rFonts w:ascii="Garamond" w:hAnsi="Garamond" w:cs="TTE1EF7BE0t00"/>
          <w:sz w:val="26"/>
          <w:szCs w:val="26"/>
          <w:lang w:val="en-US"/>
        </w:rPr>
        <w:t>“</w:t>
      </w:r>
      <w:r w:rsidRPr="0068650A">
        <w:rPr>
          <w:rFonts w:ascii="Garamond" w:hAnsi="Garamond" w:cs="TTE1EF7BE0t00"/>
          <w:sz w:val="26"/>
          <w:szCs w:val="26"/>
          <w:lang w:val="en-US"/>
        </w:rPr>
        <w:t xml:space="preserve">Huh? This is unclear”... </w:t>
      </w:r>
      <w:r w:rsidR="0068650A">
        <w:rPr>
          <w:rFonts w:ascii="Garamond" w:hAnsi="Garamond" w:cs="TTE1EF7BE0t00"/>
          <w:sz w:val="26"/>
          <w:szCs w:val="26"/>
          <w:lang w:val="en-US"/>
        </w:rPr>
        <w:t>“</w:t>
      </w:r>
      <w:r w:rsidRPr="0068650A">
        <w:rPr>
          <w:rFonts w:ascii="Garamond" w:hAnsi="Garamond" w:cs="TTE1EF7BE0t00"/>
          <w:sz w:val="26"/>
          <w:szCs w:val="26"/>
          <w:lang w:val="en-US"/>
        </w:rPr>
        <w:t xml:space="preserve">Gosh, this is disorganized!”...  </w:t>
      </w:r>
      <w:r w:rsidR="0068650A">
        <w:rPr>
          <w:rFonts w:ascii="Garamond" w:hAnsi="Garamond" w:cs="TTE1EF7BE0t00"/>
          <w:sz w:val="26"/>
          <w:szCs w:val="26"/>
          <w:lang w:val="en-US"/>
        </w:rPr>
        <w:t>“</w:t>
      </w:r>
      <w:r w:rsidRPr="0068650A">
        <w:rPr>
          <w:rFonts w:ascii="Garamond" w:hAnsi="Garamond" w:cs="TTE1EF7BE0t00"/>
          <w:sz w:val="26"/>
          <w:szCs w:val="26"/>
          <w:lang w:val="en-US"/>
        </w:rPr>
        <w:t>What is this person trying</w:t>
      </w:r>
      <w:r w:rsidRPr="0068650A">
        <w:rPr>
          <w:rFonts w:ascii="Garamond" w:hAnsi="Garamond" w:cs="TTE1F716B8t00"/>
          <w:sz w:val="26"/>
          <w:szCs w:val="26"/>
          <w:lang w:val="en-US"/>
        </w:rPr>
        <w:t xml:space="preserve"> </w:t>
      </w:r>
      <w:r w:rsidRPr="0068650A">
        <w:rPr>
          <w:rFonts w:ascii="Garamond" w:hAnsi="Garamond" w:cs="TTE1EF7BE0t00"/>
          <w:sz w:val="26"/>
          <w:szCs w:val="26"/>
          <w:lang w:val="en-US"/>
        </w:rPr>
        <w:t>to say here???</w:t>
      </w:r>
      <w:proofErr w:type="gramStart"/>
      <w:r w:rsidRPr="0068650A">
        <w:rPr>
          <w:rFonts w:ascii="Garamond" w:hAnsi="Garamond" w:cs="TTE1EF7BE0t00"/>
          <w:sz w:val="26"/>
          <w:szCs w:val="26"/>
          <w:lang w:val="en-US"/>
        </w:rPr>
        <w:t>”.</w:t>
      </w:r>
      <w:proofErr w:type="gramEnd"/>
      <w:r w:rsidRPr="0068650A">
        <w:rPr>
          <w:rFonts w:ascii="Garamond" w:hAnsi="Garamond" w:cs="TTE1EF7BE0t00"/>
          <w:sz w:val="26"/>
          <w:szCs w:val="26"/>
          <w:lang w:val="en-US"/>
        </w:rPr>
        <w:t xml:space="preserve"> But these reactions are only the first step in the process of constructing helpful</w:t>
      </w:r>
      <w:r w:rsidRPr="0068650A">
        <w:rPr>
          <w:rFonts w:ascii="Garamond" w:hAnsi="Garamond" w:cs="TTE1F716B8t00"/>
          <w:sz w:val="26"/>
          <w:szCs w:val="26"/>
          <w:lang w:val="en-US"/>
        </w:rPr>
        <w:t xml:space="preserve"> </w:t>
      </w:r>
      <w:r w:rsidRPr="0068650A">
        <w:rPr>
          <w:rFonts w:ascii="Garamond" w:hAnsi="Garamond" w:cs="TTE1EF7BE0t00"/>
          <w:sz w:val="26"/>
          <w:szCs w:val="26"/>
          <w:lang w:val="en-US"/>
        </w:rPr>
        <w:t>commentary, and writing down these initial reactions as comments is not usually useful to the</w:t>
      </w:r>
      <w:r w:rsidR="005A3F93">
        <w:rPr>
          <w:rFonts w:ascii="Garamond" w:hAnsi="Garamond" w:cs="TTE1EF7BE0t00"/>
          <w:sz w:val="26"/>
          <w:szCs w:val="26"/>
          <w:lang w:val="en-US"/>
        </w:rPr>
        <w:t xml:space="preserve"> </w:t>
      </w:r>
      <w:r w:rsidRPr="0068650A">
        <w:rPr>
          <w:rFonts w:ascii="Garamond" w:hAnsi="Garamond" w:cs="TTE1EF7BE0t00"/>
          <w:sz w:val="26"/>
          <w:szCs w:val="26"/>
          <w:lang w:val="en-US"/>
        </w:rPr>
        <w:t xml:space="preserve">writer. </w:t>
      </w:r>
      <w:r w:rsidRPr="0068650A">
        <w:rPr>
          <w:rFonts w:ascii="Garamond" w:hAnsi="Garamond" w:cs="TTE1F716B8t00"/>
          <w:sz w:val="26"/>
          <w:szCs w:val="26"/>
          <w:lang w:val="en-US"/>
        </w:rPr>
        <w:t xml:space="preserve">How can you turn these unhelpful comments into helpful ones? </w:t>
      </w:r>
      <w:r w:rsidRPr="0068650A">
        <w:rPr>
          <w:rFonts w:ascii="Garamond" w:hAnsi="Garamond" w:cs="TTE1EF7BE0t00"/>
          <w:sz w:val="26"/>
          <w:szCs w:val="26"/>
          <w:lang w:val="en-US"/>
        </w:rPr>
        <w:t xml:space="preserve">You need to go a step beyond your initial reaction, and ask yourself </w:t>
      </w:r>
      <w:r w:rsidRPr="0068650A">
        <w:rPr>
          <w:rFonts w:ascii="Garamond" w:hAnsi="Garamond" w:cs="TTE199F8A8t00"/>
          <w:sz w:val="26"/>
          <w:szCs w:val="26"/>
          <w:lang w:val="en-US"/>
        </w:rPr>
        <w:t xml:space="preserve">why </w:t>
      </w:r>
      <w:r w:rsidRPr="0068650A">
        <w:rPr>
          <w:rFonts w:ascii="Garamond" w:hAnsi="Garamond" w:cs="TTE1EF7BE0t00"/>
          <w:sz w:val="26"/>
          <w:szCs w:val="26"/>
          <w:lang w:val="en-US"/>
        </w:rPr>
        <w:t>you are reacting negatively to that sentence or paragraph.</w:t>
      </w:r>
    </w:p>
    <w:p w:rsidR="005A3F93" w:rsidRDefault="005A3F93" w:rsidP="008377C0">
      <w:pPr>
        <w:autoSpaceDE w:val="0"/>
        <w:autoSpaceDN w:val="0"/>
        <w:adjustRightInd w:val="0"/>
        <w:spacing w:after="0" w:line="240" w:lineRule="auto"/>
        <w:rPr>
          <w:rFonts w:ascii="Garamond" w:hAnsi="Garamond" w:cs="TTE1EF7BE0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EF7BE0t00"/>
          <w:sz w:val="26"/>
          <w:szCs w:val="26"/>
          <w:lang w:val="en-US"/>
        </w:rPr>
        <w:t>Why, for instance, does a paragraph seem disorganized? Are several topics mixed together in one paragraph? Or is a single topic treated, but presented out of logical sequence, so that the reader is constantly grasping for information not yet given? Or does the writer seem to start with one idea or position, but then reverse him/herself later in the paragraph?</w:t>
      </w:r>
    </w:p>
    <w:p w:rsidR="005A3F93" w:rsidRDefault="005A3F93" w:rsidP="008377C0">
      <w:pPr>
        <w:autoSpaceDE w:val="0"/>
        <w:autoSpaceDN w:val="0"/>
        <w:adjustRightInd w:val="0"/>
        <w:spacing w:after="0" w:line="240" w:lineRule="auto"/>
        <w:rPr>
          <w:rFonts w:ascii="Garamond" w:hAnsi="Garamond" w:cs="TTE1EF7BE0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EF7BE0t00"/>
          <w:sz w:val="26"/>
          <w:szCs w:val="26"/>
          <w:lang w:val="en-US"/>
        </w:rPr>
        <w:t xml:space="preserve">You can see that this process will take some work on your part, because you need to reflect on your reactions and read in a very involved way. Below are some examples of unhelpful </w:t>
      </w:r>
      <w:r w:rsidR="009E2367">
        <w:rPr>
          <w:rFonts w:ascii="Garamond" w:hAnsi="Garamond" w:cs="TTE1EF7BE0t00"/>
          <w:sz w:val="26"/>
          <w:szCs w:val="26"/>
          <w:lang w:val="en-US"/>
        </w:rPr>
        <w:t>“</w:t>
      </w:r>
      <w:r w:rsidRPr="0068650A">
        <w:rPr>
          <w:rFonts w:ascii="Garamond" w:hAnsi="Garamond" w:cs="TTE1EF7BE0t00"/>
          <w:sz w:val="26"/>
          <w:szCs w:val="26"/>
          <w:lang w:val="en-US"/>
        </w:rPr>
        <w:t>reaction-type” comments that have been turned into helpful comments by this process of reflection.</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bookmarkStart w:id="0" w:name="_GoBack"/>
      <w:bookmarkEnd w:id="0"/>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r w:rsidRPr="0068650A">
        <w:rPr>
          <w:rFonts w:ascii="Garamond" w:hAnsi="Garamond" w:cs="TTE1F716B8t00"/>
          <w:sz w:val="26"/>
          <w:szCs w:val="26"/>
          <w:lang w:val="en-US"/>
        </w:rPr>
        <w:t>Example 1:</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F53F90t00"/>
          <w:sz w:val="26"/>
          <w:szCs w:val="26"/>
          <w:lang w:val="en-US"/>
        </w:rPr>
        <w:t xml:space="preserve">Unhelpful comment: </w:t>
      </w:r>
      <w:r w:rsidR="009E2367">
        <w:rPr>
          <w:rFonts w:ascii="Garamond" w:hAnsi="Garamond" w:cs="TTE1EF7BE0t00"/>
          <w:i/>
          <w:sz w:val="26"/>
          <w:szCs w:val="26"/>
          <w:lang w:val="en-US"/>
        </w:rPr>
        <w:t>“</w:t>
      </w:r>
      <w:r w:rsidRPr="0068650A">
        <w:rPr>
          <w:rFonts w:ascii="Garamond" w:hAnsi="Garamond" w:cs="TTE1EF7BE0t00"/>
          <w:i/>
          <w:sz w:val="26"/>
          <w:szCs w:val="26"/>
          <w:lang w:val="en-US"/>
        </w:rPr>
        <w:t>This section needs work.</w:t>
      </w:r>
      <w:r w:rsidR="009E2367">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F53F90t00"/>
          <w:sz w:val="26"/>
          <w:szCs w:val="26"/>
          <w:lang w:val="en-US"/>
        </w:rPr>
        <w:t xml:space="preserve">Helpful Comment: </w:t>
      </w:r>
      <w:r w:rsidRPr="0068650A">
        <w:rPr>
          <w:rFonts w:ascii="Garamond" w:hAnsi="Garamond" w:cs="TTE1EF7BE0t00"/>
          <w:i/>
          <w:sz w:val="26"/>
          <w:szCs w:val="26"/>
          <w:lang w:val="en-US"/>
        </w:rPr>
        <w:t xml:space="preserve">Combine the related actions into a single sentence in Methods, </w:t>
      </w:r>
      <w:proofErr w:type="spellStart"/>
      <w:r w:rsidRPr="0068650A">
        <w:rPr>
          <w:rFonts w:ascii="Garamond" w:hAnsi="Garamond" w:cs="TTE1EF7BE0t00"/>
          <w:i/>
          <w:sz w:val="26"/>
          <w:szCs w:val="26"/>
          <w:lang w:val="en-US"/>
        </w:rPr>
        <w:t>eg</w:t>
      </w:r>
      <w:proofErr w:type="spellEnd"/>
      <w:r w:rsidRPr="0068650A">
        <w:rPr>
          <w:rFonts w:ascii="Garamond" w:hAnsi="Garamond" w:cs="TTE1EF7BE0t00"/>
          <w:i/>
          <w:sz w:val="26"/>
          <w:szCs w:val="26"/>
          <w:lang w:val="en-US"/>
        </w:rPr>
        <w:t xml:space="preserve">, </w:t>
      </w:r>
      <w:r w:rsidR="009E2367">
        <w:rPr>
          <w:rFonts w:ascii="Garamond" w:hAnsi="Garamond" w:cs="TTE1EF7BE0t00"/>
          <w:i/>
          <w:sz w:val="26"/>
          <w:szCs w:val="26"/>
          <w:lang w:val="en-US"/>
        </w:rPr>
        <w:t>“</w:t>
      </w:r>
      <w:r w:rsidRPr="0068650A">
        <w:rPr>
          <w:rFonts w:ascii="Garamond" w:hAnsi="Garamond" w:cs="TTE1EF7BE0t00"/>
          <w:i/>
          <w:sz w:val="26"/>
          <w:szCs w:val="26"/>
          <w:lang w:val="en-US"/>
        </w:rPr>
        <w:t xml:space="preserve">Flies were assigned randomly to 5 treatment groups of 25, and were weighed, sexed, and marked with nontoxic paint before </w:t>
      </w:r>
      <w:r w:rsidR="009E2367" w:rsidRPr="0068650A">
        <w:rPr>
          <w:rFonts w:ascii="Garamond" w:hAnsi="Garamond" w:cs="TTE1EF7BE0t00"/>
          <w:i/>
          <w:sz w:val="26"/>
          <w:szCs w:val="26"/>
          <w:lang w:val="en-US"/>
        </w:rPr>
        <w:t>behavioral</w:t>
      </w:r>
      <w:r w:rsidRPr="0068650A">
        <w:rPr>
          <w:rFonts w:ascii="Garamond" w:hAnsi="Garamond" w:cs="TTE1EF7BE0t00"/>
          <w:i/>
          <w:sz w:val="26"/>
          <w:szCs w:val="26"/>
          <w:lang w:val="en-US"/>
        </w:rPr>
        <w:t xml:space="preserve"> trials began</w:t>
      </w:r>
      <w:r w:rsidR="009E2367">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r w:rsidRPr="0068650A">
        <w:rPr>
          <w:rFonts w:ascii="Garamond" w:hAnsi="Garamond" w:cs="TTE1F716B8t00"/>
          <w:sz w:val="26"/>
          <w:szCs w:val="26"/>
          <w:lang w:val="en-US"/>
        </w:rPr>
        <w:t>Example 2:</w:t>
      </w:r>
    </w:p>
    <w:p w:rsidR="008377C0" w:rsidRPr="0068650A" w:rsidRDefault="008377C0" w:rsidP="008377C0">
      <w:pPr>
        <w:autoSpaceDE w:val="0"/>
        <w:autoSpaceDN w:val="0"/>
        <w:adjustRightInd w:val="0"/>
        <w:spacing w:after="0" w:line="240" w:lineRule="auto"/>
        <w:rPr>
          <w:rFonts w:ascii="Garamond" w:hAnsi="Garamond" w:cs="TTE1EF7BE0t00"/>
          <w:i/>
          <w:sz w:val="26"/>
          <w:szCs w:val="26"/>
          <w:lang w:val="en-US"/>
        </w:rPr>
      </w:pPr>
      <w:r w:rsidRPr="0068650A">
        <w:rPr>
          <w:rFonts w:ascii="Garamond" w:hAnsi="Garamond" w:cs="TTE1F53F90t00"/>
          <w:sz w:val="26"/>
          <w:szCs w:val="26"/>
          <w:lang w:val="en-US"/>
        </w:rPr>
        <w:t>Unhelpful comment</w:t>
      </w:r>
      <w:r w:rsidRPr="0068650A">
        <w:rPr>
          <w:rFonts w:ascii="Garamond" w:hAnsi="Garamond" w:cs="TTE1F53F90t00"/>
          <w:i/>
          <w:sz w:val="26"/>
          <w:szCs w:val="26"/>
          <w:lang w:val="en-US"/>
        </w:rPr>
        <w:t xml:space="preserve">: </w:t>
      </w:r>
      <w:r w:rsidR="009E2367">
        <w:rPr>
          <w:rFonts w:ascii="Garamond" w:hAnsi="Garamond" w:cs="TTE1EF7BE0t00"/>
          <w:i/>
          <w:sz w:val="26"/>
          <w:szCs w:val="26"/>
          <w:lang w:val="en-US"/>
        </w:rPr>
        <w:t>“</w:t>
      </w:r>
      <w:r w:rsidRPr="0068650A">
        <w:rPr>
          <w:rFonts w:ascii="Garamond" w:hAnsi="Garamond" w:cs="TTE1EF7BE0t00"/>
          <w:i/>
          <w:sz w:val="26"/>
          <w:szCs w:val="26"/>
          <w:lang w:val="en-US"/>
        </w:rPr>
        <w:t>Disorganized!</w:t>
      </w:r>
      <w:r w:rsidR="009E2367">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EF7BE0t00"/>
          <w:i/>
          <w:sz w:val="26"/>
          <w:szCs w:val="26"/>
          <w:lang w:val="en-US"/>
        </w:rPr>
      </w:pPr>
      <w:r w:rsidRPr="0068650A">
        <w:rPr>
          <w:rFonts w:ascii="Garamond" w:hAnsi="Garamond" w:cs="TTE1F53F90t00"/>
          <w:sz w:val="26"/>
          <w:szCs w:val="26"/>
          <w:lang w:val="en-US"/>
        </w:rPr>
        <w:t xml:space="preserve">Helpful Comment: </w:t>
      </w:r>
      <w:r w:rsidR="009E2367">
        <w:rPr>
          <w:rFonts w:ascii="Garamond" w:hAnsi="Garamond" w:cs="TTE1EF7BE0t00"/>
          <w:i/>
          <w:sz w:val="26"/>
          <w:szCs w:val="26"/>
          <w:lang w:val="en-US"/>
        </w:rPr>
        <w:t>“</w:t>
      </w:r>
      <w:r w:rsidRPr="0068650A">
        <w:rPr>
          <w:rFonts w:ascii="Garamond" w:hAnsi="Garamond" w:cs="TTE1EF7BE0t00"/>
          <w:i/>
          <w:sz w:val="26"/>
          <w:szCs w:val="26"/>
          <w:lang w:val="en-US"/>
        </w:rPr>
        <w:t>This section discusses both animal-rearing conditions and experimental methods, but the two are mixed together. Could you separate each into its own paragraph?</w:t>
      </w:r>
      <w:r w:rsidR="009E2367">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r w:rsidRPr="0068650A">
        <w:rPr>
          <w:rFonts w:ascii="Garamond" w:hAnsi="Garamond" w:cs="TTE1F716B8t00"/>
          <w:sz w:val="26"/>
          <w:szCs w:val="26"/>
          <w:lang w:val="en-US"/>
        </w:rPr>
        <w:t>Example 3:</w:t>
      </w:r>
    </w:p>
    <w:p w:rsidR="008377C0" w:rsidRPr="0068650A" w:rsidRDefault="008377C0" w:rsidP="008377C0">
      <w:pPr>
        <w:autoSpaceDE w:val="0"/>
        <w:autoSpaceDN w:val="0"/>
        <w:adjustRightInd w:val="0"/>
        <w:spacing w:after="0" w:line="240" w:lineRule="auto"/>
        <w:rPr>
          <w:rFonts w:ascii="Garamond" w:hAnsi="Garamond" w:cs="TTE1EF7BE0t00"/>
          <w:sz w:val="26"/>
          <w:szCs w:val="26"/>
          <w:lang w:val="en-US"/>
        </w:rPr>
      </w:pPr>
      <w:r w:rsidRPr="0068650A">
        <w:rPr>
          <w:rFonts w:ascii="Garamond" w:hAnsi="Garamond" w:cs="TTE1F53F90t00"/>
          <w:sz w:val="26"/>
          <w:szCs w:val="26"/>
          <w:lang w:val="en-US"/>
        </w:rPr>
        <w:t xml:space="preserve">Unhelpful comment: </w:t>
      </w:r>
      <w:r w:rsidR="009E2367">
        <w:rPr>
          <w:rFonts w:ascii="Garamond" w:hAnsi="Garamond" w:cs="TTE1EF7BE0t00"/>
          <w:i/>
          <w:sz w:val="26"/>
          <w:szCs w:val="26"/>
          <w:lang w:val="en-US"/>
        </w:rPr>
        <w:t>“</w:t>
      </w:r>
      <w:r w:rsidRPr="0068650A">
        <w:rPr>
          <w:rFonts w:ascii="Garamond" w:hAnsi="Garamond" w:cs="TTE1EF7BE0t00"/>
          <w:i/>
          <w:sz w:val="26"/>
          <w:szCs w:val="26"/>
          <w:lang w:val="en-US"/>
        </w:rPr>
        <w:t>How are these references relevant?</w:t>
      </w:r>
      <w:r w:rsidR="009E2367">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EF7BE0t00"/>
          <w:i/>
          <w:sz w:val="26"/>
          <w:szCs w:val="26"/>
          <w:lang w:val="en-US"/>
        </w:rPr>
      </w:pPr>
      <w:r w:rsidRPr="0068650A">
        <w:rPr>
          <w:rFonts w:ascii="Garamond" w:hAnsi="Garamond" w:cs="TTE1F53F90t00"/>
          <w:sz w:val="26"/>
          <w:szCs w:val="26"/>
          <w:lang w:val="en-US"/>
        </w:rPr>
        <w:t xml:space="preserve">Helpful Comment: </w:t>
      </w:r>
      <w:r w:rsidR="009E2367">
        <w:rPr>
          <w:rFonts w:ascii="Garamond" w:hAnsi="Garamond" w:cs="TTE1EF7BE0t00"/>
          <w:i/>
          <w:sz w:val="26"/>
          <w:szCs w:val="26"/>
          <w:lang w:val="en-US"/>
        </w:rPr>
        <w:t>“</w:t>
      </w:r>
      <w:r w:rsidRPr="0068650A">
        <w:rPr>
          <w:rFonts w:ascii="Garamond" w:hAnsi="Garamond" w:cs="TTE1EF7BE0t00"/>
          <w:i/>
          <w:sz w:val="26"/>
          <w:szCs w:val="26"/>
          <w:lang w:val="en-US"/>
        </w:rPr>
        <w:t>The background and references given in paragraph 2 don</w:t>
      </w:r>
      <w:r w:rsidR="0068650A">
        <w:rPr>
          <w:rFonts w:ascii="Garamond" w:hAnsi="Garamond" w:cs="TTE1EF7BE0t00"/>
          <w:i/>
          <w:sz w:val="26"/>
          <w:szCs w:val="26"/>
          <w:lang w:val="en-US"/>
        </w:rPr>
        <w:t>’</w:t>
      </w:r>
      <w:r w:rsidRPr="0068650A">
        <w:rPr>
          <w:rFonts w:ascii="Garamond" w:hAnsi="Garamond" w:cs="TTE1EF7BE0t00"/>
          <w:i/>
          <w:sz w:val="26"/>
          <w:szCs w:val="26"/>
          <w:lang w:val="en-US"/>
        </w:rPr>
        <w:t>t seem directly relevant to our hypothesis. I think we need references on how light has been shown to affect flowering (in sunflower or any species), and less on other factors that promote or inhibit flowering.</w:t>
      </w:r>
      <w:r w:rsidR="009E2367">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p>
    <w:p w:rsidR="008377C0" w:rsidRPr="0068650A" w:rsidRDefault="008377C0" w:rsidP="008377C0">
      <w:pPr>
        <w:autoSpaceDE w:val="0"/>
        <w:autoSpaceDN w:val="0"/>
        <w:adjustRightInd w:val="0"/>
        <w:spacing w:after="0" w:line="240" w:lineRule="auto"/>
        <w:rPr>
          <w:rFonts w:ascii="Garamond" w:hAnsi="Garamond" w:cs="TTE1F716B8t00"/>
          <w:sz w:val="26"/>
          <w:szCs w:val="26"/>
          <w:lang w:val="en-US"/>
        </w:rPr>
      </w:pPr>
      <w:r w:rsidRPr="0068650A">
        <w:rPr>
          <w:rFonts w:ascii="Garamond" w:hAnsi="Garamond" w:cs="TTE1F716B8t00"/>
          <w:sz w:val="26"/>
          <w:szCs w:val="26"/>
          <w:lang w:val="en-US"/>
        </w:rPr>
        <w:t>Example 4:</w:t>
      </w:r>
    </w:p>
    <w:p w:rsidR="008377C0" w:rsidRPr="0068650A" w:rsidRDefault="008377C0" w:rsidP="008377C0">
      <w:pPr>
        <w:autoSpaceDE w:val="0"/>
        <w:autoSpaceDN w:val="0"/>
        <w:adjustRightInd w:val="0"/>
        <w:spacing w:after="0" w:line="240" w:lineRule="auto"/>
        <w:rPr>
          <w:rFonts w:ascii="Garamond" w:hAnsi="Garamond" w:cs="TTE1EF7BE0t00"/>
          <w:i/>
          <w:sz w:val="26"/>
          <w:szCs w:val="26"/>
          <w:lang w:val="en-US"/>
        </w:rPr>
      </w:pPr>
      <w:r w:rsidRPr="0068650A">
        <w:rPr>
          <w:rFonts w:ascii="Garamond" w:hAnsi="Garamond" w:cs="TTE1F53F90t00"/>
          <w:sz w:val="26"/>
          <w:szCs w:val="26"/>
          <w:lang w:val="en-US"/>
        </w:rPr>
        <w:t xml:space="preserve">Unhelpful comment: </w:t>
      </w:r>
      <w:r w:rsidR="001E2099">
        <w:rPr>
          <w:rFonts w:ascii="Garamond" w:hAnsi="Garamond" w:cs="TTE1EF7BE0t00"/>
          <w:i/>
          <w:sz w:val="26"/>
          <w:szCs w:val="26"/>
          <w:lang w:val="en-US"/>
        </w:rPr>
        <w:t>“</w:t>
      </w:r>
      <w:r w:rsidRPr="0068650A">
        <w:rPr>
          <w:rFonts w:ascii="Garamond" w:hAnsi="Garamond" w:cs="TTE1EF7BE0t00"/>
          <w:i/>
          <w:sz w:val="26"/>
          <w:szCs w:val="26"/>
          <w:lang w:val="en-US"/>
        </w:rPr>
        <w:t>Unclear.</w:t>
      </w:r>
      <w:r w:rsidR="001E2099">
        <w:rPr>
          <w:rFonts w:ascii="Garamond" w:hAnsi="Garamond" w:cs="TTE1EF7BE0t00"/>
          <w:i/>
          <w:sz w:val="26"/>
          <w:szCs w:val="26"/>
          <w:lang w:val="en-US"/>
        </w:rPr>
        <w:t>”</w:t>
      </w:r>
    </w:p>
    <w:p w:rsidR="008377C0" w:rsidRPr="0068650A" w:rsidRDefault="008377C0" w:rsidP="008377C0">
      <w:pPr>
        <w:autoSpaceDE w:val="0"/>
        <w:autoSpaceDN w:val="0"/>
        <w:adjustRightInd w:val="0"/>
        <w:spacing w:after="0" w:line="240" w:lineRule="auto"/>
        <w:rPr>
          <w:rFonts w:ascii="Garamond" w:hAnsi="Garamond" w:cs="TTE1EF7BE0t00"/>
          <w:i/>
          <w:sz w:val="26"/>
          <w:szCs w:val="26"/>
          <w:lang w:val="en-US"/>
        </w:rPr>
      </w:pPr>
      <w:r w:rsidRPr="0068650A">
        <w:rPr>
          <w:rFonts w:ascii="Garamond" w:hAnsi="Garamond" w:cs="TTE1F53F90t00"/>
          <w:sz w:val="26"/>
          <w:szCs w:val="26"/>
          <w:lang w:val="en-US"/>
        </w:rPr>
        <w:t xml:space="preserve">Helpful Comment: </w:t>
      </w:r>
      <w:r w:rsidR="001E2099">
        <w:rPr>
          <w:rFonts w:ascii="Garamond" w:hAnsi="Garamond" w:cs="TTE1EF7BE0t00"/>
          <w:i/>
          <w:sz w:val="26"/>
          <w:szCs w:val="26"/>
          <w:lang w:val="en-US"/>
        </w:rPr>
        <w:t>“</w:t>
      </w:r>
      <w:r w:rsidRPr="0068650A">
        <w:rPr>
          <w:rFonts w:ascii="Garamond" w:hAnsi="Garamond" w:cs="TTE1EF7BE0t00"/>
          <w:i/>
          <w:sz w:val="26"/>
          <w:szCs w:val="26"/>
          <w:lang w:val="en-US"/>
        </w:rPr>
        <w:t>I</w:t>
      </w:r>
      <w:r w:rsidR="0068650A">
        <w:rPr>
          <w:rFonts w:ascii="Garamond" w:hAnsi="Garamond" w:cs="TTE1EF7BE0t00"/>
          <w:i/>
          <w:sz w:val="26"/>
          <w:szCs w:val="26"/>
          <w:lang w:val="en-US"/>
        </w:rPr>
        <w:t>’</w:t>
      </w:r>
      <w:r w:rsidRPr="0068650A">
        <w:rPr>
          <w:rFonts w:ascii="Garamond" w:hAnsi="Garamond" w:cs="TTE1EF7BE0t00"/>
          <w:i/>
          <w:sz w:val="26"/>
          <w:szCs w:val="26"/>
          <w:lang w:val="en-US"/>
        </w:rPr>
        <w:t>m not sure what your interpretation is after these two paragraphs: does the experiment show that mung beans cure cancer, or not? Which are we concluding? If the sample size is too small, we need to discuss that when we suggest future research, but that does not change our results here.</w:t>
      </w:r>
      <w:r w:rsidR="001E2099">
        <w:rPr>
          <w:rFonts w:ascii="Garamond" w:hAnsi="Garamond" w:cs="TTE1EF7BE0t00"/>
          <w:i/>
          <w:sz w:val="26"/>
          <w:szCs w:val="26"/>
          <w:lang w:val="en-US"/>
        </w:rPr>
        <w:t>”</w:t>
      </w:r>
    </w:p>
    <w:p w:rsidR="008377C0" w:rsidRPr="0068650A" w:rsidRDefault="008377C0" w:rsidP="008377C0">
      <w:pPr>
        <w:rPr>
          <w:rFonts w:ascii="Garamond" w:hAnsi="Garamond"/>
          <w:i/>
          <w:sz w:val="26"/>
          <w:szCs w:val="26"/>
          <w:lang w:val="en-US"/>
        </w:rPr>
      </w:pPr>
    </w:p>
    <w:p w:rsidR="008377C0" w:rsidRPr="0068650A" w:rsidRDefault="008377C0" w:rsidP="008377C0">
      <w:pPr>
        <w:jc w:val="right"/>
        <w:rPr>
          <w:rFonts w:ascii="Garamond" w:hAnsi="Garamond"/>
          <w:i/>
          <w:sz w:val="20"/>
          <w:szCs w:val="20"/>
          <w:lang w:val="en-US"/>
        </w:rPr>
      </w:pPr>
      <w:r w:rsidRPr="0068650A">
        <w:rPr>
          <w:rFonts w:ascii="Garamond" w:hAnsi="Garamond"/>
          <w:i/>
          <w:sz w:val="20"/>
          <w:szCs w:val="20"/>
          <w:lang w:val="en-US"/>
        </w:rPr>
        <w:t>http://abacus.bates.edu/~ganderso/biology/resources/writing/HTW_Guide_Effective_PR_9-30-08.pdf</w:t>
      </w:r>
    </w:p>
    <w:sectPr w:rsidR="008377C0" w:rsidRPr="0068650A" w:rsidSect="00966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TE1F716B8t00">
    <w:panose1 w:val="00000000000000000000"/>
    <w:charset w:val="EE"/>
    <w:family w:val="auto"/>
    <w:notTrueType/>
    <w:pitch w:val="default"/>
    <w:sig w:usb0="00000005" w:usb1="00000000" w:usb2="00000000" w:usb3="00000000" w:csb0="00000002" w:csb1="00000000"/>
  </w:font>
  <w:font w:name="TTE1EF7BE0t00">
    <w:panose1 w:val="00000000000000000000"/>
    <w:charset w:val="EE"/>
    <w:family w:val="auto"/>
    <w:notTrueType/>
    <w:pitch w:val="default"/>
    <w:sig w:usb0="00000005" w:usb1="00000000" w:usb2="00000000" w:usb3="00000000" w:csb0="00000002" w:csb1="00000000"/>
  </w:font>
  <w:font w:name="TTE199F8A8t00">
    <w:panose1 w:val="00000000000000000000"/>
    <w:charset w:val="EE"/>
    <w:family w:val="auto"/>
    <w:notTrueType/>
    <w:pitch w:val="default"/>
    <w:sig w:usb0="00000005" w:usb1="00000000" w:usb2="00000000" w:usb3="00000000" w:csb0="00000002" w:csb1="00000000"/>
  </w:font>
  <w:font w:name="TTE1F53F90t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7E69"/>
    <w:multiLevelType w:val="multilevel"/>
    <w:tmpl w:val="BA2A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68583C"/>
    <w:multiLevelType w:val="multilevel"/>
    <w:tmpl w:val="5F42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8377C0"/>
    <w:rsid w:val="000675FC"/>
    <w:rsid w:val="001E2099"/>
    <w:rsid w:val="003537D4"/>
    <w:rsid w:val="005A3F93"/>
    <w:rsid w:val="0068650A"/>
    <w:rsid w:val="0077486A"/>
    <w:rsid w:val="007A5308"/>
    <w:rsid w:val="008377C0"/>
    <w:rsid w:val="008D6CBD"/>
    <w:rsid w:val="00966F9E"/>
    <w:rsid w:val="009E2367"/>
    <w:rsid w:val="00CE0D70"/>
    <w:rsid w:val="00D56CD0"/>
    <w:rsid w:val="00E05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65DC8-0F9E-4E03-A054-433FA1A4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F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377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377C0"/>
    <w:rPr>
      <w:b/>
      <w:bCs/>
    </w:rPr>
  </w:style>
  <w:style w:type="character" w:styleId="Hypertextovodkaz">
    <w:name w:val="Hyperlink"/>
    <w:basedOn w:val="Standardnpsmoodstavce"/>
    <w:uiPriority w:val="99"/>
    <w:unhideWhenUsed/>
    <w:rsid w:val="00837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709</Words>
  <Characters>4186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Zouhar Ludvíková</dc:creator>
  <cp:lastModifiedBy>zita</cp:lastModifiedBy>
  <cp:revision>9</cp:revision>
  <dcterms:created xsi:type="dcterms:W3CDTF">2016-11-12T16:48:00Z</dcterms:created>
  <dcterms:modified xsi:type="dcterms:W3CDTF">2016-11-14T14:54:00Z</dcterms:modified>
</cp:coreProperties>
</file>