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72" w:rsidRDefault="00F13673" w:rsidP="00F13673">
      <w:pPr>
        <w:jc w:val="center"/>
        <w:rPr>
          <w:b/>
          <w:sz w:val="32"/>
          <w:szCs w:val="32"/>
        </w:rPr>
      </w:pPr>
      <w:r w:rsidRPr="00F13673">
        <w:rPr>
          <w:b/>
          <w:sz w:val="32"/>
          <w:szCs w:val="32"/>
        </w:rPr>
        <w:t>Náplň praxe sportovní kluby – obor fyzioterapie</w:t>
      </w:r>
    </w:p>
    <w:p w:rsidR="00F13673" w:rsidRDefault="00F13673" w:rsidP="00F13673">
      <w:pPr>
        <w:jc w:val="center"/>
        <w:rPr>
          <w:b/>
          <w:sz w:val="32"/>
          <w:szCs w:val="32"/>
        </w:rPr>
      </w:pPr>
    </w:p>
    <w:tbl>
      <w:tblPr>
        <w:tblStyle w:val="Svetlmriekazvraznenie3"/>
        <w:tblW w:w="14283" w:type="dxa"/>
        <w:tblLook w:val="04A0"/>
      </w:tblPr>
      <w:tblGrid>
        <w:gridCol w:w="2480"/>
        <w:gridCol w:w="2433"/>
        <w:gridCol w:w="2680"/>
        <w:gridCol w:w="6690"/>
      </w:tblGrid>
      <w:tr w:rsidR="00F13673" w:rsidTr="00E10979">
        <w:trPr>
          <w:cnfStyle w:val="100000000000"/>
        </w:trPr>
        <w:tc>
          <w:tcPr>
            <w:cnfStyle w:val="001000000000"/>
            <w:tcW w:w="2480" w:type="dxa"/>
          </w:tcPr>
          <w:p w:rsidR="00F13673" w:rsidRPr="00F13673" w:rsidRDefault="00F13673" w:rsidP="00F13673">
            <w:pPr>
              <w:ind w:firstLine="0"/>
              <w:jc w:val="center"/>
            </w:pPr>
            <w:r w:rsidRPr="00F13673">
              <w:t>Předmět</w:t>
            </w:r>
          </w:p>
        </w:tc>
        <w:tc>
          <w:tcPr>
            <w:tcW w:w="2433" w:type="dxa"/>
          </w:tcPr>
          <w:p w:rsidR="00F13673" w:rsidRPr="00F13673" w:rsidRDefault="00F13673" w:rsidP="00F13673">
            <w:pPr>
              <w:ind w:firstLine="0"/>
              <w:jc w:val="center"/>
              <w:cnfStyle w:val="100000000000"/>
            </w:pPr>
            <w:r>
              <w:t>Délka praxe</w:t>
            </w:r>
          </w:p>
        </w:tc>
        <w:tc>
          <w:tcPr>
            <w:tcW w:w="2680" w:type="dxa"/>
          </w:tcPr>
          <w:p w:rsidR="00F13673" w:rsidRPr="00F13673" w:rsidRDefault="00F13673" w:rsidP="00F13673">
            <w:pPr>
              <w:ind w:firstLine="0"/>
              <w:jc w:val="center"/>
              <w:cnfStyle w:val="100000000000"/>
            </w:pPr>
            <w:r w:rsidRPr="00F13673">
              <w:t>Časové pokrytí v klubu</w:t>
            </w:r>
          </w:p>
        </w:tc>
        <w:tc>
          <w:tcPr>
            <w:tcW w:w="6690" w:type="dxa"/>
          </w:tcPr>
          <w:p w:rsidR="00F13673" w:rsidRPr="00F13673" w:rsidRDefault="00F13673" w:rsidP="00F13673">
            <w:pPr>
              <w:ind w:firstLine="0"/>
              <w:jc w:val="center"/>
              <w:cnfStyle w:val="100000000000"/>
            </w:pPr>
            <w:r w:rsidRPr="00F13673">
              <w:t>Charakteristika</w:t>
            </w:r>
          </w:p>
        </w:tc>
      </w:tr>
      <w:tr w:rsidR="00F13673" w:rsidTr="00E10979">
        <w:trPr>
          <w:cnfStyle w:val="000000100000"/>
        </w:trPr>
        <w:tc>
          <w:tcPr>
            <w:cnfStyle w:val="001000000000"/>
            <w:tcW w:w="2480" w:type="dxa"/>
          </w:tcPr>
          <w:p w:rsidR="00F13673" w:rsidRPr="00F13673" w:rsidRDefault="00F13673" w:rsidP="00F13673">
            <w:pPr>
              <w:ind w:firstLine="0"/>
              <w:jc w:val="center"/>
            </w:pPr>
            <w:r>
              <w:t>Odborná praxe I</w:t>
            </w:r>
          </w:p>
        </w:tc>
        <w:tc>
          <w:tcPr>
            <w:tcW w:w="2433" w:type="dxa"/>
          </w:tcPr>
          <w:p w:rsidR="00F13673" w:rsidRPr="00E10979" w:rsidRDefault="00F13673" w:rsidP="00F13673">
            <w:pPr>
              <w:ind w:firstLine="0"/>
              <w:jc w:val="center"/>
              <w:cnfStyle w:val="000000100000"/>
              <w:rPr>
                <w:b/>
                <w:i/>
              </w:rPr>
            </w:pPr>
            <w:r w:rsidRPr="00E10979">
              <w:rPr>
                <w:b/>
                <w:i/>
              </w:rPr>
              <w:t>1 týden</w:t>
            </w:r>
          </w:p>
        </w:tc>
        <w:tc>
          <w:tcPr>
            <w:tcW w:w="2680" w:type="dxa"/>
          </w:tcPr>
          <w:p w:rsidR="00F13673" w:rsidRPr="00F13673" w:rsidRDefault="00F13673" w:rsidP="00001D0D">
            <w:pPr>
              <w:ind w:firstLine="0"/>
              <w:jc w:val="center"/>
              <w:cnfStyle w:val="000000100000"/>
            </w:pPr>
            <w:r>
              <w:t>od začátku přípravného období (</w:t>
            </w:r>
            <w:r w:rsidR="00001D0D">
              <w:t>červenec</w:t>
            </w:r>
            <w:r>
              <w:t xml:space="preserve"> – polovina září)</w:t>
            </w:r>
          </w:p>
        </w:tc>
        <w:tc>
          <w:tcPr>
            <w:tcW w:w="6690" w:type="dxa"/>
          </w:tcPr>
          <w:p w:rsidR="00F13673" w:rsidRDefault="00E10979" w:rsidP="00E10979">
            <w:pPr>
              <w:pStyle w:val="Odsekzoznamu"/>
              <w:numPr>
                <w:ilvl w:val="0"/>
                <w:numId w:val="10"/>
              </w:numPr>
              <w:jc w:val="center"/>
              <w:cnfStyle w:val="000000100000"/>
            </w:pPr>
            <w:r>
              <w:t>klasická a sportovní masáž</w:t>
            </w:r>
          </w:p>
          <w:p w:rsidR="00E10979" w:rsidRDefault="00E10979" w:rsidP="00E10979">
            <w:pPr>
              <w:pStyle w:val="Odsekzoznamu"/>
              <w:numPr>
                <w:ilvl w:val="0"/>
                <w:numId w:val="10"/>
              </w:numPr>
              <w:jc w:val="center"/>
              <w:cnfStyle w:val="000000100000"/>
            </w:pPr>
            <w:r>
              <w:t>možnost účastnit se tréninků jako divák pro lepší představu specifických pohybových dovedností</w:t>
            </w:r>
          </w:p>
          <w:p w:rsidR="00E10979" w:rsidRPr="00F13673" w:rsidRDefault="00E10979" w:rsidP="00E10979">
            <w:pPr>
              <w:pStyle w:val="Odsekzoznamu"/>
              <w:numPr>
                <w:ilvl w:val="0"/>
                <w:numId w:val="10"/>
              </w:numPr>
              <w:jc w:val="center"/>
              <w:cnfStyle w:val="000000100000"/>
            </w:pPr>
            <w:r>
              <w:t>náhled do dokumentace předmětu Odborná praxe III</w:t>
            </w:r>
          </w:p>
        </w:tc>
      </w:tr>
      <w:tr w:rsidR="00F13673" w:rsidTr="00E10979">
        <w:trPr>
          <w:cnfStyle w:val="000000010000"/>
        </w:trPr>
        <w:tc>
          <w:tcPr>
            <w:cnfStyle w:val="001000000000"/>
            <w:tcW w:w="2480" w:type="dxa"/>
          </w:tcPr>
          <w:p w:rsidR="00F13673" w:rsidRPr="00F13673" w:rsidRDefault="00F13673" w:rsidP="00F13673">
            <w:pPr>
              <w:ind w:firstLine="0"/>
              <w:jc w:val="center"/>
            </w:pPr>
            <w:r>
              <w:t>Odborná praxe III</w:t>
            </w:r>
          </w:p>
        </w:tc>
        <w:tc>
          <w:tcPr>
            <w:tcW w:w="2433" w:type="dxa"/>
          </w:tcPr>
          <w:p w:rsidR="00F13673" w:rsidRPr="00E10979" w:rsidRDefault="00F13673" w:rsidP="00F13673">
            <w:pPr>
              <w:ind w:firstLine="0"/>
              <w:jc w:val="center"/>
              <w:cnfStyle w:val="000000010000"/>
              <w:rPr>
                <w:b/>
                <w:i/>
              </w:rPr>
            </w:pPr>
            <w:r w:rsidRPr="00E10979">
              <w:rPr>
                <w:b/>
                <w:i/>
              </w:rPr>
              <w:t>2 týdny</w:t>
            </w:r>
          </w:p>
        </w:tc>
        <w:tc>
          <w:tcPr>
            <w:tcW w:w="2680" w:type="dxa"/>
          </w:tcPr>
          <w:p w:rsidR="00F13673" w:rsidRPr="00F13673" w:rsidRDefault="00F13673" w:rsidP="00F13673">
            <w:pPr>
              <w:ind w:firstLine="0"/>
              <w:jc w:val="center"/>
              <w:cnfStyle w:val="000000010000"/>
            </w:pPr>
            <w:r>
              <w:t>od z</w:t>
            </w:r>
            <w:r w:rsidR="00001D0D">
              <w:t>ačátku přípravného období (červenec</w:t>
            </w:r>
            <w:r>
              <w:t xml:space="preserve"> – polovina září)</w:t>
            </w:r>
          </w:p>
        </w:tc>
        <w:tc>
          <w:tcPr>
            <w:tcW w:w="6690" w:type="dxa"/>
          </w:tcPr>
          <w:p w:rsidR="00E10979" w:rsidRDefault="00E10979" w:rsidP="00E10979">
            <w:pPr>
              <w:pStyle w:val="Odsekzoznamu"/>
              <w:numPr>
                <w:ilvl w:val="0"/>
                <w:numId w:val="10"/>
              </w:numPr>
              <w:jc w:val="center"/>
              <w:cnfStyle w:val="000000010000"/>
            </w:pPr>
            <w:r>
              <w:t>vyšetření pohybového aparátu – zkrácený kineziologický rozbor zaměřený na specifické pohybové dovednosti</w:t>
            </w:r>
            <w:r w:rsidR="00241B0E">
              <w:t xml:space="preserve"> (možnost tvorby dokumentace)</w:t>
            </w:r>
          </w:p>
          <w:p w:rsidR="00E10979" w:rsidRDefault="00E10979" w:rsidP="00E10979">
            <w:pPr>
              <w:pStyle w:val="Odsekzoznamu"/>
              <w:numPr>
                <w:ilvl w:val="0"/>
                <w:numId w:val="10"/>
              </w:numPr>
              <w:jc w:val="center"/>
              <w:cnfStyle w:val="000000010000"/>
            </w:pPr>
            <w:r>
              <w:t>vedení kompenzačních lekcí s důrazem na úpravu stávajícího programu a zlepšení kvality</w:t>
            </w:r>
          </w:p>
          <w:p w:rsidR="00E10979" w:rsidRDefault="00E10979" w:rsidP="00E10979">
            <w:pPr>
              <w:pStyle w:val="Odsekzoznamu"/>
              <w:numPr>
                <w:ilvl w:val="0"/>
                <w:numId w:val="10"/>
              </w:numPr>
              <w:jc w:val="center"/>
              <w:cnfStyle w:val="000000010000"/>
            </w:pPr>
            <w:r>
              <w:t>vedení rozcvičení před posilovacími jednotkami</w:t>
            </w:r>
          </w:p>
          <w:p w:rsidR="00E10979" w:rsidRDefault="00E10979" w:rsidP="00E10979">
            <w:pPr>
              <w:pStyle w:val="Odsekzoznamu"/>
              <w:numPr>
                <w:ilvl w:val="0"/>
                <w:numId w:val="10"/>
              </w:numPr>
              <w:jc w:val="center"/>
              <w:cnfStyle w:val="000000010000"/>
            </w:pPr>
            <w:r>
              <w:t>vedení kvalitního provedení posilovacích lekcí v malých skupinkách (2-4) pro individualizaci přístupu</w:t>
            </w:r>
          </w:p>
          <w:p w:rsidR="00F13673" w:rsidRPr="00F13673" w:rsidRDefault="00E10979" w:rsidP="00E10979">
            <w:pPr>
              <w:pStyle w:val="Odsekzoznamu"/>
              <w:numPr>
                <w:ilvl w:val="0"/>
                <w:numId w:val="10"/>
              </w:numPr>
              <w:jc w:val="center"/>
              <w:cnfStyle w:val="000000010000"/>
            </w:pPr>
            <w:r>
              <w:t>možnost účastnit se tréninků jako divák pro lepší představu o specifických pohybových dovednostech</w:t>
            </w:r>
          </w:p>
        </w:tc>
      </w:tr>
      <w:tr w:rsidR="00F13673" w:rsidTr="00E10979">
        <w:trPr>
          <w:cnfStyle w:val="000000100000"/>
        </w:trPr>
        <w:tc>
          <w:tcPr>
            <w:cnfStyle w:val="001000000000"/>
            <w:tcW w:w="2480" w:type="dxa"/>
          </w:tcPr>
          <w:p w:rsidR="00F13673" w:rsidRPr="00F13673" w:rsidRDefault="00F13673" w:rsidP="00F13673">
            <w:pPr>
              <w:ind w:firstLine="0"/>
              <w:jc w:val="center"/>
            </w:pPr>
            <w:r>
              <w:t>Odborná praxe IV</w:t>
            </w:r>
          </w:p>
        </w:tc>
        <w:tc>
          <w:tcPr>
            <w:tcW w:w="2433" w:type="dxa"/>
          </w:tcPr>
          <w:p w:rsidR="00F13673" w:rsidRPr="00F13673" w:rsidRDefault="00F13673" w:rsidP="00F13673">
            <w:pPr>
              <w:ind w:firstLine="0"/>
              <w:jc w:val="center"/>
              <w:cnfStyle w:val="000000100000"/>
            </w:pPr>
            <w:r w:rsidRPr="00E10979">
              <w:rPr>
                <w:b/>
                <w:i/>
              </w:rPr>
              <w:t>1 týden</w:t>
            </w:r>
            <w:r>
              <w:t xml:space="preserve"> (1 student po dobu přibližně jednoho měsíce – 30 hodin)</w:t>
            </w:r>
          </w:p>
        </w:tc>
        <w:tc>
          <w:tcPr>
            <w:tcW w:w="2680" w:type="dxa"/>
          </w:tcPr>
          <w:p w:rsidR="00F13673" w:rsidRPr="00F13673" w:rsidRDefault="00F13673" w:rsidP="00F13673">
            <w:pPr>
              <w:ind w:firstLine="0"/>
              <w:jc w:val="center"/>
              <w:cnfStyle w:val="000000100000"/>
            </w:pPr>
            <w:r>
              <w:t>po dobu PS (polovina září – konec ledna)</w:t>
            </w:r>
          </w:p>
        </w:tc>
        <w:tc>
          <w:tcPr>
            <w:tcW w:w="6690" w:type="dxa"/>
          </w:tcPr>
          <w:p w:rsidR="00E10979" w:rsidRDefault="00E10979" w:rsidP="00E10979">
            <w:pPr>
              <w:pStyle w:val="Odsekzoznamu"/>
              <w:numPr>
                <w:ilvl w:val="0"/>
                <w:numId w:val="10"/>
              </w:numPr>
              <w:jc w:val="center"/>
              <w:cnfStyle w:val="000000100000"/>
            </w:pPr>
            <w:r>
              <w:t>návaznost na Odbornou praxi I a III</w:t>
            </w:r>
          </w:p>
          <w:p w:rsidR="00E10979" w:rsidRDefault="00E10979" w:rsidP="00E10979">
            <w:pPr>
              <w:pStyle w:val="Odsekzoznamu"/>
              <w:numPr>
                <w:ilvl w:val="0"/>
                <w:numId w:val="10"/>
              </w:numPr>
              <w:jc w:val="center"/>
              <w:cnfStyle w:val="000000100000"/>
            </w:pPr>
            <w:r>
              <w:t>klasická a sportovní masáž</w:t>
            </w:r>
          </w:p>
          <w:p w:rsidR="00E10979" w:rsidRDefault="00E10979" w:rsidP="00E10979">
            <w:pPr>
              <w:pStyle w:val="Odsekzoznamu"/>
              <w:numPr>
                <w:ilvl w:val="0"/>
                <w:numId w:val="10"/>
              </w:numPr>
              <w:jc w:val="center"/>
              <w:cnfStyle w:val="000000100000"/>
            </w:pPr>
            <w:r>
              <w:t>vedení kompenzačních lekcí s důrazem na úpravu stávajícího programu a zlepšení kvality</w:t>
            </w:r>
          </w:p>
          <w:p w:rsidR="00E10979" w:rsidRDefault="00E10979" w:rsidP="00E10979">
            <w:pPr>
              <w:pStyle w:val="Odsekzoznamu"/>
              <w:numPr>
                <w:ilvl w:val="0"/>
                <w:numId w:val="10"/>
              </w:numPr>
              <w:jc w:val="center"/>
              <w:cnfStyle w:val="000000100000"/>
            </w:pPr>
            <w:r>
              <w:t>vedení rozcvičení před posilovacími jednotkami</w:t>
            </w:r>
          </w:p>
          <w:p w:rsidR="00E10979" w:rsidRDefault="00E10979" w:rsidP="00E10979">
            <w:pPr>
              <w:pStyle w:val="Odsekzoznamu"/>
              <w:numPr>
                <w:ilvl w:val="0"/>
                <w:numId w:val="10"/>
              </w:numPr>
              <w:jc w:val="center"/>
              <w:cnfStyle w:val="000000100000"/>
            </w:pPr>
            <w:r>
              <w:t>vedení kvalitního provedení posilovacích lekcí v malých skupinkách (2-4) pro individualizaci přístupu</w:t>
            </w:r>
          </w:p>
          <w:p w:rsidR="00E10979" w:rsidRDefault="00E10979" w:rsidP="00E10979">
            <w:pPr>
              <w:pStyle w:val="Odsekzoznamu"/>
              <w:numPr>
                <w:ilvl w:val="0"/>
                <w:numId w:val="10"/>
              </w:numPr>
              <w:jc w:val="center"/>
              <w:cnfStyle w:val="000000100000"/>
            </w:pPr>
            <w:r>
              <w:t>možnost účastnit se tréninků jako divák pro lepší představu o specifických pohybových dovednostech</w:t>
            </w:r>
          </w:p>
          <w:p w:rsidR="00F13673" w:rsidRPr="00F13673" w:rsidRDefault="00E10979" w:rsidP="00E10979">
            <w:pPr>
              <w:pStyle w:val="Odsekzoznamu"/>
              <w:numPr>
                <w:ilvl w:val="0"/>
                <w:numId w:val="10"/>
              </w:numPr>
              <w:jc w:val="center"/>
              <w:cnfStyle w:val="000000100000"/>
            </w:pPr>
            <w:r>
              <w:t xml:space="preserve">aplikace </w:t>
            </w:r>
            <w:proofErr w:type="spellStart"/>
            <w:r>
              <w:t>Kinesio</w:t>
            </w:r>
            <w:proofErr w:type="spellEnd"/>
            <w:r>
              <w:t xml:space="preserve">® </w:t>
            </w:r>
            <w:proofErr w:type="spellStart"/>
            <w:r>
              <w:t>Taping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</w:tc>
      </w:tr>
    </w:tbl>
    <w:p w:rsidR="00F13673" w:rsidRPr="00F13673" w:rsidRDefault="00F13673" w:rsidP="005A4E8A">
      <w:pPr>
        <w:ind w:firstLine="0"/>
        <w:rPr>
          <w:b/>
          <w:sz w:val="32"/>
          <w:szCs w:val="32"/>
        </w:rPr>
      </w:pPr>
    </w:p>
    <w:sectPr w:rsidR="00F13673" w:rsidRPr="00F13673" w:rsidSect="00F136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97B"/>
    <w:multiLevelType w:val="multilevel"/>
    <w:tmpl w:val="6B62300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8E96724"/>
    <w:multiLevelType w:val="hybridMultilevel"/>
    <w:tmpl w:val="340E6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3673"/>
    <w:rsid w:val="00001D0D"/>
    <w:rsid w:val="0007692C"/>
    <w:rsid w:val="00241B0E"/>
    <w:rsid w:val="002C25FD"/>
    <w:rsid w:val="00403DA7"/>
    <w:rsid w:val="005A4E8A"/>
    <w:rsid w:val="005E1535"/>
    <w:rsid w:val="006B20B9"/>
    <w:rsid w:val="007E2076"/>
    <w:rsid w:val="008C7F15"/>
    <w:rsid w:val="00B504D0"/>
    <w:rsid w:val="00BF3ED6"/>
    <w:rsid w:val="00C82272"/>
    <w:rsid w:val="00CD009C"/>
    <w:rsid w:val="00CF19DF"/>
    <w:rsid w:val="00DC78B6"/>
    <w:rsid w:val="00E10979"/>
    <w:rsid w:val="00F1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7F15"/>
    <w:pPr>
      <w:spacing w:line="320" w:lineRule="atLeast"/>
      <w:ind w:firstLine="284"/>
      <w:jc w:val="both"/>
    </w:pPr>
    <w:rPr>
      <w:rFonts w:ascii="Palatino Linotype" w:hAnsi="Palatino Linotype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8C7F15"/>
    <w:pPr>
      <w:keepNext/>
      <w:numPr>
        <w:numId w:val="9"/>
      </w:numPr>
      <w:spacing w:before="200" w:after="240"/>
      <w:jc w:val="left"/>
      <w:outlineLvl w:val="0"/>
    </w:pPr>
    <w:rPr>
      <w:rFonts w:eastAsiaTheme="majorEastAsia" w:cstheme="majorBidi"/>
      <w:b/>
      <w:caps/>
      <w:kern w:val="28"/>
      <w:sz w:val="26"/>
    </w:rPr>
  </w:style>
  <w:style w:type="paragraph" w:styleId="Nadpis2">
    <w:name w:val="heading 2"/>
    <w:basedOn w:val="Normlny"/>
    <w:next w:val="Normlny"/>
    <w:link w:val="Nadpis2Char"/>
    <w:qFormat/>
    <w:rsid w:val="008C7F15"/>
    <w:pPr>
      <w:keepNext/>
      <w:numPr>
        <w:ilvl w:val="1"/>
        <w:numId w:val="9"/>
      </w:numPr>
      <w:tabs>
        <w:tab w:val="left" w:pos="709"/>
      </w:tabs>
      <w:spacing w:before="240" w:after="120"/>
      <w:jc w:val="left"/>
      <w:outlineLvl w:val="1"/>
    </w:pPr>
    <w:rPr>
      <w:rFonts w:eastAsiaTheme="majorEastAsia" w:cstheme="majorBidi"/>
      <w:b/>
      <w:kern w:val="28"/>
      <w:sz w:val="26"/>
    </w:rPr>
  </w:style>
  <w:style w:type="paragraph" w:styleId="Nadpis3">
    <w:name w:val="heading 3"/>
    <w:basedOn w:val="Normlny"/>
    <w:next w:val="Normlny"/>
    <w:link w:val="Nadpis3Char"/>
    <w:qFormat/>
    <w:rsid w:val="008C7F15"/>
    <w:pPr>
      <w:keepNext/>
      <w:numPr>
        <w:ilvl w:val="2"/>
        <w:numId w:val="9"/>
      </w:numPr>
      <w:spacing w:before="240" w:after="120"/>
      <w:jc w:val="left"/>
      <w:outlineLvl w:val="2"/>
    </w:pPr>
    <w:rPr>
      <w:rFonts w:eastAsiaTheme="majorEastAsia" w:cstheme="majorBidi"/>
      <w:b/>
      <w:iCs/>
      <w:kern w:val="28"/>
    </w:rPr>
  </w:style>
  <w:style w:type="paragraph" w:styleId="Nadpis4">
    <w:name w:val="heading 4"/>
    <w:basedOn w:val="Normlny"/>
    <w:next w:val="Normlny"/>
    <w:link w:val="Nadpis4Char"/>
    <w:qFormat/>
    <w:rsid w:val="008C7F15"/>
    <w:pPr>
      <w:keepNext/>
      <w:numPr>
        <w:ilvl w:val="3"/>
        <w:numId w:val="9"/>
      </w:numPr>
      <w:tabs>
        <w:tab w:val="left" w:pos="964"/>
      </w:tabs>
      <w:spacing w:before="240" w:after="120"/>
      <w:jc w:val="left"/>
      <w:outlineLvl w:val="3"/>
    </w:pPr>
    <w:rPr>
      <w:rFonts w:eastAsiaTheme="majorEastAsia" w:cstheme="majorBidi"/>
      <w:b/>
      <w:i/>
      <w:kern w:val="28"/>
    </w:rPr>
  </w:style>
  <w:style w:type="paragraph" w:styleId="Nadpis5">
    <w:name w:val="heading 5"/>
    <w:basedOn w:val="Normlny"/>
    <w:next w:val="Normlny"/>
    <w:link w:val="Nadpis5Char"/>
    <w:qFormat/>
    <w:rsid w:val="008C7F15"/>
    <w:pPr>
      <w:keepNext/>
      <w:numPr>
        <w:ilvl w:val="4"/>
        <w:numId w:val="9"/>
      </w:numPr>
      <w:spacing w:before="120" w:after="80"/>
      <w:outlineLvl w:val="4"/>
    </w:pPr>
    <w:rPr>
      <w:rFonts w:eastAsiaTheme="majorEastAsia" w:cstheme="majorBidi"/>
      <w:i/>
      <w:kern w:val="28"/>
    </w:rPr>
  </w:style>
  <w:style w:type="paragraph" w:styleId="Nadpis6">
    <w:name w:val="heading 6"/>
    <w:basedOn w:val="Normlny"/>
    <w:next w:val="Zkladntext"/>
    <w:link w:val="Nadpis6Char"/>
    <w:qFormat/>
    <w:rsid w:val="008C7F15"/>
    <w:pPr>
      <w:keepNext/>
      <w:numPr>
        <w:ilvl w:val="5"/>
        <w:numId w:val="9"/>
      </w:numPr>
      <w:spacing w:before="120" w:after="80"/>
      <w:outlineLvl w:val="5"/>
    </w:pPr>
    <w:rPr>
      <w:rFonts w:eastAsiaTheme="majorEastAsia" w:cstheme="majorBidi"/>
      <w:b/>
      <w:i/>
      <w:kern w:val="28"/>
    </w:rPr>
  </w:style>
  <w:style w:type="paragraph" w:styleId="Nadpis7">
    <w:name w:val="heading 7"/>
    <w:basedOn w:val="Normlny"/>
    <w:next w:val="Zkladntext"/>
    <w:link w:val="Nadpis7Char"/>
    <w:qFormat/>
    <w:rsid w:val="008C7F15"/>
    <w:pPr>
      <w:keepNext/>
      <w:numPr>
        <w:ilvl w:val="6"/>
        <w:numId w:val="9"/>
      </w:numPr>
      <w:spacing w:before="80" w:after="60"/>
      <w:outlineLvl w:val="6"/>
    </w:pPr>
    <w:rPr>
      <w:rFonts w:eastAsiaTheme="majorEastAsia" w:cstheme="majorBidi"/>
      <w:b/>
      <w:kern w:val="28"/>
    </w:rPr>
  </w:style>
  <w:style w:type="paragraph" w:styleId="Nadpis8">
    <w:name w:val="heading 8"/>
    <w:basedOn w:val="Normlny"/>
    <w:next w:val="Zkladntext"/>
    <w:link w:val="Nadpis8Char"/>
    <w:qFormat/>
    <w:rsid w:val="008C7F15"/>
    <w:pPr>
      <w:keepNext/>
      <w:numPr>
        <w:ilvl w:val="7"/>
        <w:numId w:val="9"/>
      </w:numPr>
      <w:spacing w:before="80" w:after="60"/>
      <w:outlineLvl w:val="7"/>
    </w:pPr>
    <w:rPr>
      <w:rFonts w:eastAsiaTheme="majorEastAsia" w:cstheme="majorBidi"/>
      <w:b/>
      <w:i/>
      <w:kern w:val="28"/>
    </w:rPr>
  </w:style>
  <w:style w:type="paragraph" w:styleId="Nadpis9">
    <w:name w:val="heading 9"/>
    <w:basedOn w:val="Normlny"/>
    <w:next w:val="Zkladntext"/>
    <w:link w:val="Nadpis9Char"/>
    <w:qFormat/>
    <w:rsid w:val="008C7F15"/>
    <w:pPr>
      <w:keepNext/>
      <w:numPr>
        <w:ilvl w:val="8"/>
        <w:numId w:val="9"/>
      </w:numPr>
      <w:spacing w:before="80" w:after="60"/>
      <w:outlineLvl w:val="8"/>
    </w:pPr>
    <w:rPr>
      <w:rFonts w:eastAsiaTheme="majorEastAsia" w:cstheme="majorBidi"/>
      <w:b/>
      <w:i/>
      <w:kern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E1535"/>
    <w:rPr>
      <w:rFonts w:ascii="Palatino Linotype" w:eastAsiaTheme="majorEastAsia" w:hAnsi="Palatino Linotype" w:cstheme="majorBidi"/>
      <w:b/>
      <w:caps/>
      <w:kern w:val="28"/>
      <w:sz w:val="26"/>
      <w:szCs w:val="22"/>
    </w:rPr>
  </w:style>
  <w:style w:type="character" w:customStyle="1" w:styleId="Nadpis2Char">
    <w:name w:val="Nadpis 2 Char"/>
    <w:basedOn w:val="Predvolenpsmoodseku"/>
    <w:link w:val="Nadpis2"/>
    <w:rsid w:val="005E1535"/>
    <w:rPr>
      <w:rFonts w:ascii="Palatino Linotype" w:eastAsiaTheme="majorEastAsia" w:hAnsi="Palatino Linotype" w:cstheme="majorBidi"/>
      <w:b/>
      <w:kern w:val="28"/>
      <w:sz w:val="26"/>
      <w:szCs w:val="22"/>
    </w:rPr>
  </w:style>
  <w:style w:type="character" w:customStyle="1" w:styleId="Nadpis3Char">
    <w:name w:val="Nadpis 3 Char"/>
    <w:basedOn w:val="Predvolenpsmoodseku"/>
    <w:link w:val="Nadpis3"/>
    <w:rsid w:val="005E1535"/>
    <w:rPr>
      <w:rFonts w:ascii="Palatino Linotype" w:eastAsiaTheme="majorEastAsia" w:hAnsi="Palatino Linotype" w:cstheme="majorBidi"/>
      <w:b/>
      <w:iCs/>
      <w:kern w:val="28"/>
      <w:sz w:val="22"/>
      <w:szCs w:val="22"/>
    </w:rPr>
  </w:style>
  <w:style w:type="character" w:customStyle="1" w:styleId="Nadpis4Char">
    <w:name w:val="Nadpis 4 Char"/>
    <w:basedOn w:val="Predvolenpsmoodseku"/>
    <w:link w:val="Nadpis4"/>
    <w:rsid w:val="005E1535"/>
    <w:rPr>
      <w:rFonts w:ascii="Palatino Linotype" w:eastAsiaTheme="majorEastAsia" w:hAnsi="Palatino Linotype" w:cstheme="majorBidi"/>
      <w:b/>
      <w:i/>
      <w:kern w:val="28"/>
      <w:sz w:val="22"/>
      <w:szCs w:val="22"/>
    </w:rPr>
  </w:style>
  <w:style w:type="character" w:customStyle="1" w:styleId="Nadpis5Char">
    <w:name w:val="Nadpis 5 Char"/>
    <w:basedOn w:val="Predvolenpsmoodseku"/>
    <w:link w:val="Nadpis5"/>
    <w:rsid w:val="005E1535"/>
    <w:rPr>
      <w:rFonts w:ascii="Palatino Linotype" w:eastAsiaTheme="majorEastAsia" w:hAnsi="Palatino Linotype" w:cstheme="majorBidi"/>
      <w:i/>
      <w:kern w:val="28"/>
      <w:sz w:val="22"/>
      <w:szCs w:val="22"/>
    </w:rPr>
  </w:style>
  <w:style w:type="character" w:customStyle="1" w:styleId="Nadpis6Char">
    <w:name w:val="Nadpis 6 Char"/>
    <w:basedOn w:val="Predvolenpsmoodseku"/>
    <w:link w:val="Nadpis6"/>
    <w:rsid w:val="005E1535"/>
    <w:rPr>
      <w:rFonts w:ascii="Palatino Linotype" w:eastAsiaTheme="majorEastAsia" w:hAnsi="Palatino Linotype" w:cstheme="majorBidi"/>
      <w:b/>
      <w:i/>
      <w:kern w:val="28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5E1535"/>
    <w:rPr>
      <w:rFonts w:ascii="Palatino Linotype" w:eastAsiaTheme="majorEastAsia" w:hAnsi="Palatino Linotype" w:cstheme="majorBidi"/>
      <w:b/>
      <w:kern w:val="28"/>
      <w:sz w:val="22"/>
      <w:szCs w:val="22"/>
    </w:rPr>
  </w:style>
  <w:style w:type="character" w:customStyle="1" w:styleId="Nadpis8Char">
    <w:name w:val="Nadpis 8 Char"/>
    <w:basedOn w:val="Predvolenpsmoodseku"/>
    <w:link w:val="Nadpis8"/>
    <w:rsid w:val="005E1535"/>
    <w:rPr>
      <w:rFonts w:ascii="Palatino Linotype" w:eastAsiaTheme="majorEastAsia" w:hAnsi="Palatino Linotype" w:cstheme="majorBidi"/>
      <w:b/>
      <w:i/>
      <w:kern w:val="28"/>
      <w:sz w:val="22"/>
      <w:szCs w:val="22"/>
    </w:rPr>
  </w:style>
  <w:style w:type="character" w:customStyle="1" w:styleId="Nadpis9Char">
    <w:name w:val="Nadpis 9 Char"/>
    <w:basedOn w:val="Predvolenpsmoodseku"/>
    <w:link w:val="Nadpis9"/>
    <w:rsid w:val="005E1535"/>
    <w:rPr>
      <w:rFonts w:ascii="Palatino Linotype" w:eastAsiaTheme="majorEastAsia" w:hAnsi="Palatino Linotype" w:cstheme="majorBidi"/>
      <w:b/>
      <w:i/>
      <w:kern w:val="28"/>
      <w:sz w:val="22"/>
      <w:szCs w:val="22"/>
    </w:rPr>
  </w:style>
  <w:style w:type="paragraph" w:styleId="Popis">
    <w:name w:val="caption"/>
    <w:basedOn w:val="Normlny"/>
    <w:next w:val="Normlny"/>
    <w:autoRedefine/>
    <w:qFormat/>
    <w:rsid w:val="008C7F15"/>
    <w:pPr>
      <w:tabs>
        <w:tab w:val="left" w:pos="1134"/>
      </w:tabs>
      <w:spacing w:before="120" w:after="160" w:line="260" w:lineRule="atLeast"/>
      <w:ind w:left="1134" w:hanging="1134"/>
    </w:pPr>
    <w:rPr>
      <w:i/>
      <w:sz w:val="20"/>
    </w:rPr>
  </w:style>
  <w:style w:type="paragraph" w:styleId="Nzov">
    <w:name w:val="Title"/>
    <w:basedOn w:val="Normlny"/>
    <w:next w:val="Podtitul"/>
    <w:link w:val="NzovChar"/>
    <w:qFormat/>
    <w:rsid w:val="008C7F15"/>
    <w:pPr>
      <w:keepNext/>
      <w:keepLines/>
      <w:spacing w:before="360" w:after="160"/>
      <w:jc w:val="center"/>
    </w:pPr>
    <w:rPr>
      <w:rFonts w:eastAsiaTheme="majorEastAsia" w:cstheme="majorBidi"/>
      <w:b/>
      <w:kern w:val="28"/>
      <w:sz w:val="40"/>
    </w:rPr>
  </w:style>
  <w:style w:type="character" w:customStyle="1" w:styleId="NzovChar">
    <w:name w:val="Názov Char"/>
    <w:basedOn w:val="Predvolenpsmoodseku"/>
    <w:link w:val="Nzov"/>
    <w:rsid w:val="005E1535"/>
    <w:rPr>
      <w:rFonts w:ascii="Palatino Linotype" w:eastAsiaTheme="majorEastAsia" w:hAnsi="Palatino Linotype" w:cstheme="majorBidi"/>
      <w:b/>
      <w:kern w:val="28"/>
      <w:sz w:val="40"/>
      <w:szCs w:val="22"/>
    </w:rPr>
  </w:style>
  <w:style w:type="paragraph" w:styleId="Podtitul">
    <w:name w:val="Subtitle"/>
    <w:basedOn w:val="Nzov"/>
    <w:next w:val="Zkladntext"/>
    <w:link w:val="PodtitulChar"/>
    <w:qFormat/>
    <w:rsid w:val="008C7F15"/>
    <w:pPr>
      <w:spacing w:before="0" w:after="240"/>
    </w:pPr>
    <w:rPr>
      <w:b w:val="0"/>
      <w:i/>
      <w:sz w:val="28"/>
    </w:rPr>
  </w:style>
  <w:style w:type="character" w:customStyle="1" w:styleId="PodtitulChar">
    <w:name w:val="Podtitul Char"/>
    <w:basedOn w:val="Predvolenpsmoodseku"/>
    <w:link w:val="Podtitul"/>
    <w:rsid w:val="005E1535"/>
    <w:rPr>
      <w:rFonts w:ascii="Palatino Linotype" w:eastAsiaTheme="majorEastAsia" w:hAnsi="Palatino Linotype" w:cstheme="majorBidi"/>
      <w:i/>
      <w:kern w:val="28"/>
      <w:sz w:val="28"/>
      <w:szCs w:val="22"/>
    </w:rPr>
  </w:style>
  <w:style w:type="character" w:styleId="Siln">
    <w:name w:val="Strong"/>
    <w:basedOn w:val="Predvolenpsmoodseku"/>
    <w:qFormat/>
    <w:rsid w:val="008C7F15"/>
    <w:rPr>
      <w:rFonts w:ascii="Palatino Linotype" w:hAnsi="Palatino Linotype"/>
      <w:b/>
      <w:bCs/>
    </w:rPr>
  </w:style>
  <w:style w:type="character" w:styleId="Zvraznenie">
    <w:name w:val="Emphasis"/>
    <w:qFormat/>
    <w:rsid w:val="008C7F15"/>
    <w:rPr>
      <w:rFonts w:ascii="Palatino Linotype" w:hAnsi="Palatino Linotype"/>
    </w:rPr>
  </w:style>
  <w:style w:type="paragraph" w:styleId="Bezriadkovania">
    <w:name w:val="No Spacing"/>
    <w:uiPriority w:val="1"/>
    <w:qFormat/>
    <w:rsid w:val="005E1535"/>
    <w:pPr>
      <w:ind w:firstLine="284"/>
      <w:jc w:val="both"/>
    </w:pPr>
    <w:rPr>
      <w:rFonts w:ascii="Palatino Linotype" w:hAnsi="Palatino Linotype"/>
      <w:sz w:val="22"/>
      <w:szCs w:val="22"/>
    </w:rPr>
  </w:style>
  <w:style w:type="paragraph" w:styleId="Odsekzoznamu">
    <w:name w:val="List Paragraph"/>
    <w:basedOn w:val="Normlny"/>
    <w:uiPriority w:val="34"/>
    <w:qFormat/>
    <w:rsid w:val="005E1535"/>
    <w:pPr>
      <w:ind w:left="708"/>
    </w:pPr>
  </w:style>
  <w:style w:type="paragraph" w:styleId="Citcia">
    <w:name w:val="Quote"/>
    <w:basedOn w:val="Normlny"/>
    <w:next w:val="Normlny"/>
    <w:link w:val="CitciaChar"/>
    <w:uiPriority w:val="29"/>
    <w:qFormat/>
    <w:rsid w:val="005E1535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5E1535"/>
    <w:rPr>
      <w:rFonts w:ascii="Palatino Linotype" w:hAnsi="Palatino Linotype"/>
      <w:i/>
      <w:iCs/>
      <w:color w:val="000000" w:themeColor="text1"/>
      <w:sz w:val="22"/>
      <w:szCs w:val="22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E15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E1535"/>
    <w:rPr>
      <w:rFonts w:ascii="Palatino Linotype" w:hAnsi="Palatino Linotype"/>
      <w:b/>
      <w:bCs/>
      <w:i/>
      <w:iCs/>
      <w:color w:val="4F81BD" w:themeColor="accent1"/>
      <w:sz w:val="22"/>
      <w:szCs w:val="22"/>
    </w:rPr>
  </w:style>
  <w:style w:type="character" w:styleId="Jemnzvraznenie">
    <w:name w:val="Subtle Emphasis"/>
    <w:basedOn w:val="Predvolenpsmoodseku"/>
    <w:uiPriority w:val="19"/>
    <w:qFormat/>
    <w:rsid w:val="005E1535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5E1535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5E1535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5E1535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5E1535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E1535"/>
    <w:pPr>
      <w:numPr>
        <w:numId w:val="0"/>
      </w:numPr>
      <w:spacing w:before="240" w:after="60"/>
      <w:ind w:firstLine="284"/>
      <w:jc w:val="both"/>
      <w:outlineLvl w:val="9"/>
    </w:pPr>
    <w:rPr>
      <w:rFonts w:asciiTheme="majorHAnsi" w:hAnsiTheme="majorHAnsi"/>
      <w:bCs/>
      <w:caps w:val="0"/>
      <w:kern w:val="32"/>
      <w:sz w:val="32"/>
      <w:szCs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C7F1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C7F15"/>
    <w:rPr>
      <w:rFonts w:ascii="Palatino Linotype" w:hAnsi="Palatino Linotype"/>
      <w:sz w:val="22"/>
      <w:szCs w:val="22"/>
    </w:rPr>
  </w:style>
  <w:style w:type="table" w:styleId="Mriekatabuky">
    <w:name w:val="Table Grid"/>
    <w:basedOn w:val="Normlnatabuka"/>
    <w:uiPriority w:val="59"/>
    <w:rsid w:val="00F13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mriekazvraznenie3">
    <w:name w:val="Light Grid Accent 3"/>
    <w:basedOn w:val="Normlnatabuka"/>
    <w:uiPriority w:val="62"/>
    <w:rsid w:val="00F13673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4</cp:revision>
  <dcterms:created xsi:type="dcterms:W3CDTF">2015-10-30T08:31:00Z</dcterms:created>
  <dcterms:modified xsi:type="dcterms:W3CDTF">2016-05-18T06:48:00Z</dcterms:modified>
</cp:coreProperties>
</file>