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2" w:rsidRPr="00B56561" w:rsidRDefault="001E3512" w:rsidP="001E3512">
      <w:pPr>
        <w:tabs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B5656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</w:t>
      </w:r>
      <w:r w:rsidR="00B56561" w:rsidRPr="00B5656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enzomotorická stimulace</w:t>
      </w:r>
    </w:p>
    <w:p w:rsidR="00603F29" w:rsidRDefault="00603F29" w:rsidP="001E3512">
      <w:pPr>
        <w:tabs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6AA" w:rsidRPr="00C90A5A" w:rsidRDefault="002E36AA" w:rsidP="001E3512">
      <w:pPr>
        <w:tabs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A5A">
        <w:rPr>
          <w:rFonts w:ascii="Times New Roman" w:eastAsia="Times New Roman" w:hAnsi="Times New Roman" w:cs="Times New Roman"/>
          <w:bCs/>
          <w:sz w:val="24"/>
          <w:szCs w:val="24"/>
        </w:rPr>
        <w:t>Metoda s</w:t>
      </w:r>
      <w:r w:rsidRPr="00C90A5A">
        <w:rPr>
          <w:rFonts w:ascii="Times New Roman" w:hAnsi="Times New Roman" w:cs="Times New Roman"/>
          <w:sz w:val="24"/>
          <w:szCs w:val="24"/>
        </w:rPr>
        <w:t xml:space="preserve">enzomotorické stimulace </w:t>
      </w:r>
      <w:r w:rsidR="005F3A95" w:rsidRPr="00C90A5A">
        <w:rPr>
          <w:rFonts w:ascii="Times New Roman" w:hAnsi="Times New Roman" w:cs="Times New Roman"/>
          <w:sz w:val="24"/>
          <w:szCs w:val="24"/>
        </w:rPr>
        <w:t xml:space="preserve">patří do fyzioterapeutických </w:t>
      </w:r>
      <w:r w:rsidR="00C90A5A">
        <w:rPr>
          <w:rFonts w:ascii="Times New Roman" w:hAnsi="Times New Roman" w:cs="Times New Roman"/>
          <w:sz w:val="24"/>
          <w:szCs w:val="24"/>
        </w:rPr>
        <w:t>konceptů</w:t>
      </w:r>
      <w:r w:rsidR="005F3A95" w:rsidRPr="00C90A5A">
        <w:rPr>
          <w:rFonts w:ascii="Times New Roman" w:hAnsi="Times New Roman" w:cs="Times New Roman"/>
          <w:sz w:val="24"/>
          <w:szCs w:val="24"/>
        </w:rPr>
        <w:t xml:space="preserve"> založených na tzv.</w:t>
      </w:r>
      <w:r w:rsidRPr="00C90A5A">
        <w:rPr>
          <w:rFonts w:ascii="Times New Roman" w:hAnsi="Times New Roman" w:cs="Times New Roman"/>
          <w:sz w:val="24"/>
          <w:szCs w:val="24"/>
        </w:rPr>
        <w:t xml:space="preserve"> neurofyziologickém podkladě.</w:t>
      </w:r>
      <w:r w:rsidRPr="00C90A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3A95" w:rsidRPr="00C90A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E3512" w:rsidRPr="00C90A5A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0A5A">
        <w:rPr>
          <w:rFonts w:ascii="Times New Roman" w:eastAsia="Times New Roman" w:hAnsi="Times New Roman" w:cs="Times New Roman"/>
          <w:sz w:val="20"/>
          <w:szCs w:val="20"/>
        </w:rPr>
        <w:t xml:space="preserve">Každý organismus je neustále vystaven vlivům prostředí – </w:t>
      </w:r>
      <w:proofErr w:type="spellStart"/>
      <w:r w:rsidRPr="00C90A5A">
        <w:rPr>
          <w:rFonts w:ascii="Times New Roman" w:eastAsia="Times New Roman" w:hAnsi="Times New Roman" w:cs="Times New Roman"/>
          <w:sz w:val="20"/>
          <w:szCs w:val="20"/>
        </w:rPr>
        <w:t>aferentaci</w:t>
      </w:r>
      <w:proofErr w:type="spellEnd"/>
      <w:r w:rsidRPr="00C90A5A">
        <w:rPr>
          <w:rFonts w:ascii="Times New Roman" w:eastAsia="Times New Roman" w:hAnsi="Times New Roman" w:cs="Times New Roman"/>
          <w:sz w:val="20"/>
          <w:szCs w:val="20"/>
        </w:rPr>
        <w:t>. V CNS jsou tyto podněty podrobeny analýze a pokud z ní vyplývá, že je nutno reagovat, pak jsou po eferentních drahách impulzy vedeny k periferním výkonným orgánům (efektorům) a těmi jsou především svaly. Informace důležité pro svalovou činnost přicházejí jednak z </w:t>
      </w:r>
      <w:proofErr w:type="spellStart"/>
      <w:r w:rsidRPr="00C90A5A">
        <w:rPr>
          <w:rFonts w:ascii="Times New Roman" w:eastAsia="Times New Roman" w:hAnsi="Times New Roman" w:cs="Times New Roman"/>
          <w:sz w:val="20"/>
          <w:szCs w:val="20"/>
        </w:rPr>
        <w:t>proprioceptorů</w:t>
      </w:r>
      <w:proofErr w:type="spellEnd"/>
      <w:r w:rsidRPr="00C90A5A">
        <w:rPr>
          <w:rFonts w:ascii="Times New Roman" w:eastAsia="Times New Roman" w:hAnsi="Times New Roman" w:cs="Times New Roman"/>
          <w:sz w:val="20"/>
          <w:szCs w:val="20"/>
        </w:rPr>
        <w:t xml:space="preserve"> uložených ve svalech, šlachách a kloubech, jednak z exteroreceptorů uložených v kůži.</w:t>
      </w:r>
    </w:p>
    <w:p w:rsidR="00C90A5A" w:rsidRDefault="00C90A5A" w:rsidP="005F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95" w:rsidRPr="00652EA9" w:rsidRDefault="00C90A5A" w:rsidP="005F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A9">
        <w:rPr>
          <w:rFonts w:ascii="Times New Roman" w:eastAsia="Times New Roman" w:hAnsi="Times New Roman" w:cs="Times New Roman"/>
          <w:sz w:val="24"/>
          <w:szCs w:val="24"/>
        </w:rPr>
        <w:t>Autorem metody</w:t>
      </w:r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 xml:space="preserve"> je V. Janda a M. Vávrová, kteří vycházeli z poznatků řady autorů - </w:t>
      </w:r>
      <w:r w:rsidR="001E3512" w:rsidRPr="00652EA9">
        <w:rPr>
          <w:rFonts w:ascii="Times New Roman" w:eastAsia="Times New Roman" w:hAnsi="Times New Roman" w:cs="Times New Roman"/>
          <w:sz w:val="24"/>
          <w:szCs w:val="24"/>
        </w:rPr>
        <w:t xml:space="preserve"> ze studií </w:t>
      </w:r>
      <w:proofErr w:type="gramStart"/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>M.A.</w:t>
      </w:r>
      <w:proofErr w:type="gramEnd"/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>Freemana</w:t>
      </w:r>
      <w:proofErr w:type="spellEnd"/>
      <w:r w:rsidR="001E3512" w:rsidRPr="00652EA9">
        <w:rPr>
          <w:rFonts w:ascii="Times New Roman" w:eastAsia="Times New Roman" w:hAnsi="Times New Roman" w:cs="Times New Roman"/>
          <w:sz w:val="24"/>
          <w:szCs w:val="24"/>
        </w:rPr>
        <w:t xml:space="preserve"> a prací </w:t>
      </w:r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="001E3512" w:rsidRPr="00652EA9">
        <w:rPr>
          <w:rFonts w:ascii="Times New Roman" w:eastAsia="Times New Roman" w:hAnsi="Times New Roman" w:cs="Times New Roman"/>
          <w:sz w:val="24"/>
          <w:szCs w:val="24"/>
        </w:rPr>
        <w:t>Hervéoua</w:t>
      </w:r>
      <w:proofErr w:type="spellEnd"/>
      <w:r w:rsidR="001E3512" w:rsidRPr="00652EA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 w:rsidRPr="00652EA9">
        <w:rPr>
          <w:rFonts w:ascii="Times New Roman" w:eastAsia="Times New Roman" w:hAnsi="Times New Roman" w:cs="Times New Roman"/>
          <w:sz w:val="24"/>
          <w:szCs w:val="24"/>
        </w:rPr>
        <w:t>Mésséana</w:t>
      </w:r>
      <w:proofErr w:type="spellEnd"/>
      <w:r w:rsidRPr="00652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A95" w:rsidRPr="00652EA9" w:rsidRDefault="001E3512" w:rsidP="005F3A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Anglický ortoped </w:t>
      </w:r>
      <w:proofErr w:type="spellStart"/>
      <w:r w:rsidRPr="00652EA9">
        <w:rPr>
          <w:rFonts w:ascii="Times New Roman" w:eastAsia="Times New Roman" w:hAnsi="Times New Roman" w:cs="Times New Roman"/>
          <w:sz w:val="24"/>
          <w:szCs w:val="24"/>
        </w:rPr>
        <w:t>Freeman</w:t>
      </w:r>
      <w:proofErr w:type="spellEnd"/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A8B">
        <w:rPr>
          <w:rFonts w:ascii="Times New Roman" w:eastAsia="Times New Roman" w:hAnsi="Times New Roman" w:cs="Times New Roman"/>
          <w:sz w:val="24"/>
          <w:szCs w:val="24"/>
        </w:rPr>
        <w:t xml:space="preserve">a kol. </w:t>
      </w:r>
      <w:proofErr w:type="gramStart"/>
      <w:r w:rsidR="00673A8B">
        <w:rPr>
          <w:rFonts w:ascii="Times New Roman" w:eastAsia="Times New Roman" w:hAnsi="Times New Roman" w:cs="Times New Roman"/>
          <w:sz w:val="24"/>
          <w:szCs w:val="24"/>
        </w:rPr>
        <w:t>popsali</w:t>
      </w:r>
      <w:proofErr w:type="gramEnd"/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 xml:space="preserve"> souvislost kloubních traumat (předev</w:t>
      </w:r>
      <w:r w:rsidR="00673A8B">
        <w:rPr>
          <w:rFonts w:ascii="Times New Roman" w:eastAsia="Times New Roman" w:hAnsi="Times New Roman" w:cs="Times New Roman"/>
          <w:sz w:val="24"/>
          <w:szCs w:val="24"/>
        </w:rPr>
        <w:t>ším distorzí hlezenního kloubu)</w:t>
      </w:r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 xml:space="preserve"> a poruch kloubní </w:t>
      </w:r>
      <w:proofErr w:type="spellStart"/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>aference</w:t>
      </w:r>
      <w:proofErr w:type="spellEnd"/>
      <w:r w:rsidR="005F3A95" w:rsidRPr="00652E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3A95"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Princip </w:t>
      </w:r>
      <w:proofErr w:type="spellStart"/>
      <w:r w:rsidR="005F3A95" w:rsidRPr="00652EA9">
        <w:rPr>
          <w:rFonts w:ascii="Times New Roman" w:hAnsi="Times New Roman" w:cs="Times New Roman"/>
          <w:color w:val="000000"/>
          <w:sz w:val="24"/>
          <w:szCs w:val="24"/>
        </w:rPr>
        <w:t>Freemanovi</w:t>
      </w:r>
      <w:proofErr w:type="spellEnd"/>
      <w:r w:rsidR="005F3A95"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 metody spočívá ve zlepšování propriorecepce a zvyšování stability hlezenního kloubu pomocí nestabilních ploch, především pomůcek ve tvaru sektoru válce a sektoru koule. </w:t>
      </w:r>
    </w:p>
    <w:p w:rsidR="005F3A95" w:rsidRPr="00652EA9" w:rsidRDefault="001E3512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Francouzští fyzioterapeuti </w:t>
      </w:r>
      <w:proofErr w:type="spellStart"/>
      <w:r w:rsidRPr="00652EA9">
        <w:rPr>
          <w:rFonts w:ascii="Times New Roman" w:eastAsia="Times New Roman" w:hAnsi="Times New Roman" w:cs="Times New Roman"/>
          <w:sz w:val="24"/>
          <w:szCs w:val="24"/>
        </w:rPr>
        <w:t>Hervéu</w:t>
      </w:r>
      <w:proofErr w:type="spellEnd"/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2EA9">
        <w:rPr>
          <w:rFonts w:ascii="Times New Roman" w:eastAsia="Times New Roman" w:hAnsi="Times New Roman" w:cs="Times New Roman"/>
          <w:sz w:val="24"/>
          <w:szCs w:val="24"/>
        </w:rPr>
        <w:t>Mésséan</w:t>
      </w:r>
      <w:proofErr w:type="spellEnd"/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 jeho přístup zdokonalili, avšak hlavními indikacemi zůstaly poruchy v oblasti nohy a kolenního kloubu. </w:t>
      </w:r>
    </w:p>
    <w:p w:rsidR="00673A8B" w:rsidRDefault="00673A8B" w:rsidP="001E35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A9" w:rsidRPr="00652EA9" w:rsidRDefault="005F3A95" w:rsidP="001E351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EA9">
        <w:rPr>
          <w:rFonts w:ascii="Times New Roman" w:hAnsi="Times New Roman" w:cs="Times New Roman"/>
          <w:color w:val="000000"/>
          <w:sz w:val="24"/>
          <w:szCs w:val="24"/>
        </w:rPr>
        <w:t>Metodika senzomotorická stimulace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vychází 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z koncepce o dvou stupních motorického učení. V první</w:t>
      </w:r>
      <w:r w:rsidRPr="00652EA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stupni motorického učení je snaha zvládnout nový pohyb a vytvořit základní funkční spojení, což se děje za výrazné kortikální aktivity, která je velmi únavná. </w:t>
      </w:r>
      <w:r w:rsidR="00652EA9"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 této fázi motorického učení je nutné klást důraz na kvalitu prováděného pohybu. 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Ve druhém stupni se řízení děje na úrovni podkorových</w:t>
      </w:r>
      <w:r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 (subkortikálních)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center. Jde o řízen</w:t>
      </w:r>
      <w:r w:rsidR="00652EA9"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í rychlejší a méně únavné. Jakmile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dojd</w:t>
      </w:r>
      <w:r w:rsidR="00652EA9"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e k automatizaci prováděného pohybu na subkortikální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úrovni, je již obtížně ovlivnitelný. </w:t>
      </w:r>
    </w:p>
    <w:p w:rsidR="005F3A95" w:rsidRPr="00652EA9" w:rsidRDefault="005F3A95" w:rsidP="001E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V metodice je využíváno facilitace proprioreceptorů několika základních oblastí, ovlivňujících řízení stoje a chůze a aktivaci spino-</w:t>
      </w:r>
      <w:proofErr w:type="spellStart"/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cerebe</w:t>
      </w:r>
      <w:r w:rsidR="00652EA9"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llo</w:t>
      </w:r>
      <w:proofErr w:type="spellEnd"/>
      <w:r w:rsidR="00652EA9"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-vestibulárních drah. Využívá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facilita</w:t>
      </w:r>
      <w:r w:rsidR="00652EA9"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kožních receptorů, receptorů </w:t>
      </w:r>
      <w:proofErr w:type="spellStart"/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>plosky</w:t>
      </w:r>
      <w:proofErr w:type="spellEnd"/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nohy a šíjových svalů.</w:t>
      </w:r>
      <w:r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 Cílem této metody je dosáhnout reflexní, automatické aktivace žádaných svalů v takovém stupni</w:t>
      </w:r>
      <w:r w:rsidR="00652EA9"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 a kvalitě</w:t>
      </w:r>
      <w:r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, aby pohyby nevyžadovaly výraznější kortikální kontrolu. Senzomotorická stimulaci zahrnuje </w:t>
      </w:r>
      <w:r w:rsidRPr="00652EA9">
        <w:rPr>
          <w:rFonts w:ascii="Times New Roman" w:hAnsi="Times New Roman" w:cs="Times New Roman"/>
          <w:sz w:val="24"/>
          <w:szCs w:val="24"/>
        </w:rPr>
        <w:t xml:space="preserve">nácvik </w:t>
      </w:r>
      <w:r w:rsidR="00C90A5A" w:rsidRPr="00652EA9">
        <w:rPr>
          <w:rFonts w:ascii="Times New Roman" w:hAnsi="Times New Roman" w:cs="Times New Roman"/>
          <w:sz w:val="24"/>
          <w:szCs w:val="24"/>
        </w:rPr>
        <w:t>tzv. „</w:t>
      </w:r>
      <w:r w:rsidRPr="00652EA9">
        <w:rPr>
          <w:rFonts w:ascii="Times New Roman" w:hAnsi="Times New Roman" w:cs="Times New Roman"/>
          <w:sz w:val="24"/>
          <w:szCs w:val="24"/>
        </w:rPr>
        <w:t>malé nohy</w:t>
      </w:r>
      <w:r w:rsidR="00C90A5A" w:rsidRPr="00652EA9">
        <w:rPr>
          <w:rFonts w:ascii="Times New Roman" w:hAnsi="Times New Roman" w:cs="Times New Roman"/>
          <w:sz w:val="24"/>
          <w:szCs w:val="24"/>
        </w:rPr>
        <w:t>“</w:t>
      </w:r>
      <w:r w:rsidRPr="00652EA9">
        <w:rPr>
          <w:rFonts w:ascii="Times New Roman" w:hAnsi="Times New Roman" w:cs="Times New Roman"/>
          <w:color w:val="000000"/>
          <w:sz w:val="24"/>
          <w:szCs w:val="24"/>
        </w:rPr>
        <w:t xml:space="preserve"> a cvičení na balančních úsečích</w:t>
      </w:r>
      <w:r w:rsidRPr="00652E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52EA9">
        <w:rPr>
          <w:rFonts w:ascii="Times New Roman" w:hAnsi="Times New Roman" w:cs="Times New Roman"/>
          <w:sz w:val="24"/>
          <w:szCs w:val="24"/>
        </w:rPr>
        <w:t>točnách, míčích, trampolínách a jiných pomůckách.</w:t>
      </w:r>
    </w:p>
    <w:p w:rsidR="005F3A95" w:rsidRPr="00652EA9" w:rsidRDefault="005F3A95" w:rsidP="001E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3A95" w:rsidRPr="00652EA9" w:rsidRDefault="00C90A5A" w:rsidP="001E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EA9">
        <w:rPr>
          <w:rFonts w:ascii="Times New Roman" w:hAnsi="Times New Roman" w:cs="Times New Roman"/>
          <w:sz w:val="24"/>
          <w:szCs w:val="24"/>
          <w:u w:val="single"/>
        </w:rPr>
        <w:t>Nácvik „malé nohy“</w:t>
      </w:r>
    </w:p>
    <w:p w:rsidR="00C90A5A" w:rsidRPr="00652EA9" w:rsidRDefault="00C90A5A" w:rsidP="001E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lastRenderedPageBreak/>
        <w:t>Jedná se o speciální cvičení s cílem zvýšení</w:t>
      </w:r>
      <w:r w:rsidR="00FE11D6" w:rsidRPr="00652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D6" w:rsidRPr="00652EA9">
        <w:rPr>
          <w:rFonts w:ascii="Times New Roman" w:hAnsi="Times New Roman" w:cs="Times New Roman"/>
          <w:sz w:val="24"/>
          <w:szCs w:val="24"/>
        </w:rPr>
        <w:t>aference</w:t>
      </w:r>
      <w:proofErr w:type="spellEnd"/>
      <w:r w:rsidR="00FE11D6" w:rsidRPr="00652EA9">
        <w:rPr>
          <w:rFonts w:ascii="Times New Roman" w:hAnsi="Times New Roman" w:cs="Times New Roman"/>
          <w:sz w:val="24"/>
          <w:szCs w:val="24"/>
        </w:rPr>
        <w:t xml:space="preserve"> nohy. Pacient </w:t>
      </w:r>
      <w:proofErr w:type="gramStart"/>
      <w:r w:rsidR="00FE11D6" w:rsidRPr="00652EA9">
        <w:rPr>
          <w:rFonts w:ascii="Times New Roman" w:hAnsi="Times New Roman" w:cs="Times New Roman"/>
          <w:sz w:val="24"/>
          <w:szCs w:val="24"/>
        </w:rPr>
        <w:t>přitahuj</w:t>
      </w:r>
      <w:r w:rsidRPr="00652EA9">
        <w:rPr>
          <w:rFonts w:ascii="Times New Roman" w:hAnsi="Times New Roman" w:cs="Times New Roman"/>
          <w:sz w:val="24"/>
          <w:szCs w:val="24"/>
        </w:rPr>
        <w:t>e přednoží</w:t>
      </w:r>
      <w:proofErr w:type="gramEnd"/>
      <w:r w:rsidRPr="00652EA9">
        <w:rPr>
          <w:rFonts w:ascii="Times New Roman" w:hAnsi="Times New Roman" w:cs="Times New Roman"/>
          <w:sz w:val="24"/>
          <w:szCs w:val="24"/>
        </w:rPr>
        <w:t xml:space="preserve"> a patu k sobě,</w:t>
      </w:r>
      <w:r w:rsidR="00FE11D6" w:rsidRPr="00652EA9">
        <w:rPr>
          <w:rFonts w:ascii="Times New Roman" w:hAnsi="Times New Roman" w:cs="Times New Roman"/>
          <w:sz w:val="24"/>
          <w:szCs w:val="24"/>
        </w:rPr>
        <w:t xml:space="preserve"> při čemž</w:t>
      </w:r>
      <w:r w:rsidRPr="00652EA9">
        <w:rPr>
          <w:rFonts w:ascii="Times New Roman" w:hAnsi="Times New Roman" w:cs="Times New Roman"/>
          <w:sz w:val="24"/>
          <w:szCs w:val="24"/>
        </w:rPr>
        <w:t xml:space="preserve"> dochází k podpoře podélné klenby a současně přitažením hlaviček </w:t>
      </w:r>
      <w:proofErr w:type="spellStart"/>
      <w:r w:rsidRPr="00652EA9">
        <w:rPr>
          <w:rFonts w:ascii="Times New Roman" w:hAnsi="Times New Roman" w:cs="Times New Roman"/>
          <w:sz w:val="24"/>
          <w:szCs w:val="24"/>
        </w:rPr>
        <w:t>metatarzů</w:t>
      </w:r>
      <w:proofErr w:type="spellEnd"/>
      <w:r w:rsidRPr="00652EA9">
        <w:rPr>
          <w:rFonts w:ascii="Times New Roman" w:hAnsi="Times New Roman" w:cs="Times New Roman"/>
          <w:sz w:val="24"/>
          <w:szCs w:val="24"/>
        </w:rPr>
        <w:t xml:space="preserve"> k</w:t>
      </w:r>
      <w:r w:rsidR="00FE11D6" w:rsidRPr="00652EA9">
        <w:rPr>
          <w:rFonts w:ascii="Times New Roman" w:hAnsi="Times New Roman" w:cs="Times New Roman"/>
          <w:sz w:val="24"/>
          <w:szCs w:val="24"/>
        </w:rPr>
        <w:t> </w:t>
      </w:r>
      <w:r w:rsidRPr="00652EA9">
        <w:rPr>
          <w:rFonts w:ascii="Times New Roman" w:hAnsi="Times New Roman" w:cs="Times New Roman"/>
          <w:sz w:val="24"/>
          <w:szCs w:val="24"/>
        </w:rPr>
        <w:t>sobě</w:t>
      </w:r>
      <w:r w:rsidR="00FE11D6" w:rsidRPr="00652EA9">
        <w:rPr>
          <w:rFonts w:ascii="Times New Roman" w:hAnsi="Times New Roman" w:cs="Times New Roman"/>
          <w:sz w:val="24"/>
          <w:szCs w:val="24"/>
        </w:rPr>
        <w:t xml:space="preserve"> i k formování příčné klenby. Hlavička 1. a 5. </w:t>
      </w:r>
      <w:proofErr w:type="spellStart"/>
      <w:r w:rsidR="00FE11D6" w:rsidRPr="00652EA9">
        <w:rPr>
          <w:rFonts w:ascii="Times New Roman" w:hAnsi="Times New Roman" w:cs="Times New Roman"/>
          <w:sz w:val="24"/>
          <w:szCs w:val="24"/>
        </w:rPr>
        <w:t>metatarzu</w:t>
      </w:r>
      <w:proofErr w:type="spellEnd"/>
      <w:r w:rsidR="00FE11D6" w:rsidRPr="00652EA9">
        <w:rPr>
          <w:rFonts w:ascii="Times New Roman" w:hAnsi="Times New Roman" w:cs="Times New Roman"/>
          <w:sz w:val="24"/>
          <w:szCs w:val="24"/>
        </w:rPr>
        <w:t xml:space="preserve"> přitom zůstává na podložce, stejně tak prsty jsou volně položené. Při cvičení dochází k dráždění a aktivaci proprioreceptorů ze svalů a drobných kloubů nohy. Do CNS tak proudí velké množství proprioceptivních vzruchů (krátké svaly a klouby nohy jsou bohaté na proprioreceptory).</w:t>
      </w:r>
    </w:p>
    <w:p w:rsidR="00652EA9" w:rsidRPr="00652EA9" w:rsidRDefault="00FE11D6" w:rsidP="001E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 xml:space="preserve">S nácvikem „malé nohy“ </w:t>
      </w:r>
      <w:r w:rsidR="00025D59" w:rsidRPr="00652EA9">
        <w:rPr>
          <w:rFonts w:ascii="Times New Roman" w:hAnsi="Times New Roman" w:cs="Times New Roman"/>
          <w:sz w:val="24"/>
          <w:szCs w:val="24"/>
        </w:rPr>
        <w:t>je vhodné začínat vsedě, kdy terapeut pasivně modeluje oběma rukama nohu do výše uvedeného tvaru, pasivní pohyb provádí 3-5krát. Pacient sleduje celý pohyb a snaží se vnímat jeho průběh.  Cvičení vsedě končí aktivním provedením pohybu pacientem, po té přecházíme do vyšších pozic (nákrok, stoj).</w:t>
      </w:r>
      <w:r w:rsidR="00603F29" w:rsidRPr="0065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D6" w:rsidRPr="00652EA9" w:rsidRDefault="00673A8B" w:rsidP="001E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sedu a </w:t>
      </w:r>
      <w:r w:rsidR="00603F29" w:rsidRPr="00652EA9">
        <w:rPr>
          <w:rFonts w:ascii="Times New Roman" w:hAnsi="Times New Roman" w:cs="Times New Roman"/>
          <w:sz w:val="24"/>
          <w:szCs w:val="24"/>
        </w:rPr>
        <w:t>následně i ve vyšších polohách je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 vždy</w:t>
      </w:r>
      <w:r w:rsidR="00603F29" w:rsidRPr="00652EA9">
        <w:rPr>
          <w:rFonts w:ascii="Times New Roman" w:hAnsi="Times New Roman" w:cs="Times New Roman"/>
          <w:sz w:val="24"/>
          <w:szCs w:val="24"/>
        </w:rPr>
        <w:t xml:space="preserve"> nutná posturální korekce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 pacienta terapeutem</w:t>
      </w:r>
      <w:r w:rsidR="00603F29" w:rsidRPr="00652EA9">
        <w:rPr>
          <w:rFonts w:ascii="Times New Roman" w:hAnsi="Times New Roman" w:cs="Times New Roman"/>
          <w:sz w:val="24"/>
          <w:szCs w:val="24"/>
        </w:rPr>
        <w:t>.</w:t>
      </w:r>
      <w:r w:rsidR="00025D59" w:rsidRPr="0065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EA9" w:rsidRPr="00652EA9" w:rsidRDefault="00652EA9" w:rsidP="00652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52EA9" w:rsidRPr="00652EA9" w:rsidRDefault="00652EA9" w:rsidP="00652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K správnému a účinnému cvičení na labilních plochách je třeba dodržovat určitá pravidla a zásady: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všechny cviky musí být nejprve prováděny na pevné podložce (zemi), až po jejich dokonalém zvládnutí přidávat labilní plochy;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dodržovat bezpečnost – mít dostatek prostoru kolem balanční plochy a cvičit v prostředí, kde nehrozí úraz;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cvičí se vždy nejdříve naboso – z </w:t>
      </w:r>
      <w:proofErr w:type="spellStart"/>
      <w:r w:rsidRPr="00652EA9">
        <w:rPr>
          <w:rFonts w:ascii="Times New Roman" w:hAnsi="Times New Roman" w:cs="Times New Roman"/>
          <w:sz w:val="24"/>
          <w:szCs w:val="24"/>
        </w:rPr>
        <w:t>plosky</w:t>
      </w:r>
      <w:proofErr w:type="spellEnd"/>
      <w:r w:rsidRPr="00652EA9">
        <w:rPr>
          <w:rFonts w:ascii="Times New Roman" w:hAnsi="Times New Roman" w:cs="Times New Roman"/>
          <w:sz w:val="24"/>
          <w:szCs w:val="24"/>
        </w:rPr>
        <w:t xml:space="preserve"> nohy je tak lepší </w:t>
      </w:r>
      <w:proofErr w:type="spellStart"/>
      <w:r w:rsidRPr="00652EA9">
        <w:rPr>
          <w:rFonts w:ascii="Times New Roman" w:hAnsi="Times New Roman" w:cs="Times New Roman"/>
          <w:sz w:val="24"/>
          <w:szCs w:val="24"/>
        </w:rPr>
        <w:t>aferentace</w:t>
      </w:r>
      <w:proofErr w:type="spellEnd"/>
      <w:r w:rsidRPr="00652EA9">
        <w:rPr>
          <w:rFonts w:ascii="Times New Roman" w:hAnsi="Times New Roman" w:cs="Times New Roman"/>
          <w:sz w:val="24"/>
          <w:szCs w:val="24"/>
        </w:rPr>
        <w:t>, lepší kontrola kvality pohybu a cvičení je bezpečnější;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při cvičení nezadržovat dech;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od samého začátku cvičení klást důraz na nácvik správného stoje – ko</w:t>
      </w:r>
      <w:r w:rsidR="009B6F0B">
        <w:rPr>
          <w:rFonts w:ascii="Times New Roman" w:hAnsi="Times New Roman" w:cs="Times New Roman"/>
          <w:sz w:val="24"/>
          <w:szCs w:val="24"/>
        </w:rPr>
        <w:t>rekce držení těla začíná</w:t>
      </w:r>
      <w:bookmarkStart w:id="0" w:name="_GoBack"/>
      <w:bookmarkEnd w:id="0"/>
      <w:r w:rsidRPr="00652EA9">
        <w:rPr>
          <w:rFonts w:ascii="Times New Roman" w:hAnsi="Times New Roman" w:cs="Times New Roman"/>
          <w:sz w:val="24"/>
          <w:szCs w:val="24"/>
        </w:rPr>
        <w:t xml:space="preserve"> od distálních částí těla a postupuje proximálně (nejdříve se korigují nohy, kolena, pánev, hlava, krk a ramena;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další zvýšení obtížnosti balančního cvičení lze dosáhnout vyřazením zrakové kontroly (provedení daného cviku se zavřenýma očima) nebo zmenšením opěrné plochy;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všechny dynamické pohyby cvičit plynule a kontrolovaně;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počty opakování individuálně přizpůsobit dle úrovně kondičních a koordinačních schopností jednotlivce, výdrže v jednotlivých balančních polohách jsou od 5-10 sekund, pro správný efekt je nutné cvičit pravidelně;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 xml:space="preserve">cvičení by nemělo vyvolávat bolest ani fyzickou nebo psychickou únavu; </w:t>
      </w:r>
    </w:p>
    <w:p w:rsidR="00652EA9" w:rsidRPr="00652EA9" w:rsidRDefault="00652EA9" w:rsidP="00652EA9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lastRenderedPageBreak/>
        <w:t>cvičení ukončit při prvních známkách únavy, která se projeví nejčastěji poruchou koordinace svalů nebo zhoršením kvality držení těla.</w:t>
      </w:r>
    </w:p>
    <w:p w:rsidR="00652EA9" w:rsidRPr="00652EA9" w:rsidRDefault="00652EA9" w:rsidP="0002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25D59" w:rsidRPr="00652EA9" w:rsidRDefault="00025D59" w:rsidP="0002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Hlavními cíli senzomotorické stimulace jsou:</w:t>
      </w:r>
    </w:p>
    <w:p w:rsidR="00025D59" w:rsidRPr="00652EA9" w:rsidRDefault="00025D59" w:rsidP="00025D59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zlepšení svalové koordinace;</w:t>
      </w:r>
    </w:p>
    <w:p w:rsidR="00025D59" w:rsidRPr="00652EA9" w:rsidRDefault="00025D59" w:rsidP="00025D59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zrychlení nástupu svalové kontrakce pomocí aktivace proprioreceptorů vyvolané změnou postavení v kloubu;</w:t>
      </w:r>
    </w:p>
    <w:p w:rsidR="00025D59" w:rsidRPr="00652EA9" w:rsidRDefault="00025D59" w:rsidP="00025D59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ovlivnění poruch propriorecepce doprovázejí neurologická onemocnění;</w:t>
      </w:r>
    </w:p>
    <w:p w:rsidR="00025D59" w:rsidRPr="00652EA9" w:rsidRDefault="00025D59" w:rsidP="00025D59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 xml:space="preserve"> úprava poruch rovnováhy;</w:t>
      </w:r>
    </w:p>
    <w:p w:rsidR="00025D59" w:rsidRPr="00652EA9" w:rsidRDefault="00025D59" w:rsidP="00025D59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zlepšení stabilizace trupu ve stoji a chůzi</w:t>
      </w:r>
    </w:p>
    <w:p w:rsidR="00025D59" w:rsidRPr="00652EA9" w:rsidRDefault="00025D59" w:rsidP="00025D59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začlenění nových pohybových programů do sportovního tréninku či běžných denních aktivit.</w:t>
      </w:r>
    </w:p>
    <w:p w:rsidR="005F3A95" w:rsidRPr="00652EA9" w:rsidRDefault="005F3A95" w:rsidP="001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512" w:rsidRPr="00652EA9" w:rsidRDefault="00652EA9" w:rsidP="0067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A9">
        <w:rPr>
          <w:rFonts w:ascii="Times New Roman" w:eastAsia="Times New Roman" w:hAnsi="Times New Roman" w:cs="Times New Roman"/>
          <w:b/>
          <w:bCs/>
          <w:sz w:val="24"/>
          <w:szCs w:val="24"/>
        </w:rPr>
        <w:t>Příklady terapeutického využití</w:t>
      </w:r>
      <w:r w:rsidR="001E3512" w:rsidRPr="00652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senzomotorické stimulace: </w:t>
      </w:r>
      <w:r w:rsidR="00025D59" w:rsidRPr="00652EA9">
        <w:rPr>
          <w:rFonts w:ascii="Times New Roman" w:eastAsia="Times New Roman" w:hAnsi="Times New Roman" w:cs="Times New Roman"/>
          <w:bCs/>
          <w:sz w:val="24"/>
          <w:szCs w:val="24"/>
        </w:rPr>
        <w:t xml:space="preserve">chronická i funkční </w:t>
      </w:r>
      <w:r w:rsidR="00025D59" w:rsidRPr="00652EA9">
        <w:rPr>
          <w:rFonts w:ascii="Times New Roman" w:eastAsia="Times New Roman" w:hAnsi="Times New Roman" w:cs="Times New Roman"/>
          <w:sz w:val="24"/>
          <w:szCs w:val="24"/>
        </w:rPr>
        <w:t>nestabilita hlezenní</w:t>
      </w:r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ho kloubu, </w:t>
      </w:r>
      <w:proofErr w:type="spellStart"/>
      <w:r w:rsidRPr="00652EA9">
        <w:rPr>
          <w:rFonts w:ascii="Times New Roman" w:eastAsia="Times New Roman" w:hAnsi="Times New Roman" w:cs="Times New Roman"/>
          <w:sz w:val="24"/>
          <w:szCs w:val="24"/>
        </w:rPr>
        <w:t>hypermobilita</w:t>
      </w:r>
      <w:proofErr w:type="spellEnd"/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 pohybového aparátu, poruchy rovnováhy, prevence pádů u seniorů aj.</w:t>
      </w:r>
    </w:p>
    <w:p w:rsidR="00F50DAF" w:rsidRPr="00652EA9" w:rsidRDefault="00F50DAF" w:rsidP="00673A8B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512" w:rsidRPr="00652EA9" w:rsidRDefault="001E3512" w:rsidP="00673A8B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Kontraindikace senzomotorické stimulace: </w:t>
      </w:r>
      <w:r w:rsidRPr="00652EA9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652EA9">
        <w:rPr>
          <w:rFonts w:ascii="Times New Roman" w:eastAsia="Times New Roman" w:hAnsi="Times New Roman" w:cs="Times New Roman"/>
          <w:sz w:val="24"/>
          <w:szCs w:val="24"/>
        </w:rPr>
        <w:t>ontraindikace v zásadě nejsou, ale technika není vhodná při akutních bol</w:t>
      </w:r>
      <w:r w:rsidR="009B6F0B">
        <w:rPr>
          <w:rFonts w:ascii="Times New Roman" w:eastAsia="Times New Roman" w:hAnsi="Times New Roman" w:cs="Times New Roman"/>
          <w:sz w:val="24"/>
          <w:szCs w:val="24"/>
        </w:rPr>
        <w:t>estivých a zánětlivých stavech,</w:t>
      </w:r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 u úplné ztrát</w:t>
      </w:r>
      <w:r w:rsidR="009B6F0B">
        <w:rPr>
          <w:rFonts w:ascii="Times New Roman" w:eastAsia="Times New Roman" w:hAnsi="Times New Roman" w:cs="Times New Roman"/>
          <w:sz w:val="24"/>
          <w:szCs w:val="24"/>
        </w:rPr>
        <w:t>y povrchového i hlubokého čití,</w:t>
      </w:r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 u onemocnění CNS s projevy zvýšení </w:t>
      </w:r>
      <w:proofErr w:type="spellStart"/>
      <w:r w:rsidRPr="00652EA9">
        <w:rPr>
          <w:rFonts w:ascii="Times New Roman" w:eastAsia="Times New Roman" w:hAnsi="Times New Roman" w:cs="Times New Roman"/>
          <w:sz w:val="24"/>
          <w:szCs w:val="24"/>
        </w:rPr>
        <w:t>spasticity</w:t>
      </w:r>
      <w:proofErr w:type="spellEnd"/>
      <w:r w:rsidR="00673A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2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DAF" w:rsidRPr="00652EA9" w:rsidRDefault="00F50DAF" w:rsidP="00673A8B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50DAF" w:rsidRPr="00652EA9" w:rsidSect="00B7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053"/>
    <w:multiLevelType w:val="hybridMultilevel"/>
    <w:tmpl w:val="01BE149A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0C0"/>
    <w:multiLevelType w:val="hybridMultilevel"/>
    <w:tmpl w:val="913E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66DE"/>
    <w:multiLevelType w:val="hybridMultilevel"/>
    <w:tmpl w:val="406CD47A"/>
    <w:lvl w:ilvl="0" w:tplc="3F4A4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77C7E"/>
    <w:multiLevelType w:val="hybridMultilevel"/>
    <w:tmpl w:val="E0828BC4"/>
    <w:lvl w:ilvl="0" w:tplc="3F4A498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F5937E8"/>
    <w:multiLevelType w:val="hybridMultilevel"/>
    <w:tmpl w:val="0986D8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93965"/>
    <w:multiLevelType w:val="hybridMultilevel"/>
    <w:tmpl w:val="32BCC194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35BDA"/>
    <w:multiLevelType w:val="hybridMultilevel"/>
    <w:tmpl w:val="FAD45E8C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C1623"/>
    <w:multiLevelType w:val="hybridMultilevel"/>
    <w:tmpl w:val="EABE37EC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05DDA"/>
    <w:multiLevelType w:val="hybridMultilevel"/>
    <w:tmpl w:val="5AF01CC4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01AE1"/>
    <w:multiLevelType w:val="hybridMultilevel"/>
    <w:tmpl w:val="DA0C8E66"/>
    <w:lvl w:ilvl="0" w:tplc="17383E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2"/>
    <w:rsid w:val="00025D59"/>
    <w:rsid w:val="001E3512"/>
    <w:rsid w:val="002E36AA"/>
    <w:rsid w:val="005C0F87"/>
    <w:rsid w:val="005F3A95"/>
    <w:rsid w:val="00603F29"/>
    <w:rsid w:val="00652EA9"/>
    <w:rsid w:val="00673A8B"/>
    <w:rsid w:val="009B6F0B"/>
    <w:rsid w:val="00B56561"/>
    <w:rsid w:val="00B719B8"/>
    <w:rsid w:val="00C90A5A"/>
    <w:rsid w:val="00E154F6"/>
    <w:rsid w:val="00F50DAF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3512"/>
    <w:pPr>
      <w:keepNext/>
      <w:tabs>
        <w:tab w:val="num" w:pos="720"/>
      </w:tabs>
      <w:spacing w:after="0" w:line="360" w:lineRule="auto"/>
      <w:ind w:left="720" w:hanging="18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E3512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3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351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10"/>
    <w:qFormat/>
    <w:rsid w:val="001E3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E3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5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351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3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E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3512"/>
    <w:pPr>
      <w:keepNext/>
      <w:tabs>
        <w:tab w:val="num" w:pos="720"/>
      </w:tabs>
      <w:spacing w:after="0" w:line="360" w:lineRule="auto"/>
      <w:ind w:left="720" w:hanging="18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E3512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3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351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10"/>
    <w:qFormat/>
    <w:rsid w:val="001E3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E3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5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351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3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E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6</cp:revision>
  <dcterms:created xsi:type="dcterms:W3CDTF">2013-07-20T19:51:00Z</dcterms:created>
  <dcterms:modified xsi:type="dcterms:W3CDTF">2013-08-01T07:38:00Z</dcterms:modified>
</cp:coreProperties>
</file>