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56"/>
          <w:rtl w:val="0"/>
        </w:rPr>
        <w:t xml:space="preserve">Náš teambuildingový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Zadání programu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Lektorský tým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Místo konání programu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Účastníci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Počet: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Stručná charakteristika: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Cíl programu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Popište ideální výsledek programu. Co by se mělo se skupinou stát po jeho absolvování.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Účastníci budou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Témata, se kterými bude program pracovat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Stručně popište, jaká témata skupině pomohou k dosažení cíle.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Popis aktivit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Uveďte aktivity a jejich hlavní principy vzhledem k tématům programu (o co v nich půjde?)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Harmonogram akce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Na časové ose naznačte průběh programu, timing jednotlivých aktivit a stručně popište.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Materiál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Sepište si, jaký materiál budete potřebovat k jednotlivým aktivitám (+ kdo ho zajistí)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 čím by měli účastníci ideálně odcházet?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Představte si, co si bude ideální účastník vašeho programu myslet po jeho absolvování.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Otázky k ohlédnutí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Pomohou vám k tomu, aby si to opravdu mysleli, proto nezapomeňte na „ohlédnutí“ po skončení aktivit. Teprve tam se děje to pravé učení teambuildingem: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Jak je? Jak se cítíte?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 se dělo?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 čem to bylo? Co to znamená?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Jak to vypadá v reálném světě?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 si odnášíte z programu?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