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23" w:rsidRPr="001A2E23" w:rsidRDefault="00D968C6" w:rsidP="001A2E23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Vyšetřovací metody I</w:t>
      </w:r>
    </w:p>
    <w:p w:rsidR="00D968C6" w:rsidRDefault="00D968C6" w:rsidP="00ED01E0">
      <w:pPr>
        <w:tabs>
          <w:tab w:val="left" w:pos="2694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E23" w:rsidRPr="009956F0" w:rsidRDefault="009956F0" w:rsidP="00ED01E0">
      <w:pPr>
        <w:tabs>
          <w:tab w:val="left" w:pos="2694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956F0">
        <w:rPr>
          <w:rFonts w:ascii="Times New Roman" w:hAnsi="Times New Roman" w:cs="Times New Roman"/>
          <w:b/>
          <w:sz w:val="28"/>
          <w:szCs w:val="28"/>
          <w:u w:val="single"/>
        </w:rPr>
        <w:t>Hypermobilita</w:t>
      </w:r>
      <w:proofErr w:type="spellEnd"/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– zvětšený rozsah kloubní pohyblivosti nad běžnou fyziologickou normu, a to jak ve smyslu joint play, tak v pasivním i aktivním pohybu</w:t>
      </w:r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kompenzační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při neurologickém onemocnění</w:t>
      </w:r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konstituční</w:t>
      </w:r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lokální patologická (posttraumatická)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Důsledkem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hypermobility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segmentu může být nestabilita. Klinickým projevem bývá často bolest.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Kompenzační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56F0">
        <w:rPr>
          <w:rFonts w:ascii="Times New Roman" w:hAnsi="Times New Roman" w:cs="Times New Roman"/>
          <w:sz w:val="24"/>
          <w:szCs w:val="24"/>
        </w:rPr>
        <w:t xml:space="preserve">lokální patologická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, která je důsledkem kompenzačních mechanismů při omezení rozsahu pohybu v jiném segmentu nebo kloubu. V terapii se zaměřujeme na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hypomobilním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segmenty. Po obnovení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hypomobilního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segmentu dojde ke spontánní úpravě funkce segmentu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hypermobilního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při neurologickém onemocnění – </w:t>
      </w:r>
      <w:r w:rsidRPr="009956F0">
        <w:rPr>
          <w:rFonts w:ascii="Times New Roman" w:hAnsi="Times New Roman" w:cs="Times New Roman"/>
          <w:sz w:val="24"/>
          <w:szCs w:val="24"/>
        </w:rPr>
        <w:t>postižení mozečku, periferní parézy, hypotonie při ADHD (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deficit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hyperactivity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), Downův syndrom, oligofrenie.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Na přechodu ke konstitucionální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hypermobilitě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jsou některé klinicky patologické stavy, jako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Marfanův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Ehlers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Danlos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syndrom</w:t>
      </w:r>
      <w:r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Konstituční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– zvětšení kloubního rozsahu nad běžnou normu. Etiologie je nejasná, předpokládá se však insuficience mesenchymu, projevující se klinicky  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laxitou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a nitrosvalového podpůrného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stromatu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generalizovaně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ve všech kloubech. 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Laxita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má za následek nejen zvětšení rozsahu kloubní pohyblivosti, ale hlavně kloubní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instabilitu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Lokální patologická (posttraumatická)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1" w:rsidRPr="009956F0">
        <w:rPr>
          <w:rFonts w:ascii="Times New Roman" w:hAnsi="Times New Roman" w:cs="Times New Roman"/>
          <w:b/>
          <w:sz w:val="24"/>
          <w:szCs w:val="24"/>
        </w:rPr>
        <w:t>–</w:t>
      </w:r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1" w:rsidRPr="009956F0">
        <w:rPr>
          <w:rFonts w:ascii="Times New Roman" w:hAnsi="Times New Roman" w:cs="Times New Roman"/>
          <w:sz w:val="24"/>
          <w:szCs w:val="24"/>
        </w:rPr>
        <w:t xml:space="preserve">spíše nestabilita, vzniká po traumatickém poškození pasivních stabilizátorů (kloubního pouzdra a vazů) daného pohybového </w:t>
      </w:r>
      <w:proofErr w:type="spellStart"/>
      <w:r w:rsidR="00E41E31" w:rsidRPr="009956F0">
        <w:rPr>
          <w:rFonts w:ascii="Times New Roman" w:hAnsi="Times New Roman" w:cs="Times New Roman"/>
          <w:sz w:val="24"/>
          <w:szCs w:val="24"/>
        </w:rPr>
        <w:t>segmetu</w:t>
      </w:r>
      <w:proofErr w:type="spellEnd"/>
      <w:r w:rsidR="00E41E31"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není onemocnění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, ale klinickým popisem určité kvality vaziva.  Kvalita vaziva ovlivňuje biomechanickou stabilitu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myoskeletálního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(zvláště kloubního) systému, výrazně se podílí na ochraně kloubu proti přetížení a tím nepřímo ovlivňuje rozvoj bolestivých stavů hybné soustavy v pozdějším věku. Tzv. benigní bolest hybné soustavy je nejčastějším bolestivým syndromem člověka. Podle současného chápání patogenese  „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vertebrogenních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„ poruch je dnes obecně přijímán názor, že první poruchy mají svůj základ v dětství a proto z hlediska prevence poruch v dospělosti bychom měli začít s preventivními opatřeními již ve školním věku. 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Vzhledem k tomu, že konstitucionální 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nepovažujeme za patologický stav, je tento klinický nález</w:t>
      </w:r>
      <w:r w:rsidR="009956F0">
        <w:rPr>
          <w:rFonts w:ascii="Times New Roman" w:hAnsi="Times New Roman" w:cs="Times New Roman"/>
          <w:sz w:val="24"/>
          <w:szCs w:val="24"/>
        </w:rPr>
        <w:t xml:space="preserve"> často</w:t>
      </w:r>
      <w:r w:rsidRPr="009956F0">
        <w:rPr>
          <w:rFonts w:ascii="Times New Roman" w:hAnsi="Times New Roman" w:cs="Times New Roman"/>
          <w:sz w:val="24"/>
          <w:szCs w:val="24"/>
        </w:rPr>
        <w:t xml:space="preserve"> přehlížen, jeho význam jako rizikový faktor nebrán v úvahu, pacient je při obtížích (zvláště bolestí) léčen mobilizačními technikami</w:t>
      </w:r>
      <w:r w:rsidR="009956F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956F0">
        <w:rPr>
          <w:rFonts w:ascii="Times New Roman" w:hAnsi="Times New Roman" w:cs="Times New Roman"/>
          <w:sz w:val="24"/>
          <w:szCs w:val="24"/>
        </w:rPr>
        <w:t>hypermobilních</w:t>
      </w:r>
      <w:proofErr w:type="spellEnd"/>
      <w:r w:rsidR="009956F0">
        <w:rPr>
          <w:rFonts w:ascii="Times New Roman" w:hAnsi="Times New Roman" w:cs="Times New Roman"/>
          <w:sz w:val="24"/>
          <w:szCs w:val="24"/>
        </w:rPr>
        <w:t xml:space="preserve"> segmentech,</w:t>
      </w:r>
      <w:r w:rsidRPr="009956F0">
        <w:rPr>
          <w:rFonts w:ascii="Times New Roman" w:hAnsi="Times New Roman" w:cs="Times New Roman"/>
          <w:sz w:val="24"/>
          <w:szCs w:val="24"/>
        </w:rPr>
        <w:t xml:space="preserve"> strečink</w:t>
      </w:r>
      <w:r w:rsidR="009956F0">
        <w:rPr>
          <w:rFonts w:ascii="Times New Roman" w:hAnsi="Times New Roman" w:cs="Times New Roman"/>
          <w:sz w:val="24"/>
          <w:szCs w:val="24"/>
        </w:rPr>
        <w:t>em</w:t>
      </w:r>
      <w:r w:rsidRPr="009956F0">
        <w:rPr>
          <w:rFonts w:ascii="Times New Roman" w:hAnsi="Times New Roman" w:cs="Times New Roman"/>
          <w:sz w:val="24"/>
          <w:szCs w:val="24"/>
        </w:rPr>
        <w:t xml:space="preserve"> nebo mu jsou indikována při obtížích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myorelaxancia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. Tyto terapeutické přístupy jsou však u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hypermobilních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pacientů </w:t>
      </w:r>
      <w:r w:rsidRPr="009956F0">
        <w:rPr>
          <w:rFonts w:ascii="Times New Roman" w:hAnsi="Times New Roman" w:cs="Times New Roman"/>
          <w:b/>
          <w:sz w:val="24"/>
          <w:szCs w:val="24"/>
        </w:rPr>
        <w:t>kontraindikovány</w:t>
      </w:r>
      <w:r w:rsidR="00995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Pohybový režim těc</w:t>
      </w:r>
      <w:r w:rsidR="009956F0">
        <w:rPr>
          <w:rFonts w:ascii="Times New Roman" w:hAnsi="Times New Roman" w:cs="Times New Roman"/>
          <w:sz w:val="24"/>
          <w:szCs w:val="24"/>
        </w:rPr>
        <w:t>hto klientů</w:t>
      </w:r>
      <w:r w:rsidRPr="009956F0">
        <w:rPr>
          <w:rFonts w:ascii="Times New Roman" w:hAnsi="Times New Roman" w:cs="Times New Roman"/>
          <w:sz w:val="24"/>
          <w:szCs w:val="24"/>
        </w:rPr>
        <w:t xml:space="preserve"> by měl být upraven a některá cvičení a sporty vyloučeny nebo alespoň omezeny na minimum. Patří sem v prvé řadě balet, moderní gymnastika a všechna cvičení nebo sporty, které podporují zvětšení rozsahu kloubní pohyblivosti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Posilovací cvičení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indikované pro zvýšení svalové síly nevede k hypertrofii, která by odpovídala vynaložené námaze.  Relativně nízká svalová síla vede k snadnému přetížení svalů, což se projeví vznikem bolestivých spoušťových bodů a úpono</w:t>
      </w:r>
      <w:r w:rsidR="00D968C6">
        <w:rPr>
          <w:rFonts w:ascii="Times New Roman" w:hAnsi="Times New Roman" w:cs="Times New Roman"/>
          <w:sz w:val="24"/>
          <w:szCs w:val="24"/>
        </w:rPr>
        <w:t xml:space="preserve">vých bolestí typu  </w:t>
      </w:r>
      <w:proofErr w:type="spellStart"/>
      <w:r w:rsidR="00D968C6">
        <w:rPr>
          <w:rFonts w:ascii="Times New Roman" w:hAnsi="Times New Roman" w:cs="Times New Roman"/>
          <w:sz w:val="24"/>
          <w:szCs w:val="24"/>
        </w:rPr>
        <w:t>entez</w:t>
      </w:r>
      <w:r w:rsidR="001A2E23" w:rsidRPr="009956F0">
        <w:rPr>
          <w:rFonts w:ascii="Times New Roman" w:hAnsi="Times New Roman" w:cs="Times New Roman"/>
          <w:sz w:val="24"/>
          <w:szCs w:val="24"/>
        </w:rPr>
        <w:t>opatií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>. Rovněž výskyt bolestivých spoušťových bodů ve svalech (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trigger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>) je relativně častější podobně jako svalové bolesti z přetížení.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Konstitucionální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je častější u žen a postihuje až 40% ženské populace. Je výraznější u mladých dívek, s postupujícím věkem se stává méně nápadnou, kolem 40 let věku zůstává stabilní a později se naopak zmenšuje.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bývá 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symetrická nebo skoro symetrická co do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laterali</w:t>
      </w:r>
      <w:r w:rsidRPr="009956F0">
        <w:rPr>
          <w:rFonts w:ascii="Times New Roman" w:hAnsi="Times New Roman" w:cs="Times New Roman"/>
          <w:sz w:val="24"/>
          <w:szCs w:val="24"/>
        </w:rPr>
        <w:t>z</w:t>
      </w:r>
      <w:r w:rsidR="001A2E23" w:rsidRPr="009956F0">
        <w:rPr>
          <w:rFonts w:ascii="Times New Roman" w:hAnsi="Times New Roman" w:cs="Times New Roman"/>
          <w:sz w:val="24"/>
          <w:szCs w:val="24"/>
        </w:rPr>
        <w:t>ace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>, může však být více vyjádřená v dolní nebo horní polovině těla. Výraznější symptomatologie na horní polovině těla je častější.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Diagnostika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hypermobility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>:</w:t>
      </w:r>
    </w:p>
    <w:p w:rsidR="001A2E23" w:rsidRPr="009956F0" w:rsidRDefault="001A2E23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Kůže bývá jemná s volným</w:t>
      </w:r>
      <w:r w:rsidR="009956F0">
        <w:rPr>
          <w:rFonts w:ascii="Times New Roman" w:hAnsi="Times New Roman" w:cs="Times New Roman"/>
          <w:sz w:val="24"/>
          <w:szCs w:val="24"/>
        </w:rPr>
        <w:t xml:space="preserve"> podkožím,</w:t>
      </w:r>
      <w:r w:rsidRPr="009956F0">
        <w:rPr>
          <w:rFonts w:ascii="Times New Roman" w:hAnsi="Times New Roman" w:cs="Times New Roman"/>
          <w:sz w:val="24"/>
          <w:szCs w:val="24"/>
        </w:rPr>
        <w:t xml:space="preserve"> lze snadno vytvořit kožní řasu.</w:t>
      </w:r>
    </w:p>
    <w:p w:rsidR="00E41E31" w:rsidRPr="009956F0" w:rsidRDefault="00E41E31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G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oniometrie </w:t>
      </w:r>
    </w:p>
    <w:p w:rsidR="00E41E31" w:rsidRPr="009956F0" w:rsidRDefault="00E41E31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P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ohybové testy. 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-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</w:t>
      </w:r>
      <w:r w:rsidR="001A2E23" w:rsidRPr="009956F0">
        <w:rPr>
          <w:rFonts w:ascii="Times New Roman" w:hAnsi="Times New Roman" w:cs="Times New Roman"/>
          <w:i/>
          <w:iCs/>
          <w:sz w:val="24"/>
          <w:szCs w:val="24"/>
        </w:rPr>
        <w:t>Thomayerova zkouška předklonu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při plně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extendovaných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kolenních kloubech. Normálně dospělý jedinec má být schopen se při maximálním předklonu dotknout špičkami prstů ruky podlahy.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Hypermobilní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jedinec může položit až celé dlaně na podlahu.  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- </w:t>
      </w:r>
      <w:r w:rsidR="001A2E23" w:rsidRPr="009956F0">
        <w:rPr>
          <w:rFonts w:ascii="Times New Roman" w:hAnsi="Times New Roman" w:cs="Times New Roman"/>
          <w:i/>
          <w:iCs/>
          <w:sz w:val="24"/>
          <w:szCs w:val="24"/>
        </w:rPr>
        <w:t>Zkouška pasivní elevace dolní končetiny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vleže na zádech je analogická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Lasegueově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zkoušce. Normální rozsah elevace se pohybuje mezi 80-90st  flexe v kyčelním kloubu bez souhybu pánve. U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hypermobilních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je rozsah 100 st i více.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Vyšetření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hypermobility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dle Jandy (Funkční svalové testy) : 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1. Zkouška rotace hlavy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2. Zkouška šály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3. Zkouška zapažených paží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4. Zkouška založených paží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Zkouška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extendovaných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loktů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6. Zkouška sepjatých rukou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7. Zkouška sepjatých prstů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8. Zkouška předklonu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9. Zkouška úklonu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10. Zkouška posazení na paty 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Cílem terapie je stabilizace nestabilních segmentů pomocí svalové funkce.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Facilitovat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svaly bezprostředně související s nestabilním segmentem i svaly zajišťující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punctum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fixum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nestabilního segmentu. Při zapojení svalů v jejich stabilizační funkci musíme respektovat jejich svalové řetězce v posturální funkci.</w:t>
      </w:r>
    </w:p>
    <w:p w:rsidR="009956F0" w:rsidRPr="009956F0" w:rsidRDefault="009956F0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Farmakoterapie u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hypermobility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:</w:t>
      </w:r>
    </w:p>
    <w:p w:rsidR="009956F0" w:rsidRPr="009956F0" w:rsidRDefault="009956F0" w:rsidP="009956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Myorelaxantia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kontraindikovány!!</w:t>
      </w:r>
    </w:p>
    <w:p w:rsidR="009956F0" w:rsidRPr="009956F0" w:rsidRDefault="009956F0" w:rsidP="009956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Antidepresiva – ovlivňují (snižují) svalový tonus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2E23" w:rsidRPr="009956F0" w:rsidRDefault="00607C58" w:rsidP="009956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Nesteroidní antirev</w:t>
      </w:r>
      <w:bookmarkStart w:id="0" w:name="_GoBack"/>
      <w:bookmarkEnd w:id="0"/>
      <w:r w:rsidR="001A2E23" w:rsidRPr="009956F0">
        <w:rPr>
          <w:rFonts w:ascii="Times New Roman" w:hAnsi="Times New Roman" w:cs="Times New Roman"/>
          <w:sz w:val="24"/>
          <w:szCs w:val="24"/>
        </w:rPr>
        <w:t>matika</w:t>
      </w:r>
      <w:r w:rsidR="009956F0" w:rsidRPr="009956F0">
        <w:rPr>
          <w:rFonts w:ascii="Times New Roman" w:hAnsi="Times New Roman" w:cs="Times New Roman"/>
          <w:sz w:val="24"/>
          <w:szCs w:val="24"/>
        </w:rPr>
        <w:t xml:space="preserve"> – mírně snižují svalový tonus</w:t>
      </w:r>
      <w:r w:rsidR="009956F0">
        <w:rPr>
          <w:rFonts w:ascii="Times New Roman" w:hAnsi="Times New Roman" w:cs="Times New Roman"/>
          <w:sz w:val="24"/>
          <w:szCs w:val="24"/>
        </w:rPr>
        <w:t>!</w:t>
      </w:r>
    </w:p>
    <w:p w:rsidR="009956F0" w:rsidRPr="009956F0" w:rsidRDefault="009956F0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1F2" w:rsidRPr="009956F0" w:rsidRDefault="002061F2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1F2" w:rsidRPr="009956F0" w:rsidSect="006E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C1"/>
    <w:multiLevelType w:val="hybridMultilevel"/>
    <w:tmpl w:val="2A3CA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303F7"/>
    <w:multiLevelType w:val="hybridMultilevel"/>
    <w:tmpl w:val="43207946"/>
    <w:lvl w:ilvl="0" w:tplc="A53469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1C0"/>
    <w:multiLevelType w:val="hybridMultilevel"/>
    <w:tmpl w:val="67BE5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52DAF"/>
    <w:multiLevelType w:val="hybridMultilevel"/>
    <w:tmpl w:val="584E2D18"/>
    <w:lvl w:ilvl="0" w:tplc="A53469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33E2979"/>
    <w:multiLevelType w:val="hybridMultilevel"/>
    <w:tmpl w:val="29E47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37ECF"/>
    <w:multiLevelType w:val="hybridMultilevel"/>
    <w:tmpl w:val="B2ECBAD8"/>
    <w:lvl w:ilvl="0" w:tplc="D096887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3"/>
    <w:rsid w:val="001A2E23"/>
    <w:rsid w:val="002061F2"/>
    <w:rsid w:val="00607C58"/>
    <w:rsid w:val="00627D57"/>
    <w:rsid w:val="009956F0"/>
    <w:rsid w:val="00D968C6"/>
    <w:rsid w:val="00E41E31"/>
    <w:rsid w:val="00E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E2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A2E23"/>
    <w:pPr>
      <w:autoSpaceDE w:val="0"/>
      <w:autoSpaceDN w:val="0"/>
      <w:spacing w:after="0" w:line="240" w:lineRule="auto"/>
      <w:ind w:left="708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A2E23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E2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A2E23"/>
    <w:pPr>
      <w:autoSpaceDE w:val="0"/>
      <w:autoSpaceDN w:val="0"/>
      <w:spacing w:after="0" w:line="240" w:lineRule="auto"/>
      <w:ind w:left="708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A2E23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4</cp:revision>
  <dcterms:created xsi:type="dcterms:W3CDTF">2012-08-27T08:04:00Z</dcterms:created>
  <dcterms:modified xsi:type="dcterms:W3CDTF">2012-10-18T08:06:00Z</dcterms:modified>
</cp:coreProperties>
</file>