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5E" w:rsidRPr="00B936BC" w:rsidRDefault="00B81BE1" w:rsidP="00B936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bookmarkStart w:id="0" w:name="_GoBack"/>
      <w:bookmarkEnd w:id="0"/>
      <w:r w:rsidR="000B665E" w:rsidRPr="00B936BC">
        <w:rPr>
          <w:rFonts w:ascii="Times New Roman" w:hAnsi="Times New Roman" w:cs="Times New Roman"/>
          <w:b/>
          <w:sz w:val="28"/>
          <w:szCs w:val="28"/>
          <w:u w:val="single"/>
        </w:rPr>
        <w:t>yšetření dechového stereotypu</w:t>
      </w:r>
    </w:p>
    <w:p w:rsidR="007147AF" w:rsidRDefault="007147AF" w:rsidP="000B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65E" w:rsidRPr="001C1D04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 xml:space="preserve">Pohybovou osu dýchání tvoří – </w:t>
      </w:r>
      <w:r w:rsidRPr="001C1D04">
        <w:rPr>
          <w:rFonts w:ascii="Times New Roman" w:hAnsi="Times New Roman" w:cs="Times New Roman"/>
          <w:i/>
          <w:sz w:val="24"/>
          <w:szCs w:val="24"/>
        </w:rPr>
        <w:t>pánev – páteř – hlava</w:t>
      </w:r>
      <w:r w:rsidRPr="001C1D04">
        <w:rPr>
          <w:rFonts w:ascii="Times New Roman" w:hAnsi="Times New Roman" w:cs="Times New Roman"/>
          <w:sz w:val="24"/>
          <w:szCs w:val="24"/>
        </w:rPr>
        <w:t>.</w:t>
      </w:r>
    </w:p>
    <w:p w:rsidR="000B665E" w:rsidRPr="001C1D04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Dýchací pohyby slouží k ventilaci plic a současně mají vliv na posturální funkci a držení těla.</w:t>
      </w:r>
    </w:p>
    <w:p w:rsidR="000B665E" w:rsidRPr="001C1D04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 xml:space="preserve">Dýchací pohyby můžeme pozorovat ve třech trupových sektorech:  </w:t>
      </w:r>
    </w:p>
    <w:p w:rsidR="000B665E" w:rsidRPr="001C1D04" w:rsidRDefault="000B665E" w:rsidP="000B66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dolní – břišní, od bránice po pánevní dno</w:t>
      </w:r>
    </w:p>
    <w:p w:rsidR="000B665E" w:rsidRPr="001C1D04" w:rsidRDefault="000B665E" w:rsidP="000B66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střední – dolní hrudní, mezi bránicí a 5. hrudním obratlem</w:t>
      </w:r>
    </w:p>
    <w:p w:rsidR="000B665E" w:rsidRPr="001C1D04" w:rsidRDefault="000B665E" w:rsidP="000B66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horní – horní hrudní, od Th5 až k dolní krční páteři</w:t>
      </w:r>
    </w:p>
    <w:p w:rsidR="000B665E" w:rsidRPr="001C1D04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 xml:space="preserve">Při dýchacích pohybech pozorujeme odlišný pohyb dolních a horních žeber, který je určen osou rotace žeber. </w:t>
      </w:r>
    </w:p>
    <w:p w:rsidR="000B665E" w:rsidRPr="001C1D04" w:rsidRDefault="000B665E" w:rsidP="000B66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dolní žebra se pohybují převážně do stran</w:t>
      </w:r>
    </w:p>
    <w:p w:rsidR="000B665E" w:rsidRPr="001C1D04" w:rsidRDefault="000B665E" w:rsidP="000B66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horní žebra charakteristický pohyb horizontálně</w:t>
      </w:r>
    </w:p>
    <w:p w:rsidR="000B665E" w:rsidRDefault="000B665E" w:rsidP="000B66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při nádechu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inspiriu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 se hrudník rozšiřuje ve všech směrech – příčném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laterolaterálním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), předozadním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anterioposteriorním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), svislém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kraniokaudálním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 xml:space="preserve">). Směrová kombinace pohybů hrudníku je umožněna dvěma funkčními mechanismy – pohybem horních žeber (až po 7. žebro) a kosti hrudní ve směru 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anterioposteriorním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 xml:space="preserve"> (mechanismus 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sternokostální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 a pohybem dolních žeber a bránice ve směru příčném a svislém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stodiafragmatický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mechanismus). Většinou převažuje určitý typ mechanismu, záleží na mnoha faktorech. K významným patří např.: typ hrudníku, poloha těla, aktivace svalů a jejich napětí. 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Dýchací pohyby se opakují rytmicky ve dvou fázích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(nádech)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(výdech), které jsou odděleny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preinspiriem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preexpiriem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Preinspirium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krátká pauza na konci výdechu a před nádechem. S výdechem je spojen inhibiční vliv na svalovou aktivitu posturálně-lokomočního systému, je obecně spojován s podporou relaxace a uvolněním svalového napětí. Nádech má excitační vliv na svalovou aktivitu posturálně-lokomočního systému a využívá se pro facilitaci pohybové aktivity.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všech pohybových stereotypů je pokládáno dýchání za nejdůležitější. Nejdříve vyšetřujeme klidové dýchání vleže a potom vsedě nebo vstoje. Vleže na zádech má převládat břišní dýchání. </w:t>
      </w:r>
      <w:r w:rsidRPr="00A43E4A">
        <w:rPr>
          <w:rFonts w:ascii="Times New Roman" w:hAnsi="Times New Roman" w:cs="Times New Roman"/>
          <w:b/>
          <w:sz w:val="24"/>
          <w:szCs w:val="24"/>
        </w:rPr>
        <w:t>Pozorujeme tzv. dechovou vlnu.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Výrazná chyba pokud je hrudník trvale v nádechovém (inspiračním) postavení i v klidu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aspekčním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nálezem jsou pak hluboké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supraklavikulární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jamky, zvýraznění m. SCM a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skalenové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svaly, napětí v horních fixátorech lopatek a svalů v oblasti</w:t>
      </w:r>
      <w:r w:rsidR="004003F5">
        <w:rPr>
          <w:rFonts w:ascii="Times New Roman" w:hAnsi="Times New Roman" w:cs="Times New Roman"/>
          <w:sz w:val="24"/>
          <w:szCs w:val="24"/>
        </w:rPr>
        <w:t xml:space="preserve"> ramenního pletence. (!! </w:t>
      </w:r>
      <w:proofErr w:type="spellStart"/>
      <w:r w:rsidR="004003F5">
        <w:rPr>
          <w:rFonts w:ascii="Times New Roman" w:hAnsi="Times New Roman" w:cs="Times New Roman"/>
          <w:sz w:val="24"/>
          <w:szCs w:val="24"/>
        </w:rPr>
        <w:t>Synd</w:t>
      </w:r>
      <w:proofErr w:type="spellEnd"/>
      <w:r w:rsidR="004003F5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tevřených nůžek)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3E4A">
        <w:rPr>
          <w:rFonts w:ascii="Times New Roman" w:hAnsi="Times New Roman" w:cs="Times New Roman"/>
          <w:b/>
          <w:sz w:val="24"/>
          <w:szCs w:val="24"/>
        </w:rPr>
        <w:t>!! „Paradoxní dýchání“</w:t>
      </w:r>
      <w:r>
        <w:rPr>
          <w:rFonts w:ascii="Times New Roman" w:hAnsi="Times New Roman" w:cs="Times New Roman"/>
          <w:sz w:val="24"/>
          <w:szCs w:val="24"/>
        </w:rPr>
        <w:t xml:space="preserve"> – inkoordinace dechu, při nádechu </w:t>
      </w:r>
      <w:r w:rsidR="007147AF">
        <w:rPr>
          <w:rFonts w:ascii="Times New Roman" w:hAnsi="Times New Roman" w:cs="Times New Roman"/>
          <w:sz w:val="24"/>
          <w:szCs w:val="24"/>
        </w:rPr>
        <w:t>se břišní stěna klesá dolů (pacient</w:t>
      </w:r>
      <w:r>
        <w:rPr>
          <w:rFonts w:ascii="Times New Roman" w:hAnsi="Times New Roman" w:cs="Times New Roman"/>
          <w:sz w:val="24"/>
          <w:szCs w:val="24"/>
        </w:rPr>
        <w:t xml:space="preserve"> břicho vtahuje), při výdechu se břišní stěna vyklenuje. Nejzávažnější porucha.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Při nedostatečné aktivitě břišního svalstva páteř ztrácí oporu bránice, dochází k přetížení disků </w:t>
      </w:r>
      <w:proofErr w:type="spellStart"/>
      <w:r>
        <w:rPr>
          <w:rFonts w:ascii="Times New Roman" w:hAnsi="Times New Roman" w:cs="Times New Roman"/>
          <w:sz w:val="24"/>
          <w:szCs w:val="24"/>
        </w:rPr>
        <w:t>Lp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3E4A">
        <w:rPr>
          <w:rFonts w:ascii="Times New Roman" w:hAnsi="Times New Roman" w:cs="Times New Roman"/>
          <w:b/>
          <w:sz w:val="24"/>
          <w:szCs w:val="24"/>
        </w:rPr>
        <w:t>Horní typ dýchání</w:t>
      </w:r>
      <w:r w:rsidR="00B81B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hrudník se zvedá pomocí auxiliárních dýchacích svalů a nerozšiřuje se. Tento typ dýchání je neekonomický z hlediska plicní ventilace, ale dochází k přetěžování auxiliárních svalů, kter</w:t>
      </w:r>
      <w:r w:rsidR="007147AF">
        <w:rPr>
          <w:rFonts w:ascii="Times New Roman" w:hAnsi="Times New Roman" w:cs="Times New Roman"/>
          <w:sz w:val="24"/>
          <w:szCs w:val="24"/>
        </w:rPr>
        <w:t xml:space="preserve">é se upínají v oblasti </w:t>
      </w:r>
      <w:proofErr w:type="spellStart"/>
      <w:r w:rsidR="007147AF">
        <w:rPr>
          <w:rFonts w:ascii="Times New Roman" w:hAnsi="Times New Roman" w:cs="Times New Roman"/>
          <w:sz w:val="24"/>
          <w:szCs w:val="24"/>
        </w:rPr>
        <w:t>Cp</w:t>
      </w:r>
      <w:proofErr w:type="spellEnd"/>
      <w:r w:rsidR="007147AF">
        <w:rPr>
          <w:rFonts w:ascii="Times New Roman" w:hAnsi="Times New Roman" w:cs="Times New Roman"/>
          <w:sz w:val="24"/>
          <w:szCs w:val="24"/>
        </w:rPr>
        <w:t>. Častá je zvýšená kyfóza hrudní</w:t>
      </w:r>
      <w:r>
        <w:rPr>
          <w:rFonts w:ascii="Times New Roman" w:hAnsi="Times New Roman" w:cs="Times New Roman"/>
          <w:sz w:val="24"/>
          <w:szCs w:val="24"/>
        </w:rPr>
        <w:t xml:space="preserve"> páteře, protrakce ramen, </w:t>
      </w:r>
      <w:proofErr w:type="spellStart"/>
      <w:r>
        <w:rPr>
          <w:rFonts w:ascii="Times New Roman" w:hAnsi="Times New Roman" w:cs="Times New Roman"/>
          <w:sz w:val="24"/>
          <w:szCs w:val="24"/>
        </w:rPr>
        <w:t>kyfoti</w:t>
      </w:r>
      <w:r w:rsidR="007147AF">
        <w:rPr>
          <w:rFonts w:ascii="Times New Roman" w:hAnsi="Times New Roman" w:cs="Times New Roman"/>
          <w:sz w:val="24"/>
          <w:szCs w:val="24"/>
        </w:rPr>
        <w:t>zace</w:t>
      </w:r>
      <w:proofErr w:type="spellEnd"/>
      <w:r w:rsidR="0071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7AF">
        <w:rPr>
          <w:rFonts w:ascii="Times New Roman" w:hAnsi="Times New Roman" w:cs="Times New Roman"/>
          <w:sz w:val="24"/>
          <w:szCs w:val="24"/>
        </w:rPr>
        <w:t>CTh</w:t>
      </w:r>
      <w:proofErr w:type="spellEnd"/>
      <w:r w:rsidR="007147AF">
        <w:rPr>
          <w:rFonts w:ascii="Times New Roman" w:hAnsi="Times New Roman" w:cs="Times New Roman"/>
          <w:sz w:val="24"/>
          <w:szCs w:val="24"/>
        </w:rPr>
        <w:t xml:space="preserve"> přechodu. </w:t>
      </w:r>
      <w:r>
        <w:rPr>
          <w:rFonts w:ascii="Times New Roman" w:hAnsi="Times New Roman" w:cs="Times New Roman"/>
          <w:sz w:val="24"/>
          <w:szCs w:val="24"/>
        </w:rPr>
        <w:t>Tento typ dýchá</w:t>
      </w:r>
      <w:r w:rsidR="007147AF">
        <w:rPr>
          <w:rFonts w:ascii="Times New Roman" w:hAnsi="Times New Roman" w:cs="Times New Roman"/>
          <w:sz w:val="24"/>
          <w:szCs w:val="24"/>
        </w:rPr>
        <w:t>ní může být i asymetrický -</w:t>
      </w:r>
      <w:r>
        <w:rPr>
          <w:rFonts w:ascii="Times New Roman" w:hAnsi="Times New Roman" w:cs="Times New Roman"/>
          <w:sz w:val="24"/>
          <w:szCs w:val="24"/>
        </w:rPr>
        <w:t xml:space="preserve"> při horním typu dýchání se rameno na jedné straně zvedá více než na druhé.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Dechová vlna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665E" w:rsidRPr="00362333" w:rsidRDefault="000B665E" w:rsidP="000B665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nádech začíná v oblasti břicha a postupuje směrem nahoru</w:t>
      </w:r>
    </w:p>
    <w:p w:rsidR="000B665E" w:rsidRPr="00362333" w:rsidRDefault="000B665E" w:rsidP="000B665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dochází k laterálnímu rozvoji spodních žeber, horní žebra se vyklenují směrem dopředu</w:t>
      </w:r>
    </w:p>
    <w:p w:rsidR="000B665E" w:rsidRPr="00362333" w:rsidRDefault="000B665E" w:rsidP="000B665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nádech poté končí v hrudníku, kde by měl dojít až do podklíčkové oblasti</w:t>
      </w:r>
    </w:p>
    <w:p w:rsidR="000B665E" w:rsidRDefault="000B665E" w:rsidP="000B665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při výdechu dochází k opačnému ději - tedy nejprve putuje hrudník směrem dolů, spodní žebra dovnitř a následuje břicho</w:t>
      </w:r>
    </w:p>
    <w:p w:rsidR="00232053" w:rsidRDefault="00232053" w:rsidP="0023205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</w:t>
      </w:r>
    </w:p>
    <w:p w:rsidR="00232053" w:rsidRPr="00362333" w:rsidRDefault="00232053" w:rsidP="002320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</w:t>
      </w:r>
      <w:r w:rsidRPr="003623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4F7966" wp14:editId="73F11C76">
            <wp:extent cx="3533775" cy="2695575"/>
            <wp:effectExtent l="0" t="0" r="9525" b="9525"/>
            <wp:docPr id="1" name="Picture 4" descr="dech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4" descr="dech_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B665E" w:rsidRPr="00362333" w:rsidRDefault="000B665E" w:rsidP="000B66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Vyšetření pohybového stereotypu:</w:t>
      </w:r>
    </w:p>
    <w:p w:rsid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stereotypu dýchání je velmi významnou v posuzování stabilizační funkce páteře. Z kineziologického hlediska rozlišujeme </w:t>
      </w:r>
      <w:r w:rsidRPr="000B665E">
        <w:rPr>
          <w:rFonts w:ascii="Times New Roman" w:hAnsi="Times New Roman" w:cs="Times New Roman"/>
          <w:b/>
          <w:sz w:val="24"/>
          <w:szCs w:val="24"/>
          <w:u w:val="single"/>
        </w:rPr>
        <w:t>dýchání brániční (abdominální) a kostální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B665E" w:rsidRP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Výchozí poloha: vyšetření dechového stereotypu můžeme provádět v různých polohách – vleže na zádech, vsedě,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bipedálním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stoji. Sledujeme pohyb žeber a hrudníku.</w:t>
      </w:r>
    </w:p>
    <w:p w:rsid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333">
        <w:rPr>
          <w:rFonts w:ascii="Times New Roman" w:hAnsi="Times New Roman" w:cs="Times New Roman"/>
          <w:sz w:val="24"/>
          <w:szCs w:val="24"/>
          <w:u w:val="single"/>
        </w:rPr>
        <w:lastRenderedPageBreak/>
        <w:t>Dýchací svaly inspirační:</w:t>
      </w:r>
    </w:p>
    <w:p w:rsidR="000B665E" w:rsidRPr="00362333" w:rsidRDefault="000B665E" w:rsidP="000B665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333">
        <w:rPr>
          <w:rFonts w:ascii="Times New Roman" w:hAnsi="Times New Roman" w:cs="Times New Roman"/>
          <w:sz w:val="24"/>
          <w:szCs w:val="24"/>
        </w:rPr>
        <w:t>elevují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žebra a sternum</w:t>
      </w: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Hlavní svaly inspirační</w:t>
      </w:r>
    </w:p>
    <w:p w:rsidR="000B665E" w:rsidRPr="00362333" w:rsidRDefault="000B665E" w:rsidP="000B665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Diafragma</w:t>
      </w:r>
    </w:p>
    <w:p w:rsidR="000B665E" w:rsidRPr="00362333" w:rsidRDefault="000B665E" w:rsidP="000B665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intercostales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externi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65E" w:rsidRPr="00362333" w:rsidRDefault="000B665E" w:rsidP="000B665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levatores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costarum</w:t>
      </w:r>
      <w:proofErr w:type="spellEnd"/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Vedlejší svaly inspirační</w:t>
      </w:r>
    </w:p>
    <w:p w:rsidR="000B665E" w:rsidRPr="00F757B1" w:rsidRDefault="00F757B1" w:rsidP="00F757B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7B1">
        <w:rPr>
          <w:rFonts w:ascii="Times New Roman" w:hAnsi="Times New Roman" w:cs="Times New Roman"/>
          <w:bCs/>
          <w:sz w:val="24"/>
          <w:szCs w:val="24"/>
        </w:rPr>
        <w:t>M</w:t>
      </w:r>
      <w:r w:rsidR="000B665E" w:rsidRPr="00F757B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B665E" w:rsidRPr="00F757B1">
        <w:rPr>
          <w:rFonts w:ascii="Times New Roman" w:hAnsi="Times New Roman" w:cs="Times New Roman"/>
          <w:bCs/>
          <w:sz w:val="24"/>
          <w:szCs w:val="24"/>
        </w:rPr>
        <w:t>sternocleidomastoideus</w:t>
      </w:r>
      <w:proofErr w:type="spellEnd"/>
    </w:p>
    <w:p w:rsidR="000B665E" w:rsidRPr="00F757B1" w:rsidRDefault="000B665E" w:rsidP="00F757B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7B1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scaleni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57B1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F757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Pr="00F757B1"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 w:rsidRPr="00F757B1">
        <w:rPr>
          <w:rFonts w:ascii="Times New Roman" w:hAnsi="Times New Roman" w:cs="Times New Roman"/>
          <w:sz w:val="24"/>
          <w:szCs w:val="24"/>
        </w:rPr>
        <w:t xml:space="preserve"> krční páteř fixována jinými svaly)</w:t>
      </w:r>
    </w:p>
    <w:p w:rsidR="000B665E" w:rsidRPr="00F757B1" w:rsidRDefault="000B665E" w:rsidP="00F757B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7B1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pectoralis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major et minor (je–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horní končetina v </w:t>
      </w:r>
      <w:proofErr w:type="gramStart"/>
      <w:r w:rsidRPr="00F757B1">
        <w:rPr>
          <w:rFonts w:ascii="Times New Roman" w:hAnsi="Times New Roman" w:cs="Times New Roman"/>
          <w:sz w:val="24"/>
          <w:szCs w:val="24"/>
        </w:rPr>
        <w:t>ABD</w:t>
      </w:r>
      <w:proofErr w:type="gramEnd"/>
      <w:r w:rsidRPr="00F757B1">
        <w:rPr>
          <w:rFonts w:ascii="Times New Roman" w:hAnsi="Times New Roman" w:cs="Times New Roman"/>
          <w:sz w:val="24"/>
          <w:szCs w:val="24"/>
        </w:rPr>
        <w:t>)</w:t>
      </w:r>
    </w:p>
    <w:p w:rsidR="000B665E" w:rsidRPr="00F757B1" w:rsidRDefault="000B665E" w:rsidP="00F757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7B1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– spodní vlákna  (je–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HK také v </w:t>
      </w:r>
      <w:proofErr w:type="gramStart"/>
      <w:r w:rsidRPr="00F757B1">
        <w:rPr>
          <w:rFonts w:ascii="Times New Roman" w:hAnsi="Times New Roman" w:cs="Times New Roman"/>
          <w:sz w:val="24"/>
          <w:szCs w:val="24"/>
        </w:rPr>
        <w:t>ABD</w:t>
      </w:r>
      <w:proofErr w:type="gramEnd"/>
      <w:r w:rsidRPr="00F757B1">
        <w:rPr>
          <w:rFonts w:ascii="Times New Roman" w:hAnsi="Times New Roman" w:cs="Times New Roman"/>
          <w:sz w:val="24"/>
          <w:szCs w:val="24"/>
        </w:rPr>
        <w:t>)</w:t>
      </w:r>
    </w:p>
    <w:p w:rsidR="000B665E" w:rsidRPr="00F757B1" w:rsidRDefault="000B665E" w:rsidP="00F757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7B1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latissimus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dorsi</w:t>
      </w:r>
      <w:proofErr w:type="spellEnd"/>
    </w:p>
    <w:p w:rsidR="000B665E" w:rsidRPr="00362333" w:rsidRDefault="000B665E" w:rsidP="00F757B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="00725B42">
        <w:rPr>
          <w:rFonts w:ascii="Times New Roman" w:hAnsi="Times New Roman" w:cs="Times New Roman"/>
          <w:sz w:val="24"/>
          <w:szCs w:val="24"/>
        </w:rPr>
        <w:t xml:space="preserve"> superior</w:t>
      </w:r>
    </w:p>
    <w:p w:rsidR="000B665E" w:rsidRDefault="000B665E" w:rsidP="00F757B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iliocostalis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cervicis</w:t>
      </w:r>
      <w:proofErr w:type="spellEnd"/>
    </w:p>
    <w:p w:rsid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333">
        <w:rPr>
          <w:rFonts w:ascii="Times New Roman" w:hAnsi="Times New Roman" w:cs="Times New Roman"/>
          <w:sz w:val="24"/>
          <w:szCs w:val="24"/>
          <w:u w:val="single"/>
        </w:rPr>
        <w:t xml:space="preserve">Dýchací svaly expirační: </w:t>
      </w:r>
    </w:p>
    <w:p w:rsidR="000B665E" w:rsidRPr="007147AF" w:rsidRDefault="000B665E" w:rsidP="007147A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7AF">
        <w:rPr>
          <w:rFonts w:ascii="Times New Roman" w:hAnsi="Times New Roman" w:cs="Times New Roman"/>
          <w:sz w:val="24"/>
          <w:szCs w:val="24"/>
        </w:rPr>
        <w:t>deprese žeber a sterna</w:t>
      </w:r>
    </w:p>
    <w:p w:rsidR="000B665E" w:rsidRPr="00362333" w:rsidRDefault="000B665E" w:rsidP="000B665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pasivní proces zajištěn pasivní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retrakcí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plic a pružností hrudníku</w:t>
      </w:r>
    </w:p>
    <w:p w:rsidR="000B665E" w:rsidRPr="00362333" w:rsidRDefault="000B665E" w:rsidP="000B665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energie nutná pro výdech je podmíněna energií vznikající při nádechu, která je poté uskladněna v elastických komponentách hrudníku a plic</w:t>
      </w:r>
    </w:p>
    <w:p w:rsidR="000B665E" w:rsidRPr="00362333" w:rsidRDefault="000B665E" w:rsidP="000B665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ve vzpřímené pozici jsou žebra tažena dolů jejich vlastní vahou a k tomu je třeba přičíst také vliv gravitace</w:t>
      </w:r>
    </w:p>
    <w:p w:rsidR="00F757B1" w:rsidRDefault="00F757B1" w:rsidP="000B6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Hlavní svaly expirační</w:t>
      </w:r>
    </w:p>
    <w:p w:rsidR="000B665E" w:rsidRPr="00362333" w:rsidRDefault="000B665E" w:rsidP="000B665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intercostales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interni</w:t>
      </w:r>
      <w:proofErr w:type="spellEnd"/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Vedlejší expirační svaly</w:t>
      </w:r>
    </w:p>
    <w:p w:rsidR="000B665E" w:rsidRPr="00362333" w:rsidRDefault="000B665E" w:rsidP="000B665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břišní svaly </w:t>
      </w:r>
    </w:p>
    <w:p w:rsidR="000B665E" w:rsidRPr="00362333" w:rsidRDefault="007147AF" w:rsidP="000B665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B665E" w:rsidRPr="00362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abdominis</w:t>
      </w:r>
      <w:proofErr w:type="spellEnd"/>
    </w:p>
    <w:p w:rsidR="000B665E" w:rsidRPr="00362333" w:rsidRDefault="007147AF" w:rsidP="000B665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B665E" w:rsidRPr="00362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obliquus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externus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abdominis</w:t>
      </w:r>
      <w:proofErr w:type="spellEnd"/>
    </w:p>
    <w:p w:rsidR="000B665E" w:rsidRPr="00362333" w:rsidRDefault="007147AF" w:rsidP="000B665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0B665E" w:rsidRPr="00362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obliquus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internus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abdominis</w:t>
      </w:r>
      <w:proofErr w:type="spellEnd"/>
    </w:p>
    <w:p w:rsidR="000B665E" w:rsidRPr="00362333" w:rsidRDefault="00DA0710" w:rsidP="000B665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B665E" w:rsidRPr="00362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iliocostalis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thoracis</w:t>
      </w:r>
      <w:proofErr w:type="spellEnd"/>
    </w:p>
    <w:p w:rsidR="000B665E" w:rsidRPr="00362333" w:rsidRDefault="000B665E" w:rsidP="000B665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longissimus</w:t>
      </w:r>
      <w:proofErr w:type="spellEnd"/>
    </w:p>
    <w:p w:rsidR="000B665E" w:rsidRPr="00362333" w:rsidRDefault="000B665E" w:rsidP="000B665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inferior</w:t>
      </w:r>
      <w:proofErr w:type="spellEnd"/>
    </w:p>
    <w:p w:rsidR="000B665E" w:rsidRPr="00362333" w:rsidRDefault="000B665E" w:rsidP="000B665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quadratus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lumborum</w:t>
      </w:r>
      <w:proofErr w:type="spellEnd"/>
    </w:p>
    <w:p w:rsidR="000B665E" w:rsidRDefault="000B665E" w:rsidP="000B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Vyšetření žeber:</w:t>
      </w:r>
    </w:p>
    <w:p w:rsidR="000B665E" w:rsidRPr="00362333" w:rsidRDefault="000B665E" w:rsidP="000B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2333">
        <w:rPr>
          <w:rFonts w:ascii="Times New Roman" w:hAnsi="Times New Roman" w:cs="Times New Roman"/>
          <w:b/>
          <w:bCs/>
          <w:sz w:val="24"/>
          <w:szCs w:val="24"/>
        </w:rPr>
        <w:t>Aspekcí</w:t>
      </w:r>
      <w:proofErr w:type="spellEnd"/>
      <w:r w:rsidRPr="003623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2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65E" w:rsidRPr="00B936BC" w:rsidRDefault="00B936BC" w:rsidP="00B936B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6B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B665E" w:rsidRPr="00B936BC">
        <w:rPr>
          <w:rFonts w:ascii="Times New Roman" w:hAnsi="Times New Roman" w:cs="Times New Roman"/>
          <w:i/>
          <w:iCs/>
          <w:sz w:val="24"/>
          <w:szCs w:val="24"/>
        </w:rPr>
        <w:t>ymetrie</w:t>
      </w:r>
    </w:p>
    <w:p w:rsidR="000B665E" w:rsidRPr="00B936BC" w:rsidRDefault="00B936BC" w:rsidP="000B665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Pohyb žeber</w:t>
      </w:r>
      <w:r w:rsidRPr="00B936BC">
        <w:rPr>
          <w:rFonts w:ascii="Times New Roman" w:hAnsi="Times New Roman" w:cs="Times New Roman"/>
          <w:sz w:val="24"/>
          <w:szCs w:val="24"/>
        </w:rPr>
        <w:t xml:space="preserve">  - </w:t>
      </w:r>
      <w:r w:rsidR="000B665E" w:rsidRPr="00B936BC">
        <w:rPr>
          <w:rFonts w:ascii="Times New Roman" w:hAnsi="Times New Roman" w:cs="Times New Roman"/>
          <w:sz w:val="24"/>
          <w:szCs w:val="24"/>
        </w:rPr>
        <w:t>zda pohyb na jedné straně neustává dříve, a to jak při dýchání vleže na zádech, tak i na břiše</w:t>
      </w:r>
      <w:r w:rsidRPr="00B936BC">
        <w:rPr>
          <w:rFonts w:ascii="Times New Roman" w:hAnsi="Times New Roman" w:cs="Times New Roman"/>
          <w:sz w:val="24"/>
          <w:szCs w:val="24"/>
        </w:rPr>
        <w:t xml:space="preserve">, </w:t>
      </w:r>
      <w:r w:rsidR="000B665E" w:rsidRPr="00B936BC">
        <w:rPr>
          <w:rFonts w:ascii="Times New Roman" w:hAnsi="Times New Roman" w:cs="Times New Roman"/>
          <w:sz w:val="24"/>
          <w:szCs w:val="24"/>
        </w:rPr>
        <w:t xml:space="preserve">rozvíjení i v </w:t>
      </w:r>
      <w:proofErr w:type="spellStart"/>
      <w:r w:rsidR="000B665E" w:rsidRPr="00B936B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0B665E" w:rsidRPr="00B936BC">
        <w:rPr>
          <w:rFonts w:ascii="Times New Roman" w:hAnsi="Times New Roman" w:cs="Times New Roman"/>
          <w:sz w:val="24"/>
          <w:szCs w:val="24"/>
        </w:rPr>
        <w:t xml:space="preserve"> páteři (časté blokády spojené s dysfunkcí žeber)</w:t>
      </w:r>
    </w:p>
    <w:p w:rsidR="000B665E" w:rsidRPr="00B936BC" w:rsidRDefault="00B936BC" w:rsidP="000B665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0B665E" w:rsidRPr="00B936BC">
        <w:rPr>
          <w:rFonts w:ascii="Times New Roman" w:hAnsi="Times New Roman" w:cs="Times New Roman"/>
          <w:i/>
          <w:iCs/>
          <w:sz w:val="24"/>
          <w:szCs w:val="24"/>
        </w:rPr>
        <w:t>lokády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žeber</w:t>
      </w:r>
      <w:r w:rsidR="000B665E" w:rsidRPr="00B93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3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36BC">
        <w:rPr>
          <w:rFonts w:ascii="Times New Roman" w:hAnsi="Times New Roman" w:cs="Times New Roman"/>
          <w:sz w:val="24"/>
          <w:szCs w:val="24"/>
        </w:rPr>
        <w:t xml:space="preserve">- </w:t>
      </w:r>
      <w:r w:rsidR="000B665E" w:rsidRPr="00B936BC">
        <w:rPr>
          <w:rFonts w:ascii="Times New Roman" w:hAnsi="Times New Roman" w:cs="Times New Roman"/>
          <w:sz w:val="24"/>
          <w:szCs w:val="24"/>
        </w:rPr>
        <w:t>inspirační blokáda: žebro mírně nadzvednuto a prominuje</w:t>
      </w:r>
      <w:r w:rsidRPr="00B936BC">
        <w:rPr>
          <w:rFonts w:ascii="Times New Roman" w:hAnsi="Times New Roman" w:cs="Times New Roman"/>
          <w:sz w:val="24"/>
          <w:szCs w:val="24"/>
        </w:rPr>
        <w:t xml:space="preserve">, </w:t>
      </w:r>
      <w:r w:rsidR="000B665E" w:rsidRPr="00B936BC">
        <w:rPr>
          <w:rFonts w:ascii="Times New Roman" w:hAnsi="Times New Roman" w:cs="Times New Roman"/>
          <w:sz w:val="24"/>
          <w:szCs w:val="24"/>
        </w:rPr>
        <w:t>expirační blokáda: naopak</w:t>
      </w: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Palpací:</w:t>
      </w: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333">
        <w:rPr>
          <w:rFonts w:ascii="Times New Roman" w:hAnsi="Times New Roman" w:cs="Times New Roman"/>
          <w:sz w:val="24"/>
          <w:szCs w:val="24"/>
          <w:u w:val="single"/>
        </w:rPr>
        <w:t>Vyšetření „fenoménu předbíhání“:</w:t>
      </w:r>
    </w:p>
    <w:p w:rsidR="000B665E" w:rsidRPr="00362333" w:rsidRDefault="000B665E" w:rsidP="00B81BE1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pacient leží na zádech, sledujeme pohyb žeber při hlubokém dýchání</w:t>
      </w:r>
    </w:p>
    <w:p w:rsidR="000B665E" w:rsidRPr="00362333" w:rsidRDefault="000B665E" w:rsidP="00B81BE1">
      <w:pPr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pozorujeme, že žebro na jedné straně je výše než na straně druhé</w:t>
      </w:r>
    </w:p>
    <w:p w:rsidR="000B665E" w:rsidRPr="00362333" w:rsidRDefault="000B665E" w:rsidP="00B81BE1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při nádechu se žebro, které bylo níže, dostane výše žebro, které zůstalo stát, b</w:t>
      </w:r>
      <w:r>
        <w:rPr>
          <w:rFonts w:ascii="Times New Roman" w:hAnsi="Times New Roman" w:cs="Times New Roman"/>
          <w:sz w:val="24"/>
          <w:szCs w:val="24"/>
        </w:rPr>
        <w:t>ylo předběhnuto a předpokládáme</w:t>
      </w:r>
      <w:r w:rsidRPr="00362333">
        <w:rPr>
          <w:rFonts w:ascii="Times New Roman" w:hAnsi="Times New Roman" w:cs="Times New Roman"/>
          <w:sz w:val="24"/>
          <w:szCs w:val="24"/>
        </w:rPr>
        <w:t xml:space="preserve"> jeho blokádu</w:t>
      </w:r>
    </w:p>
    <w:p w:rsid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03" w:rsidRDefault="00995F03"/>
    <w:sectPr w:rsidR="00995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11A"/>
    <w:multiLevelType w:val="hybridMultilevel"/>
    <w:tmpl w:val="827C3E34"/>
    <w:lvl w:ilvl="0" w:tplc="C720B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6A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284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E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A0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C83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634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20E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65F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9725B5"/>
    <w:multiLevelType w:val="hybridMultilevel"/>
    <w:tmpl w:val="71B25402"/>
    <w:lvl w:ilvl="0" w:tplc="54443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A7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83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8D2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25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63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D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09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01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B961BA"/>
    <w:multiLevelType w:val="hybridMultilevel"/>
    <w:tmpl w:val="D826D622"/>
    <w:lvl w:ilvl="0" w:tplc="95A0AA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DCFD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34DE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96AC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489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FB8CC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EB6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E0F8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C2E5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2012A"/>
    <w:multiLevelType w:val="hybridMultilevel"/>
    <w:tmpl w:val="60422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21D6"/>
    <w:multiLevelType w:val="hybridMultilevel"/>
    <w:tmpl w:val="8670DE62"/>
    <w:lvl w:ilvl="0" w:tplc="11787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C0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C0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C4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FA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61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E4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0DA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807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47714C"/>
    <w:multiLevelType w:val="hybridMultilevel"/>
    <w:tmpl w:val="85603742"/>
    <w:lvl w:ilvl="0" w:tplc="50CE8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0283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80C9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82DE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9A3C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B2DC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A20E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0EEC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8AA5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B207A"/>
    <w:multiLevelType w:val="hybridMultilevel"/>
    <w:tmpl w:val="2238004E"/>
    <w:lvl w:ilvl="0" w:tplc="F3FA72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529B"/>
    <w:multiLevelType w:val="hybridMultilevel"/>
    <w:tmpl w:val="92AA093E"/>
    <w:lvl w:ilvl="0" w:tplc="CFC69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64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48E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879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6E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A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21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A39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9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8C5056"/>
    <w:multiLevelType w:val="hybridMultilevel"/>
    <w:tmpl w:val="5A2EEB3E"/>
    <w:lvl w:ilvl="0" w:tplc="4D6A7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402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278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C47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ACA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0B3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C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660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A2D53"/>
    <w:multiLevelType w:val="hybridMultilevel"/>
    <w:tmpl w:val="F9AAAD6C"/>
    <w:lvl w:ilvl="0" w:tplc="95D0C5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3CE6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8E70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EE11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7610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44A6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881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DEA2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83E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05FCB"/>
    <w:multiLevelType w:val="hybridMultilevel"/>
    <w:tmpl w:val="7B32B3BA"/>
    <w:lvl w:ilvl="0" w:tplc="99A24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E9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21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C00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6FD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8A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412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CCD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CDC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E46C02"/>
    <w:multiLevelType w:val="hybridMultilevel"/>
    <w:tmpl w:val="A2C4A9C4"/>
    <w:lvl w:ilvl="0" w:tplc="4B10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EF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A2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2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20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41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47F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82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704E35"/>
    <w:multiLevelType w:val="hybridMultilevel"/>
    <w:tmpl w:val="2C1218CA"/>
    <w:lvl w:ilvl="0" w:tplc="A8D8D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62301"/>
    <w:multiLevelType w:val="hybridMultilevel"/>
    <w:tmpl w:val="2CBA3B7A"/>
    <w:lvl w:ilvl="0" w:tplc="2460CF8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CA01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C8C8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7FE4A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704D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FA24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4277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0A10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0A08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CE22AA"/>
    <w:multiLevelType w:val="hybridMultilevel"/>
    <w:tmpl w:val="C1B24B76"/>
    <w:lvl w:ilvl="0" w:tplc="A8D8D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A1F57"/>
    <w:multiLevelType w:val="hybridMultilevel"/>
    <w:tmpl w:val="1812A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90603"/>
    <w:multiLevelType w:val="hybridMultilevel"/>
    <w:tmpl w:val="0A70AC9A"/>
    <w:lvl w:ilvl="0" w:tplc="F3FA7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CC85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66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08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E9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AE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A4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E1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65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A47BD5"/>
    <w:multiLevelType w:val="hybridMultilevel"/>
    <w:tmpl w:val="E402A618"/>
    <w:lvl w:ilvl="0" w:tplc="7884E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C65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BC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BC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64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AD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22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099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1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0956155"/>
    <w:multiLevelType w:val="hybridMultilevel"/>
    <w:tmpl w:val="8744D416"/>
    <w:lvl w:ilvl="0" w:tplc="F1A293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A4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2B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4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A13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C63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063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C9B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AE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D155F"/>
    <w:multiLevelType w:val="hybridMultilevel"/>
    <w:tmpl w:val="3C8E92F0"/>
    <w:lvl w:ilvl="0" w:tplc="A8D8D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907A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D434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0CC8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E096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A679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D81F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BA6C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FCE0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873C90"/>
    <w:multiLevelType w:val="hybridMultilevel"/>
    <w:tmpl w:val="592681C8"/>
    <w:lvl w:ilvl="0" w:tplc="7CDEC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66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EE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E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2F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6F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8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A4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A7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D1C72CC"/>
    <w:multiLevelType w:val="hybridMultilevel"/>
    <w:tmpl w:val="FB349700"/>
    <w:lvl w:ilvl="0" w:tplc="F3FA7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224D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80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01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A59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89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22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4C4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88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0968A1"/>
    <w:multiLevelType w:val="hybridMultilevel"/>
    <w:tmpl w:val="65C234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677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6A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CF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67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8E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09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86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A4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21"/>
  </w:num>
  <w:num w:numId="5">
    <w:abstractNumId w:val="19"/>
  </w:num>
  <w:num w:numId="6">
    <w:abstractNumId w:val="13"/>
  </w:num>
  <w:num w:numId="7">
    <w:abstractNumId w:val="16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4"/>
  </w:num>
  <w:num w:numId="16">
    <w:abstractNumId w:val="8"/>
  </w:num>
  <w:num w:numId="17">
    <w:abstractNumId w:val="7"/>
  </w:num>
  <w:num w:numId="18">
    <w:abstractNumId w:val="17"/>
  </w:num>
  <w:num w:numId="19">
    <w:abstractNumId w:val="11"/>
  </w:num>
  <w:num w:numId="20">
    <w:abstractNumId w:val="20"/>
  </w:num>
  <w:num w:numId="21">
    <w:abstractNumId w:val="15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5E"/>
    <w:rsid w:val="000B665E"/>
    <w:rsid w:val="00232053"/>
    <w:rsid w:val="004003F5"/>
    <w:rsid w:val="007147AF"/>
    <w:rsid w:val="00725B42"/>
    <w:rsid w:val="00995F03"/>
    <w:rsid w:val="00B81BE1"/>
    <w:rsid w:val="00B936BC"/>
    <w:rsid w:val="00DA0710"/>
    <w:rsid w:val="00F757B1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65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6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65E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65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6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65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</cp:revision>
  <dcterms:created xsi:type="dcterms:W3CDTF">2014-08-28T10:40:00Z</dcterms:created>
  <dcterms:modified xsi:type="dcterms:W3CDTF">2014-08-28T10:40:00Z</dcterms:modified>
</cp:coreProperties>
</file>