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870E2" w14:textId="77777777" w:rsidR="000C3AA6" w:rsidRDefault="000704F7" w:rsidP="000704F7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Diagnostický formulář</w:t>
      </w:r>
    </w:p>
    <w:p w14:paraId="674F5BE0" w14:textId="77777777" w:rsidR="000704F7" w:rsidRDefault="000704F7" w:rsidP="000704F7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Kinesiologický rozbor – aspekce, palpace a funkční testy</w:t>
      </w:r>
    </w:p>
    <w:p w14:paraId="6A848F0B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Jméno klienta: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Trenér:</w:t>
      </w:r>
    </w:p>
    <w:p w14:paraId="7A707DB2" w14:textId="77777777" w:rsidR="000704F7" w:rsidRDefault="000704F7" w:rsidP="000704F7">
      <w:pPr>
        <w:spacing w:after="0" w:line="360" w:lineRule="auto"/>
        <w:jc w:val="both"/>
        <w:rPr>
          <w:b/>
          <w:sz w:val="24"/>
          <w:szCs w:val="28"/>
        </w:rPr>
      </w:pPr>
    </w:p>
    <w:p w14:paraId="48931AA9" w14:textId="77777777" w:rsidR="000704F7" w:rsidRDefault="000704F7" w:rsidP="000704F7">
      <w:pPr>
        <w:spacing w:after="0" w:line="360" w:lineRule="auto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Aspekce zezadu:</w:t>
      </w:r>
    </w:p>
    <w:p w14:paraId="4E72AF1E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Hlava a krk – osové postavení, úklon, rotace</w:t>
      </w:r>
    </w:p>
    <w:p w14:paraId="20B4F70E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</w:p>
    <w:p w14:paraId="59768FCD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Páteř – osové postavení – skolióza, bederní lordóza, hrudní kyfóza, svalový tonus</w:t>
      </w:r>
    </w:p>
    <w:p w14:paraId="3477A2C2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</w:p>
    <w:p w14:paraId="6CABCCE8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</w:p>
    <w:p w14:paraId="15E0D7B8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Horní končetiny – postavení ramenního kloubu</w:t>
      </w:r>
      <w:r w:rsidR="004322CF">
        <w:rPr>
          <w:sz w:val="24"/>
          <w:szCs w:val="28"/>
        </w:rPr>
        <w:t xml:space="preserve">, tonus m. </w:t>
      </w:r>
      <w:proofErr w:type="spellStart"/>
      <w:r w:rsidR="004322CF">
        <w:rPr>
          <w:sz w:val="24"/>
          <w:szCs w:val="28"/>
        </w:rPr>
        <w:t>trapezius</w:t>
      </w:r>
      <w:proofErr w:type="spellEnd"/>
      <w:r>
        <w:rPr>
          <w:sz w:val="24"/>
          <w:szCs w:val="28"/>
        </w:rPr>
        <w:t>, loketní kloub (neutralita)</w:t>
      </w:r>
    </w:p>
    <w:p w14:paraId="6DC075FF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</w:p>
    <w:p w14:paraId="0B7BB4C5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L</w:t>
      </w:r>
    </w:p>
    <w:p w14:paraId="23D2AA3B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P</w:t>
      </w:r>
    </w:p>
    <w:p w14:paraId="63D969E8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Lopatky – postavení, přilehnutí k tělu, tonus horních a dolních fixátorů lopatek</w:t>
      </w:r>
    </w:p>
    <w:p w14:paraId="26C0C645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</w:p>
    <w:p w14:paraId="4C830880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L</w:t>
      </w:r>
    </w:p>
    <w:p w14:paraId="59EA029F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P</w:t>
      </w:r>
    </w:p>
    <w:p w14:paraId="01736BBA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Pánev – postavení, stranová symetrie</w:t>
      </w:r>
    </w:p>
    <w:p w14:paraId="43F86981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</w:p>
    <w:p w14:paraId="2BF456C7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L</w:t>
      </w:r>
    </w:p>
    <w:p w14:paraId="57B1D839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P</w:t>
      </w:r>
    </w:p>
    <w:p w14:paraId="5CC0EAEE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Kolenní kloub a stehenní oblast – konfigurace </w:t>
      </w:r>
      <w:proofErr w:type="spellStart"/>
      <w:r>
        <w:rPr>
          <w:sz w:val="24"/>
          <w:szCs w:val="28"/>
        </w:rPr>
        <w:t>hamstringů</w:t>
      </w:r>
      <w:proofErr w:type="spellEnd"/>
      <w:r>
        <w:rPr>
          <w:sz w:val="24"/>
          <w:szCs w:val="28"/>
        </w:rPr>
        <w:t xml:space="preserve"> – svalový tonus, vazba na pánev, symetrie, osové postavení kolen</w:t>
      </w:r>
    </w:p>
    <w:p w14:paraId="70019FB3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</w:p>
    <w:p w14:paraId="09587DCF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L</w:t>
      </w:r>
    </w:p>
    <w:p w14:paraId="22DF1158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P</w:t>
      </w:r>
    </w:p>
    <w:p w14:paraId="62A917B6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Hlezenní kloub a lýtkový oblast – svalový tonus, symetrie </w:t>
      </w:r>
      <w:proofErr w:type="spellStart"/>
      <w:r>
        <w:rPr>
          <w:sz w:val="24"/>
          <w:szCs w:val="28"/>
        </w:rPr>
        <w:t>achillových</w:t>
      </w:r>
      <w:proofErr w:type="spellEnd"/>
      <w:r>
        <w:rPr>
          <w:sz w:val="24"/>
          <w:szCs w:val="28"/>
        </w:rPr>
        <w:t xml:space="preserve"> šlach, osové postavení hlezenního kloubu</w:t>
      </w:r>
    </w:p>
    <w:p w14:paraId="0BFF8A8B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</w:p>
    <w:p w14:paraId="6572BFC6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L</w:t>
      </w:r>
    </w:p>
    <w:p w14:paraId="7E34017E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P</w:t>
      </w:r>
    </w:p>
    <w:p w14:paraId="2C2A3490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  <w:sectPr w:rsidR="000704F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2F4077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Noha – podélná a příčná klenba, symetrie</w:t>
      </w:r>
    </w:p>
    <w:p w14:paraId="31C9125D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</w:p>
    <w:p w14:paraId="09D23A4D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L</w:t>
      </w:r>
    </w:p>
    <w:p w14:paraId="61135E82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P</w:t>
      </w:r>
    </w:p>
    <w:p w14:paraId="3F1D8674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</w:p>
    <w:p w14:paraId="6ABBF930" w14:textId="77777777" w:rsidR="000704F7" w:rsidRPr="000704F7" w:rsidRDefault="000704F7" w:rsidP="000704F7">
      <w:pPr>
        <w:spacing w:after="0" w:line="360" w:lineRule="auto"/>
        <w:jc w:val="both"/>
        <w:rPr>
          <w:b/>
          <w:sz w:val="24"/>
          <w:szCs w:val="28"/>
        </w:rPr>
      </w:pPr>
      <w:r w:rsidRPr="000704F7">
        <w:rPr>
          <w:b/>
          <w:sz w:val="24"/>
          <w:szCs w:val="28"/>
        </w:rPr>
        <w:t>Aspekce zboku:</w:t>
      </w:r>
    </w:p>
    <w:p w14:paraId="4853999A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Hlava a krk – postavení hlavy k ose páteře (předsunutí), tonus </w:t>
      </w:r>
      <w:proofErr w:type="spellStart"/>
      <w:r>
        <w:rPr>
          <w:sz w:val="24"/>
          <w:szCs w:val="28"/>
        </w:rPr>
        <w:t>m.sternocleidomastoideus</w:t>
      </w:r>
      <w:proofErr w:type="spellEnd"/>
    </w:p>
    <w:p w14:paraId="4A3889C1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</w:p>
    <w:p w14:paraId="76097EA9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Páteř – esovité zakřivení</w:t>
      </w:r>
      <w:r w:rsidR="004322CF">
        <w:rPr>
          <w:sz w:val="24"/>
          <w:szCs w:val="28"/>
        </w:rPr>
        <w:t>/napřímenost úseku</w:t>
      </w:r>
    </w:p>
    <w:p w14:paraId="654D1985" w14:textId="77777777" w:rsidR="004322CF" w:rsidRDefault="004322CF" w:rsidP="000704F7">
      <w:pPr>
        <w:spacing w:after="0" w:line="360" w:lineRule="auto"/>
        <w:jc w:val="both"/>
        <w:rPr>
          <w:sz w:val="24"/>
          <w:szCs w:val="28"/>
        </w:rPr>
      </w:pPr>
    </w:p>
    <w:p w14:paraId="59D8F488" w14:textId="77777777" w:rsidR="004322CF" w:rsidRDefault="004322CF" w:rsidP="000704F7">
      <w:pPr>
        <w:spacing w:after="0" w:line="360" w:lineRule="auto"/>
        <w:jc w:val="both"/>
        <w:rPr>
          <w:sz w:val="24"/>
          <w:szCs w:val="28"/>
        </w:rPr>
      </w:pPr>
    </w:p>
    <w:p w14:paraId="7329F0DA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Horní končetiny – postavení ramenního kloubu, loketní kloub (neutralita)</w:t>
      </w:r>
    </w:p>
    <w:p w14:paraId="2B09C72B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</w:p>
    <w:p w14:paraId="312A8CB8" w14:textId="77777777" w:rsidR="004322CF" w:rsidRDefault="004322CF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L</w:t>
      </w:r>
    </w:p>
    <w:p w14:paraId="48654F5A" w14:textId="77777777" w:rsidR="004322CF" w:rsidRDefault="004322CF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P</w:t>
      </w:r>
    </w:p>
    <w:p w14:paraId="71A207BC" w14:textId="77777777" w:rsidR="004322CF" w:rsidRDefault="004322CF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Hrudní koš – postavení – nádechové postavení a funkce bránice</w:t>
      </w:r>
    </w:p>
    <w:p w14:paraId="700FA18B" w14:textId="77777777" w:rsidR="004322CF" w:rsidRDefault="004322CF" w:rsidP="000704F7">
      <w:pPr>
        <w:spacing w:after="0" w:line="360" w:lineRule="auto"/>
        <w:jc w:val="both"/>
        <w:rPr>
          <w:sz w:val="24"/>
          <w:szCs w:val="28"/>
        </w:rPr>
      </w:pPr>
    </w:p>
    <w:p w14:paraId="22B54137" w14:textId="77777777" w:rsidR="000704F7" w:rsidRDefault="000704F7" w:rsidP="000704F7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Pánev </w:t>
      </w:r>
      <w:r w:rsidR="004322CF">
        <w:rPr>
          <w:sz w:val="24"/>
          <w:szCs w:val="28"/>
        </w:rPr>
        <w:t>–</w:t>
      </w:r>
      <w:r>
        <w:rPr>
          <w:sz w:val="24"/>
          <w:szCs w:val="28"/>
        </w:rPr>
        <w:t xml:space="preserve"> </w:t>
      </w:r>
      <w:r w:rsidR="004322CF">
        <w:rPr>
          <w:sz w:val="24"/>
          <w:szCs w:val="28"/>
        </w:rPr>
        <w:t xml:space="preserve">postavení, </w:t>
      </w:r>
      <w:proofErr w:type="spellStart"/>
      <w:r w:rsidR="004322CF">
        <w:rPr>
          <w:sz w:val="24"/>
          <w:szCs w:val="28"/>
        </w:rPr>
        <w:t>spinae</w:t>
      </w:r>
      <w:proofErr w:type="spellEnd"/>
      <w:r w:rsidR="004322CF">
        <w:rPr>
          <w:sz w:val="24"/>
          <w:szCs w:val="28"/>
        </w:rPr>
        <w:t xml:space="preserve"> </w:t>
      </w:r>
      <w:proofErr w:type="spellStart"/>
      <w:r w:rsidR="004322CF">
        <w:rPr>
          <w:sz w:val="24"/>
          <w:szCs w:val="28"/>
        </w:rPr>
        <w:t>iliacae</w:t>
      </w:r>
      <w:proofErr w:type="spellEnd"/>
      <w:r w:rsidR="004322CF">
        <w:rPr>
          <w:sz w:val="24"/>
          <w:szCs w:val="28"/>
        </w:rPr>
        <w:t xml:space="preserve"> </w:t>
      </w:r>
      <w:proofErr w:type="spellStart"/>
      <w:r w:rsidR="004322CF">
        <w:rPr>
          <w:sz w:val="24"/>
          <w:szCs w:val="28"/>
        </w:rPr>
        <w:t>anteriores</w:t>
      </w:r>
      <w:proofErr w:type="spellEnd"/>
      <w:r w:rsidR="004322CF">
        <w:rPr>
          <w:sz w:val="24"/>
          <w:szCs w:val="28"/>
        </w:rPr>
        <w:t xml:space="preserve"> </w:t>
      </w:r>
      <w:proofErr w:type="spellStart"/>
      <w:r w:rsidR="004322CF">
        <w:rPr>
          <w:sz w:val="24"/>
          <w:szCs w:val="28"/>
        </w:rPr>
        <w:t>superiores</w:t>
      </w:r>
      <w:proofErr w:type="spellEnd"/>
      <w:r w:rsidR="004322CF">
        <w:rPr>
          <w:sz w:val="24"/>
          <w:szCs w:val="28"/>
        </w:rPr>
        <w:t>/</w:t>
      </w:r>
      <w:proofErr w:type="spellStart"/>
      <w:r w:rsidR="004322CF">
        <w:rPr>
          <w:sz w:val="24"/>
          <w:szCs w:val="28"/>
        </w:rPr>
        <w:t>spinae</w:t>
      </w:r>
      <w:proofErr w:type="spellEnd"/>
      <w:r w:rsidR="004322CF">
        <w:rPr>
          <w:sz w:val="24"/>
          <w:szCs w:val="28"/>
        </w:rPr>
        <w:t xml:space="preserve"> </w:t>
      </w:r>
      <w:proofErr w:type="spellStart"/>
      <w:r w:rsidR="004322CF">
        <w:rPr>
          <w:sz w:val="24"/>
          <w:szCs w:val="28"/>
        </w:rPr>
        <w:t>iliacae</w:t>
      </w:r>
      <w:proofErr w:type="spellEnd"/>
      <w:r w:rsidR="004322CF">
        <w:rPr>
          <w:sz w:val="24"/>
          <w:szCs w:val="28"/>
        </w:rPr>
        <w:t xml:space="preserve"> </w:t>
      </w:r>
      <w:proofErr w:type="spellStart"/>
      <w:r w:rsidR="004322CF">
        <w:rPr>
          <w:sz w:val="24"/>
          <w:szCs w:val="28"/>
        </w:rPr>
        <w:t>posteriores</w:t>
      </w:r>
      <w:proofErr w:type="spellEnd"/>
      <w:r w:rsidR="004322CF">
        <w:rPr>
          <w:sz w:val="24"/>
          <w:szCs w:val="28"/>
        </w:rPr>
        <w:t xml:space="preserve"> </w:t>
      </w:r>
      <w:proofErr w:type="spellStart"/>
      <w:r w:rsidR="004322CF">
        <w:rPr>
          <w:sz w:val="24"/>
          <w:szCs w:val="28"/>
        </w:rPr>
        <w:t>superiores</w:t>
      </w:r>
      <w:proofErr w:type="spellEnd"/>
    </w:p>
    <w:p w14:paraId="1E93AE3A" w14:textId="77777777" w:rsidR="004322CF" w:rsidRDefault="004322CF" w:rsidP="000704F7">
      <w:pPr>
        <w:spacing w:after="0" w:line="360" w:lineRule="auto"/>
        <w:jc w:val="both"/>
        <w:rPr>
          <w:sz w:val="24"/>
          <w:szCs w:val="28"/>
        </w:rPr>
      </w:pPr>
    </w:p>
    <w:p w14:paraId="228FB958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Kolenní kloub a stehenní oblast – neutrální postavení kloubu</w:t>
      </w:r>
    </w:p>
    <w:p w14:paraId="7EC62960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</w:p>
    <w:p w14:paraId="132E41DC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L</w:t>
      </w:r>
    </w:p>
    <w:p w14:paraId="70A163AB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P</w:t>
      </w:r>
    </w:p>
    <w:p w14:paraId="7A7993A6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Hlezenní kloub a lýtkový oblast – svalový tonus a symetrie</w:t>
      </w:r>
    </w:p>
    <w:p w14:paraId="25224350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</w:p>
    <w:p w14:paraId="2E7D1F38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L</w:t>
      </w:r>
    </w:p>
    <w:p w14:paraId="112361F1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P</w:t>
      </w:r>
    </w:p>
    <w:p w14:paraId="15710FAE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Noha – podélná a příčná klenba, symetrie</w:t>
      </w:r>
    </w:p>
    <w:p w14:paraId="2D73315F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</w:p>
    <w:p w14:paraId="3739D4F7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L</w:t>
      </w:r>
    </w:p>
    <w:p w14:paraId="40ABDE33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P</w:t>
      </w:r>
    </w:p>
    <w:p w14:paraId="1C781588" w14:textId="77777777" w:rsidR="004322CF" w:rsidRDefault="004322CF" w:rsidP="000704F7">
      <w:pPr>
        <w:spacing w:after="0" w:line="360" w:lineRule="auto"/>
        <w:jc w:val="both"/>
        <w:rPr>
          <w:sz w:val="24"/>
          <w:szCs w:val="28"/>
        </w:rPr>
      </w:pPr>
    </w:p>
    <w:p w14:paraId="45DED56D" w14:textId="77777777" w:rsidR="004322CF" w:rsidRPr="004322CF" w:rsidRDefault="004322CF" w:rsidP="000704F7">
      <w:pPr>
        <w:spacing w:after="0" w:line="360" w:lineRule="auto"/>
        <w:jc w:val="both"/>
        <w:rPr>
          <w:b/>
          <w:sz w:val="24"/>
          <w:szCs w:val="28"/>
        </w:rPr>
      </w:pPr>
      <w:r w:rsidRPr="004322CF">
        <w:rPr>
          <w:b/>
          <w:sz w:val="24"/>
          <w:szCs w:val="28"/>
        </w:rPr>
        <w:lastRenderedPageBreak/>
        <w:t>Aspekce zepředu:</w:t>
      </w:r>
    </w:p>
    <w:p w14:paraId="10AE9A55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Hlava a krk – symetrie, tonus </w:t>
      </w:r>
      <w:proofErr w:type="spellStart"/>
      <w:r>
        <w:rPr>
          <w:sz w:val="24"/>
          <w:szCs w:val="28"/>
        </w:rPr>
        <w:t>m.sternocleidomastoideus</w:t>
      </w:r>
      <w:proofErr w:type="spellEnd"/>
    </w:p>
    <w:p w14:paraId="1563594B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</w:p>
    <w:p w14:paraId="1F653E62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Horní končetiny – postavení ramenního kloubu (elevace)</w:t>
      </w:r>
    </w:p>
    <w:p w14:paraId="0A16E88E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</w:p>
    <w:p w14:paraId="2BE456D8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L</w:t>
      </w:r>
    </w:p>
    <w:p w14:paraId="71E46C57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P</w:t>
      </w:r>
    </w:p>
    <w:p w14:paraId="631D3792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Hrudní koš – postavení dolních žeber – dechový stereotyp</w:t>
      </w:r>
    </w:p>
    <w:p w14:paraId="72E9C084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</w:p>
    <w:p w14:paraId="0C8B780D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Pánev – postavení, rovina </w:t>
      </w:r>
      <w:proofErr w:type="spellStart"/>
      <w:r>
        <w:rPr>
          <w:sz w:val="24"/>
          <w:szCs w:val="28"/>
        </w:rPr>
        <w:t>spinae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iliacae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anteriores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superiores</w:t>
      </w:r>
      <w:proofErr w:type="spellEnd"/>
      <w:r>
        <w:rPr>
          <w:sz w:val="24"/>
          <w:szCs w:val="28"/>
        </w:rPr>
        <w:t xml:space="preserve">, postavení </w:t>
      </w:r>
      <w:proofErr w:type="spellStart"/>
      <w:r>
        <w:rPr>
          <w:sz w:val="24"/>
          <w:szCs w:val="28"/>
        </w:rPr>
        <w:t>umbilicus</w:t>
      </w:r>
      <w:proofErr w:type="spellEnd"/>
      <w:r>
        <w:rPr>
          <w:sz w:val="24"/>
          <w:szCs w:val="28"/>
        </w:rPr>
        <w:t xml:space="preserve"> (pupík)</w:t>
      </w:r>
    </w:p>
    <w:p w14:paraId="5D893402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</w:p>
    <w:p w14:paraId="739D0DC9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Kolenní kloub a stehenní oblast – neutrální postavení kloubu, osové postavení, tonus přední strany stehen</w:t>
      </w:r>
    </w:p>
    <w:p w14:paraId="6B26C8C9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</w:p>
    <w:p w14:paraId="49F1AF18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L</w:t>
      </w:r>
    </w:p>
    <w:p w14:paraId="57D71118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P</w:t>
      </w:r>
    </w:p>
    <w:p w14:paraId="70B7BCB4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Hlezenní kloub – symetrie a osové postavení (valgozita/varozita – „</w:t>
      </w:r>
      <w:proofErr w:type="spellStart"/>
      <w:r>
        <w:rPr>
          <w:sz w:val="24"/>
          <w:szCs w:val="28"/>
        </w:rPr>
        <w:t>vbočenost</w:t>
      </w:r>
      <w:proofErr w:type="spellEnd"/>
      <w:r>
        <w:rPr>
          <w:sz w:val="24"/>
          <w:szCs w:val="28"/>
        </w:rPr>
        <w:t>/</w:t>
      </w:r>
      <w:proofErr w:type="spellStart"/>
      <w:r>
        <w:rPr>
          <w:sz w:val="24"/>
          <w:szCs w:val="28"/>
        </w:rPr>
        <w:t>vybočenost</w:t>
      </w:r>
      <w:proofErr w:type="spellEnd"/>
      <w:r>
        <w:rPr>
          <w:sz w:val="24"/>
          <w:szCs w:val="28"/>
        </w:rPr>
        <w:t>“)</w:t>
      </w:r>
    </w:p>
    <w:p w14:paraId="53CF3050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</w:p>
    <w:p w14:paraId="4E7D4EB2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L</w:t>
      </w:r>
    </w:p>
    <w:p w14:paraId="3840D024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P</w:t>
      </w:r>
    </w:p>
    <w:p w14:paraId="297DC7E0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Noha – podélná a příčná klenba, symetrie, rozložení aktivity svalů chodidla (prsty, nárt, lýtko, stehna)</w:t>
      </w:r>
    </w:p>
    <w:p w14:paraId="5969AB33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</w:p>
    <w:p w14:paraId="45D9A0AA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L</w:t>
      </w:r>
    </w:p>
    <w:p w14:paraId="48F56B21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P</w:t>
      </w:r>
    </w:p>
    <w:p w14:paraId="0A1BB4DF" w14:textId="77777777" w:rsidR="004322CF" w:rsidRDefault="004322CF" w:rsidP="004322CF">
      <w:pPr>
        <w:spacing w:after="0" w:line="360" w:lineRule="auto"/>
        <w:jc w:val="both"/>
        <w:rPr>
          <w:sz w:val="24"/>
          <w:szCs w:val="28"/>
        </w:rPr>
      </w:pPr>
    </w:p>
    <w:p w14:paraId="63F6875B" w14:textId="582CA5DF" w:rsidR="002E666D" w:rsidRDefault="002E666D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21640BF4" w14:textId="21DDD8C5" w:rsidR="002E666D" w:rsidRPr="006A5AD0" w:rsidRDefault="002E666D" w:rsidP="002E666D">
      <w:pPr>
        <w:spacing w:after="0" w:line="360" w:lineRule="auto"/>
        <w:jc w:val="center"/>
        <w:rPr>
          <w:sz w:val="28"/>
          <w:szCs w:val="32"/>
        </w:rPr>
      </w:pPr>
      <w:r w:rsidRPr="006A5AD0">
        <w:rPr>
          <w:sz w:val="28"/>
          <w:szCs w:val="32"/>
        </w:rPr>
        <w:lastRenderedPageBreak/>
        <w:t>Funkční testy</w:t>
      </w:r>
    </w:p>
    <w:p w14:paraId="56D1B1B7" w14:textId="19BA0A5B" w:rsidR="002E666D" w:rsidRDefault="002E666D" w:rsidP="006A5AD0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Na základě aspekce a palpace ve stoje zvol vybrané testy dle Jandy či Koláře (</w:t>
      </w:r>
      <w:r w:rsidR="006A5AD0">
        <w:rPr>
          <w:sz w:val="24"/>
          <w:szCs w:val="28"/>
        </w:rPr>
        <w:t>2-4 testy). Zaznamenej výsledky testů:</w:t>
      </w:r>
    </w:p>
    <w:p w14:paraId="112BFAEF" w14:textId="2BDC11F1" w:rsidR="006A5AD0" w:rsidRPr="006A5AD0" w:rsidRDefault="006A5AD0" w:rsidP="006A5AD0">
      <w:pPr>
        <w:rPr>
          <w:b/>
          <w:bCs/>
          <w:sz w:val="24"/>
          <w:szCs w:val="28"/>
        </w:rPr>
      </w:pPr>
      <w:r w:rsidRPr="006A5AD0">
        <w:rPr>
          <w:b/>
          <w:bCs/>
          <w:sz w:val="24"/>
          <w:szCs w:val="28"/>
        </w:rPr>
        <w:t xml:space="preserve">Provedení testu, chyby, stereotyp, </w:t>
      </w:r>
      <w:proofErr w:type="spellStart"/>
      <w:r w:rsidRPr="006A5AD0">
        <w:rPr>
          <w:b/>
          <w:bCs/>
          <w:sz w:val="24"/>
          <w:szCs w:val="28"/>
        </w:rPr>
        <w:t>ko</w:t>
      </w:r>
      <w:proofErr w:type="spellEnd"/>
      <w:r w:rsidRPr="006A5AD0">
        <w:rPr>
          <w:b/>
          <w:bCs/>
          <w:sz w:val="24"/>
          <w:szCs w:val="28"/>
        </w:rPr>
        <w:t xml:space="preserve">-aktivace a souhra svalových </w:t>
      </w:r>
      <w:proofErr w:type="gramStart"/>
      <w:r w:rsidRPr="006A5AD0">
        <w:rPr>
          <w:b/>
          <w:bCs/>
          <w:sz w:val="24"/>
          <w:szCs w:val="28"/>
        </w:rPr>
        <w:t>skupin,</w:t>
      </w:r>
      <w:proofErr w:type="gramEnd"/>
      <w:r w:rsidRPr="006A5AD0">
        <w:rPr>
          <w:b/>
          <w:bCs/>
          <w:sz w:val="24"/>
          <w:szCs w:val="28"/>
        </w:rPr>
        <w:t xml:space="preserve"> atd.</w:t>
      </w:r>
    </w:p>
    <w:p w14:paraId="76B4A218" w14:textId="34A924C4" w:rsidR="006A5AD0" w:rsidRDefault="006A5AD0" w:rsidP="006A5AD0">
      <w:pPr>
        <w:pStyle w:val="Odstavecseseznamem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 xml:space="preserve">Test - </w:t>
      </w:r>
    </w:p>
    <w:p w14:paraId="57F4415A" w14:textId="0B5C4619" w:rsidR="006A5AD0" w:rsidRDefault="006A5AD0" w:rsidP="006A5AD0">
      <w:pPr>
        <w:rPr>
          <w:sz w:val="24"/>
          <w:szCs w:val="28"/>
        </w:rPr>
      </w:pPr>
    </w:p>
    <w:p w14:paraId="6DF9EE31" w14:textId="2833C816" w:rsidR="006A5AD0" w:rsidRDefault="006A5AD0" w:rsidP="006A5AD0">
      <w:pPr>
        <w:rPr>
          <w:sz w:val="24"/>
          <w:szCs w:val="28"/>
        </w:rPr>
      </w:pPr>
    </w:p>
    <w:p w14:paraId="658FB840" w14:textId="559C5B4C" w:rsidR="006A5AD0" w:rsidRDefault="006A5AD0" w:rsidP="006A5AD0">
      <w:pPr>
        <w:rPr>
          <w:sz w:val="24"/>
          <w:szCs w:val="28"/>
        </w:rPr>
      </w:pPr>
    </w:p>
    <w:p w14:paraId="6A674999" w14:textId="177F6E5E" w:rsidR="006A5AD0" w:rsidRDefault="006A5AD0" w:rsidP="006A5AD0">
      <w:pPr>
        <w:rPr>
          <w:sz w:val="24"/>
          <w:szCs w:val="28"/>
        </w:rPr>
      </w:pPr>
    </w:p>
    <w:p w14:paraId="0EB9C253" w14:textId="0760AA25" w:rsidR="006A5AD0" w:rsidRDefault="006A5AD0" w:rsidP="006A5AD0">
      <w:pPr>
        <w:rPr>
          <w:sz w:val="24"/>
          <w:szCs w:val="28"/>
        </w:rPr>
      </w:pPr>
    </w:p>
    <w:p w14:paraId="226C0591" w14:textId="251E4107" w:rsidR="006A5AD0" w:rsidRDefault="006A5AD0" w:rsidP="006A5AD0">
      <w:pPr>
        <w:rPr>
          <w:sz w:val="24"/>
          <w:szCs w:val="28"/>
        </w:rPr>
      </w:pPr>
    </w:p>
    <w:p w14:paraId="14B1699C" w14:textId="752D44C2" w:rsidR="006A5AD0" w:rsidRDefault="006A5AD0" w:rsidP="006A5AD0">
      <w:pPr>
        <w:rPr>
          <w:sz w:val="24"/>
          <w:szCs w:val="28"/>
        </w:rPr>
      </w:pPr>
    </w:p>
    <w:p w14:paraId="64B3C46E" w14:textId="5F8396D6" w:rsidR="006A5AD0" w:rsidRDefault="006A5AD0" w:rsidP="006A5AD0">
      <w:pPr>
        <w:rPr>
          <w:sz w:val="24"/>
          <w:szCs w:val="28"/>
        </w:rPr>
      </w:pPr>
    </w:p>
    <w:p w14:paraId="563E78A4" w14:textId="35A710CF" w:rsidR="006A5AD0" w:rsidRDefault="006A5AD0" w:rsidP="006A5AD0">
      <w:pPr>
        <w:rPr>
          <w:sz w:val="24"/>
          <w:szCs w:val="28"/>
        </w:rPr>
      </w:pPr>
    </w:p>
    <w:p w14:paraId="653C97E2" w14:textId="77777777" w:rsidR="006A5AD0" w:rsidRPr="006A5AD0" w:rsidRDefault="006A5AD0" w:rsidP="006A5AD0">
      <w:pPr>
        <w:rPr>
          <w:sz w:val="24"/>
          <w:szCs w:val="28"/>
        </w:rPr>
      </w:pPr>
    </w:p>
    <w:p w14:paraId="34021186" w14:textId="609BAC44" w:rsidR="006A5AD0" w:rsidRDefault="006A5AD0" w:rsidP="006A5AD0">
      <w:pPr>
        <w:pStyle w:val="Odstavecseseznamem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Test -</w:t>
      </w:r>
    </w:p>
    <w:p w14:paraId="4F2C8D83" w14:textId="7BD68A96" w:rsidR="006A5AD0" w:rsidRDefault="006A5AD0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11B6F2EF" w14:textId="506FAAED" w:rsidR="006A5AD0" w:rsidRDefault="006A5AD0" w:rsidP="006A5AD0">
      <w:pPr>
        <w:pStyle w:val="Odstavecseseznamem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lastRenderedPageBreak/>
        <w:t>Test -</w:t>
      </w:r>
    </w:p>
    <w:p w14:paraId="66FD3703" w14:textId="51255668" w:rsidR="006A5AD0" w:rsidRDefault="006A5AD0" w:rsidP="006A5AD0">
      <w:pPr>
        <w:rPr>
          <w:sz w:val="24"/>
          <w:szCs w:val="28"/>
        </w:rPr>
      </w:pPr>
    </w:p>
    <w:p w14:paraId="2070A827" w14:textId="1CEFA7E0" w:rsidR="006A5AD0" w:rsidRDefault="006A5AD0" w:rsidP="006A5AD0">
      <w:pPr>
        <w:rPr>
          <w:sz w:val="24"/>
          <w:szCs w:val="28"/>
        </w:rPr>
      </w:pPr>
    </w:p>
    <w:p w14:paraId="31080FB2" w14:textId="1D4EF8E8" w:rsidR="006A5AD0" w:rsidRDefault="006A5AD0" w:rsidP="006A5AD0">
      <w:pPr>
        <w:rPr>
          <w:sz w:val="24"/>
          <w:szCs w:val="28"/>
        </w:rPr>
      </w:pPr>
    </w:p>
    <w:p w14:paraId="79AF9C91" w14:textId="61166108" w:rsidR="006A5AD0" w:rsidRDefault="006A5AD0" w:rsidP="006A5AD0">
      <w:pPr>
        <w:rPr>
          <w:sz w:val="24"/>
          <w:szCs w:val="28"/>
        </w:rPr>
      </w:pPr>
    </w:p>
    <w:p w14:paraId="32956193" w14:textId="27CD0CEF" w:rsidR="006A5AD0" w:rsidRDefault="006A5AD0" w:rsidP="006A5AD0">
      <w:pPr>
        <w:rPr>
          <w:sz w:val="24"/>
          <w:szCs w:val="28"/>
        </w:rPr>
      </w:pPr>
    </w:p>
    <w:p w14:paraId="00760013" w14:textId="49ED84CF" w:rsidR="006A5AD0" w:rsidRDefault="006A5AD0" w:rsidP="006A5AD0">
      <w:pPr>
        <w:rPr>
          <w:sz w:val="24"/>
          <w:szCs w:val="28"/>
        </w:rPr>
      </w:pPr>
    </w:p>
    <w:p w14:paraId="380CE3F9" w14:textId="6192A68A" w:rsidR="006A5AD0" w:rsidRDefault="006A5AD0" w:rsidP="006A5AD0">
      <w:pPr>
        <w:rPr>
          <w:sz w:val="24"/>
          <w:szCs w:val="28"/>
        </w:rPr>
      </w:pPr>
    </w:p>
    <w:p w14:paraId="520BE93A" w14:textId="2DFF41E5" w:rsidR="006A5AD0" w:rsidRDefault="006A5AD0" w:rsidP="006A5AD0">
      <w:pPr>
        <w:rPr>
          <w:sz w:val="24"/>
          <w:szCs w:val="28"/>
        </w:rPr>
      </w:pPr>
    </w:p>
    <w:p w14:paraId="348FB047" w14:textId="076A7594" w:rsidR="006A5AD0" w:rsidRDefault="006A5AD0" w:rsidP="006A5AD0">
      <w:pPr>
        <w:rPr>
          <w:sz w:val="24"/>
          <w:szCs w:val="28"/>
        </w:rPr>
      </w:pPr>
    </w:p>
    <w:p w14:paraId="1A2D63D1" w14:textId="77777777" w:rsidR="006A5AD0" w:rsidRPr="006A5AD0" w:rsidRDefault="006A5AD0" w:rsidP="006A5AD0">
      <w:pPr>
        <w:rPr>
          <w:sz w:val="24"/>
          <w:szCs w:val="28"/>
        </w:rPr>
      </w:pPr>
    </w:p>
    <w:p w14:paraId="303917CD" w14:textId="2D137429" w:rsidR="006A5AD0" w:rsidRPr="006A5AD0" w:rsidRDefault="006A5AD0" w:rsidP="006A5AD0">
      <w:pPr>
        <w:pStyle w:val="Odstavecseseznamem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Test -</w:t>
      </w:r>
    </w:p>
    <w:p w14:paraId="71EE682F" w14:textId="73072541" w:rsidR="006A5AD0" w:rsidRPr="006A5AD0" w:rsidRDefault="006A5AD0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125B5E78" w14:textId="5527C647" w:rsidR="006A5AD0" w:rsidRDefault="006A5AD0" w:rsidP="006A5AD0">
      <w:pPr>
        <w:spacing w:after="0" w:line="360" w:lineRule="auto"/>
        <w:jc w:val="center"/>
        <w:rPr>
          <w:sz w:val="28"/>
          <w:szCs w:val="32"/>
        </w:rPr>
      </w:pPr>
      <w:r>
        <w:rPr>
          <w:sz w:val="28"/>
          <w:szCs w:val="32"/>
        </w:rPr>
        <w:lastRenderedPageBreak/>
        <w:t>Nastavení terapie/tréninku</w:t>
      </w:r>
    </w:p>
    <w:p w14:paraId="5387011E" w14:textId="1FA34200" w:rsidR="006A5AD0" w:rsidRPr="006A5AD0" w:rsidRDefault="006A5AD0" w:rsidP="006A5AD0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Popiš návrh cviků, které by byly pro tvého klienta vhodné k nápravě dysbalancí, chybných stereotypů aj.</w:t>
      </w:r>
    </w:p>
    <w:p w14:paraId="43E434E0" w14:textId="77777777" w:rsidR="004322CF" w:rsidRDefault="004322CF" w:rsidP="000704F7">
      <w:pPr>
        <w:spacing w:after="0" w:line="360" w:lineRule="auto"/>
        <w:jc w:val="both"/>
        <w:rPr>
          <w:sz w:val="24"/>
          <w:szCs w:val="28"/>
        </w:rPr>
      </w:pPr>
    </w:p>
    <w:sectPr w:rsidR="004322C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E2F44" w14:textId="77777777" w:rsidR="00294531" w:rsidRDefault="00294531" w:rsidP="000704F7">
      <w:pPr>
        <w:spacing w:after="0" w:line="240" w:lineRule="auto"/>
      </w:pPr>
      <w:r>
        <w:separator/>
      </w:r>
    </w:p>
  </w:endnote>
  <w:endnote w:type="continuationSeparator" w:id="0">
    <w:p w14:paraId="4E1845EE" w14:textId="77777777" w:rsidR="00294531" w:rsidRDefault="00294531" w:rsidP="0007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4DAE7" w14:textId="77777777" w:rsidR="00294531" w:rsidRDefault="00294531" w:rsidP="000704F7">
      <w:pPr>
        <w:spacing w:after="0" w:line="240" w:lineRule="auto"/>
      </w:pPr>
      <w:r>
        <w:separator/>
      </w:r>
    </w:p>
  </w:footnote>
  <w:footnote w:type="continuationSeparator" w:id="0">
    <w:p w14:paraId="39683BA5" w14:textId="77777777" w:rsidR="00294531" w:rsidRDefault="00294531" w:rsidP="0007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42E9D" w14:textId="77777777" w:rsidR="000704F7" w:rsidRDefault="000704F7">
    <w:pPr>
      <w:pStyle w:val="Zhlav"/>
    </w:pPr>
    <w:r>
      <w:tab/>
    </w:r>
    <w:r>
      <w:tab/>
      <w:t>Datum:</w:t>
    </w:r>
  </w:p>
  <w:p w14:paraId="23DD1095" w14:textId="77777777" w:rsidR="000704F7" w:rsidRDefault="000704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423EE" w14:textId="77777777" w:rsidR="000704F7" w:rsidRDefault="000704F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B55A0"/>
    <w:multiLevelType w:val="hybridMultilevel"/>
    <w:tmpl w:val="6BC28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NDQ0NjM3tQARSjpKwanFxZn5eSAFhrUAL+ocQCwAAAA="/>
  </w:docVars>
  <w:rsids>
    <w:rsidRoot w:val="000704F7"/>
    <w:rsid w:val="000704F7"/>
    <w:rsid w:val="000C3AA6"/>
    <w:rsid w:val="00294531"/>
    <w:rsid w:val="002E666D"/>
    <w:rsid w:val="004322CF"/>
    <w:rsid w:val="005622E4"/>
    <w:rsid w:val="006A5AD0"/>
    <w:rsid w:val="00EA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F13D"/>
  <w15:chartTrackingRefBased/>
  <w15:docId w15:val="{FCDB775E-9CCF-4BE2-A272-CF134F67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0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4F7"/>
  </w:style>
  <w:style w:type="paragraph" w:styleId="Zpat">
    <w:name w:val="footer"/>
    <w:basedOn w:val="Normln"/>
    <w:link w:val="ZpatChar"/>
    <w:uiPriority w:val="99"/>
    <w:unhideWhenUsed/>
    <w:rsid w:val="00070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04F7"/>
  </w:style>
  <w:style w:type="paragraph" w:styleId="Odstavecseseznamem">
    <w:name w:val="List Paragraph"/>
    <w:basedOn w:val="Normln"/>
    <w:uiPriority w:val="34"/>
    <w:qFormat/>
    <w:rsid w:val="006A5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5106-348B-4165-812E-269CE063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Hlinský</dc:creator>
  <cp:keywords/>
  <dc:description/>
  <cp:lastModifiedBy>Tomáš Hlinský</cp:lastModifiedBy>
  <cp:revision>2</cp:revision>
  <cp:lastPrinted>2021-02-12T08:29:00Z</cp:lastPrinted>
  <dcterms:created xsi:type="dcterms:W3CDTF">2019-10-04T13:21:00Z</dcterms:created>
  <dcterms:modified xsi:type="dcterms:W3CDTF">2021-02-12T08:41:00Z</dcterms:modified>
</cp:coreProperties>
</file>