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34364D" w:rsidRPr="00604DC7" w14:paraId="2F50F0BC" w14:textId="77777777" w:rsidTr="00E53E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A5E046" w14:textId="77777777" w:rsidR="0034364D" w:rsidRPr="00604DC7" w:rsidRDefault="0034364D" w:rsidP="00E53EF0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499E772" w14:textId="77777777" w:rsidR="0034364D" w:rsidRPr="00604DC7" w:rsidRDefault="0034364D" w:rsidP="00E53EF0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Johana Rychtecká</w:t>
            </w:r>
          </w:p>
        </w:tc>
      </w:tr>
      <w:tr w:rsidR="0034364D" w:rsidRPr="00604DC7" w14:paraId="3A4543B3" w14:textId="77777777" w:rsidTr="00E53E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301A7D" w14:textId="77777777" w:rsidR="0034364D" w:rsidRPr="00604DC7" w:rsidRDefault="0034364D" w:rsidP="00E53EF0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374FE1D" w14:textId="77777777" w:rsidR="0034364D" w:rsidRPr="00604DC7" w:rsidRDefault="0034364D" w:rsidP="00E53EF0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475415</w:t>
            </w:r>
          </w:p>
        </w:tc>
      </w:tr>
      <w:tr w:rsidR="0034364D" w:rsidRPr="00604DC7" w14:paraId="682356EE" w14:textId="77777777" w:rsidTr="00E53E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430777" w14:textId="77777777" w:rsidR="0034364D" w:rsidRPr="00604DC7" w:rsidRDefault="0034364D" w:rsidP="00E53EF0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3C82271D" w14:textId="77777777" w:rsidR="0034364D" w:rsidRPr="00604DC7" w:rsidRDefault="0034364D" w:rsidP="00E53EF0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Statistická analýza dat, PSY117</w:t>
            </w:r>
          </w:p>
        </w:tc>
      </w:tr>
      <w:tr w:rsidR="0034364D" w:rsidRPr="00604DC7" w14:paraId="01BCD058" w14:textId="77777777" w:rsidTr="00E53E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ECAC8AC" w14:textId="77777777" w:rsidR="0034364D" w:rsidRPr="00604DC7" w:rsidRDefault="0034364D" w:rsidP="00E53EF0">
            <w:pPr>
              <w:ind w:left="164" w:hanging="164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34812AA7" w14:textId="77777777" w:rsidR="0034364D" w:rsidRPr="00604DC7" w:rsidRDefault="0034364D" w:rsidP="0034364D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Mgr. Stanislav Ježek, Ph.D.</w:t>
            </w:r>
          </w:p>
          <w:p w14:paraId="5A4E1D09" w14:textId="77777777" w:rsidR="0034364D" w:rsidRPr="00604DC7" w:rsidRDefault="0034364D" w:rsidP="0034364D">
            <w:pPr>
              <w:ind w:left="176"/>
              <w:rPr>
                <w:rFonts w:ascii="Times New Roman" w:hAnsi="Times New Roman" w:cs="Times New Roman"/>
                <w:noProof/>
              </w:rPr>
            </w:pPr>
          </w:p>
        </w:tc>
      </w:tr>
      <w:tr w:rsidR="0034364D" w:rsidRPr="00604DC7" w14:paraId="248E381A" w14:textId="77777777" w:rsidTr="00E53E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916CED" w14:textId="77777777" w:rsidR="0034364D" w:rsidRPr="00604DC7" w:rsidRDefault="0034364D" w:rsidP="00E53EF0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0C9957" w14:textId="77777777" w:rsidR="0034364D" w:rsidRPr="00604DC7" w:rsidRDefault="00ED4CF0" w:rsidP="00E53EF0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8.</w:t>
            </w:r>
            <w:r w:rsidR="0034364D" w:rsidRPr="00604DC7">
              <w:rPr>
                <w:rFonts w:ascii="Times New Roman" w:hAnsi="Times New Roman" w:cs="Times New Roman"/>
                <w:noProof/>
              </w:rPr>
              <w:t xml:space="preserve"> 5. 2019</w:t>
            </w:r>
          </w:p>
        </w:tc>
        <w:tc>
          <w:tcPr>
            <w:tcW w:w="2126" w:type="dxa"/>
            <w:vAlign w:val="center"/>
          </w:tcPr>
          <w:p w14:paraId="276375E6" w14:textId="77777777" w:rsidR="0034364D" w:rsidRPr="00604DC7" w:rsidRDefault="0034364D" w:rsidP="00E53EF0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2DAEC37C" w14:textId="77777777" w:rsidR="0034364D" w:rsidRPr="00604DC7" w:rsidRDefault="0034364D" w:rsidP="0034364D">
            <w:pPr>
              <w:rPr>
                <w:rFonts w:ascii="Times New Roman" w:hAnsi="Times New Roman" w:cs="Times New Roman"/>
                <w:noProof/>
              </w:rPr>
            </w:pPr>
            <w:r w:rsidRPr="00604DC7">
              <w:rPr>
                <w:rFonts w:ascii="Times New Roman" w:hAnsi="Times New Roman" w:cs="Times New Roman"/>
                <w:noProof/>
              </w:rPr>
              <w:t>03</w:t>
            </w:r>
          </w:p>
        </w:tc>
      </w:tr>
      <w:tr w:rsidR="0034364D" w:rsidRPr="00604DC7" w14:paraId="63E2E738" w14:textId="77777777" w:rsidTr="00E53EF0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F0AFEEE" w14:textId="77777777" w:rsidR="0034364D" w:rsidRPr="00604DC7" w:rsidRDefault="0034364D" w:rsidP="00E53E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2CD4BCD" w14:textId="77777777" w:rsidR="0034364D" w:rsidRPr="00604DC7" w:rsidRDefault="0034364D" w:rsidP="00A324C9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</w:rPr>
      </w:pPr>
      <w:r w:rsidRPr="00604DC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 wp14:anchorId="54B48E50" wp14:editId="2DC46F9A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3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1C5FF" w14:textId="77777777" w:rsidR="00A324C9" w:rsidRPr="00604DC7" w:rsidRDefault="00A324C9" w:rsidP="00A324C9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604DC7">
        <w:rPr>
          <w:rFonts w:ascii="Times New Roman" w:hAnsi="Times New Roman" w:cs="Times New Roman"/>
          <w:sz w:val="24"/>
          <w:szCs w:val="22"/>
        </w:rPr>
        <w:t>Replicating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Milgram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Would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People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Still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Obey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604DC7">
        <w:rPr>
          <w:rFonts w:ascii="Times New Roman" w:hAnsi="Times New Roman" w:cs="Times New Roman"/>
          <w:sz w:val="24"/>
          <w:szCs w:val="22"/>
        </w:rPr>
        <w:t>Today</w:t>
      </w:r>
      <w:proofErr w:type="spellEnd"/>
      <w:r w:rsidRPr="00604DC7">
        <w:rPr>
          <w:rFonts w:ascii="Times New Roman" w:hAnsi="Times New Roman" w:cs="Times New Roman"/>
          <w:sz w:val="24"/>
          <w:szCs w:val="22"/>
        </w:rPr>
        <w:t xml:space="preserve">? </w:t>
      </w:r>
    </w:p>
    <w:p w14:paraId="3875AF43" w14:textId="77777777" w:rsidR="00A324C9" w:rsidRPr="00604DC7" w:rsidRDefault="00A324C9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15D17F33" w14:textId="77777777" w:rsidR="00EA0359" w:rsidRPr="00604DC7" w:rsidRDefault="00BF2100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Jerry M. Burger se v této studii pokusil o replikaci známého </w:t>
      </w:r>
      <w:proofErr w:type="spellStart"/>
      <w:r w:rsidRPr="00604DC7">
        <w:rPr>
          <w:rFonts w:ascii="Times New Roman" w:hAnsi="Times New Roman" w:cs="Times New Roman"/>
          <w:sz w:val="22"/>
          <w:szCs w:val="22"/>
        </w:rPr>
        <w:t>Milgramova</w:t>
      </w:r>
      <w:proofErr w:type="spellEnd"/>
      <w:r w:rsidRPr="00604DC7">
        <w:rPr>
          <w:rFonts w:ascii="Times New Roman" w:hAnsi="Times New Roman" w:cs="Times New Roman"/>
          <w:sz w:val="22"/>
          <w:szCs w:val="22"/>
        </w:rPr>
        <w:t xml:space="preserve"> experimentu z roku 1963. </w:t>
      </w:r>
      <w:r w:rsidR="008A005D" w:rsidRPr="00604DC7">
        <w:rPr>
          <w:rFonts w:ascii="Times New Roman" w:hAnsi="Times New Roman" w:cs="Times New Roman"/>
          <w:sz w:val="22"/>
          <w:szCs w:val="22"/>
        </w:rPr>
        <w:t xml:space="preserve">Chtěl si ověřit, jak daleko jsou lidé schopni zajít, aby uposlechli rozkaz autority, pokud by to mohlo poškodit jinou osobu. </w:t>
      </w:r>
      <w:r w:rsidR="00A324C9" w:rsidRPr="00604DC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09838C" w14:textId="77777777" w:rsidR="008A005D" w:rsidRPr="00604DC7" w:rsidRDefault="008A005D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08584C" w14:textId="77777777" w:rsidR="008C4E8C" w:rsidRPr="00604DC7" w:rsidRDefault="00EA0359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>Stejně jako v </w:t>
      </w:r>
      <w:proofErr w:type="spellStart"/>
      <w:r w:rsidRPr="00604DC7">
        <w:rPr>
          <w:rFonts w:ascii="Times New Roman" w:hAnsi="Times New Roman" w:cs="Times New Roman"/>
          <w:sz w:val="22"/>
          <w:szCs w:val="22"/>
        </w:rPr>
        <w:t>Milgramově</w:t>
      </w:r>
      <w:proofErr w:type="spellEnd"/>
      <w:r w:rsidRPr="00604DC7">
        <w:rPr>
          <w:rFonts w:ascii="Times New Roman" w:hAnsi="Times New Roman" w:cs="Times New Roman"/>
          <w:sz w:val="22"/>
          <w:szCs w:val="22"/>
        </w:rPr>
        <w:t xml:space="preserve"> experimentu, i zde byli účastníci pozváni prostřednictvím inzerátu </w:t>
      </w:r>
      <w:r w:rsidR="00D0183A" w:rsidRPr="00604DC7">
        <w:rPr>
          <w:rFonts w:ascii="Times New Roman" w:hAnsi="Times New Roman" w:cs="Times New Roman"/>
          <w:sz w:val="22"/>
          <w:szCs w:val="22"/>
        </w:rPr>
        <w:t>v</w:t>
      </w:r>
      <w:r w:rsidRPr="00604DC7">
        <w:rPr>
          <w:rFonts w:ascii="Times New Roman" w:hAnsi="Times New Roman" w:cs="Times New Roman"/>
          <w:sz w:val="22"/>
          <w:szCs w:val="22"/>
        </w:rPr>
        <w:t xml:space="preserve"> novinách a online </w:t>
      </w:r>
      <w:r w:rsidR="008A005D" w:rsidRPr="00604DC7">
        <w:rPr>
          <w:rFonts w:ascii="Times New Roman" w:hAnsi="Times New Roman" w:cs="Times New Roman"/>
          <w:sz w:val="22"/>
          <w:szCs w:val="22"/>
        </w:rPr>
        <w:t xml:space="preserve">inzerátu. Účastníci prošli </w:t>
      </w:r>
      <w:proofErr w:type="spellStart"/>
      <w:proofErr w:type="gramStart"/>
      <w:r w:rsidR="008A005D" w:rsidRPr="00604DC7">
        <w:rPr>
          <w:rFonts w:ascii="Times New Roman" w:hAnsi="Times New Roman" w:cs="Times New Roman"/>
          <w:sz w:val="22"/>
          <w:szCs w:val="22"/>
        </w:rPr>
        <w:t>screeninge</w:t>
      </w:r>
      <w:r w:rsidR="00D0183A" w:rsidRPr="00604DC7">
        <w:rPr>
          <w:rFonts w:ascii="Times New Roman" w:hAnsi="Times New Roman" w:cs="Times New Roman"/>
          <w:sz w:val="22"/>
          <w:szCs w:val="22"/>
        </w:rPr>
        <w:t>m</w:t>
      </w:r>
      <w:proofErr w:type="spellEnd"/>
      <w:r w:rsidR="00D0183A" w:rsidRPr="00604DC7">
        <w:rPr>
          <w:rFonts w:ascii="Times New Roman" w:hAnsi="Times New Roman" w:cs="Times New Roman"/>
          <w:sz w:val="22"/>
          <w:szCs w:val="22"/>
        </w:rPr>
        <w:t xml:space="preserve"> - vyloučili</w:t>
      </w:r>
      <w:proofErr w:type="gramEnd"/>
      <w:r w:rsidR="00D0183A" w:rsidRPr="00604DC7">
        <w:rPr>
          <w:rFonts w:ascii="Times New Roman" w:hAnsi="Times New Roman" w:cs="Times New Roman"/>
          <w:sz w:val="22"/>
          <w:szCs w:val="22"/>
        </w:rPr>
        <w:t xml:space="preserve"> se ti, kdo znali </w:t>
      </w:r>
      <w:r w:rsidR="008A005D" w:rsidRPr="00604DC7">
        <w:rPr>
          <w:rFonts w:ascii="Times New Roman" w:hAnsi="Times New Roman" w:cs="Times New Roman"/>
          <w:sz w:val="22"/>
          <w:szCs w:val="22"/>
        </w:rPr>
        <w:t xml:space="preserve">princip </w:t>
      </w:r>
      <w:proofErr w:type="spellStart"/>
      <w:r w:rsidR="008A005D" w:rsidRPr="00604DC7">
        <w:rPr>
          <w:rFonts w:ascii="Times New Roman" w:hAnsi="Times New Roman" w:cs="Times New Roman"/>
          <w:sz w:val="22"/>
          <w:szCs w:val="22"/>
        </w:rPr>
        <w:t>Milgramova</w:t>
      </w:r>
      <w:proofErr w:type="spellEnd"/>
      <w:r w:rsidR="008A005D" w:rsidRPr="00604DC7">
        <w:rPr>
          <w:rFonts w:ascii="Times New Roman" w:hAnsi="Times New Roman" w:cs="Times New Roman"/>
          <w:sz w:val="22"/>
          <w:szCs w:val="22"/>
        </w:rPr>
        <w:t xml:space="preserve"> experiment</w:t>
      </w:r>
      <w:r w:rsidR="005163FE" w:rsidRPr="00604DC7">
        <w:rPr>
          <w:rFonts w:ascii="Times New Roman" w:hAnsi="Times New Roman" w:cs="Times New Roman"/>
          <w:sz w:val="22"/>
          <w:szCs w:val="22"/>
        </w:rPr>
        <w:t xml:space="preserve">u, ti, kteří měli zdravotní nebo psychické problémy, a ti, kteří </w:t>
      </w:r>
      <w:r w:rsidR="008A005D" w:rsidRPr="00604DC7">
        <w:rPr>
          <w:rFonts w:ascii="Times New Roman" w:hAnsi="Times New Roman" w:cs="Times New Roman"/>
          <w:sz w:val="22"/>
          <w:szCs w:val="22"/>
        </w:rPr>
        <w:t xml:space="preserve">měli problémy s návykovými látkami. Na závěr vyplnili účastnici dotazníky, které posuzovaly míru empatie, deprese, úzkosti a </w:t>
      </w:r>
      <w:r w:rsidR="005163FE" w:rsidRPr="00604DC7">
        <w:rPr>
          <w:rFonts w:ascii="Times New Roman" w:hAnsi="Times New Roman" w:cs="Times New Roman"/>
          <w:sz w:val="22"/>
          <w:szCs w:val="22"/>
        </w:rPr>
        <w:t xml:space="preserve">touhu po kontrole. </w:t>
      </w:r>
      <w:r w:rsidR="008C4E8C" w:rsidRPr="00604DC7">
        <w:rPr>
          <w:rFonts w:ascii="Times New Roman" w:hAnsi="Times New Roman" w:cs="Times New Roman"/>
          <w:sz w:val="22"/>
          <w:szCs w:val="22"/>
        </w:rPr>
        <w:t>Podobně jako v </w:t>
      </w:r>
      <w:proofErr w:type="spellStart"/>
      <w:r w:rsidR="008C4E8C" w:rsidRPr="00604DC7">
        <w:rPr>
          <w:rFonts w:ascii="Times New Roman" w:hAnsi="Times New Roman" w:cs="Times New Roman"/>
          <w:sz w:val="22"/>
          <w:szCs w:val="22"/>
        </w:rPr>
        <w:t>Milgramově</w:t>
      </w:r>
      <w:proofErr w:type="spellEnd"/>
      <w:r w:rsidR="008C4E8C" w:rsidRPr="00604DC7">
        <w:rPr>
          <w:rFonts w:ascii="Times New Roman" w:hAnsi="Times New Roman" w:cs="Times New Roman"/>
          <w:sz w:val="22"/>
          <w:szCs w:val="22"/>
        </w:rPr>
        <w:t xml:space="preserve"> experimentu byly i zde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 účastníci přesvědčeni, že se jedná o výzkum vlivu trestu na proces učen</w:t>
      </w:r>
      <w:r w:rsidR="00B17F32" w:rsidRPr="00604DC7">
        <w:rPr>
          <w:rFonts w:ascii="Times New Roman" w:hAnsi="Times New Roman" w:cs="Times New Roman"/>
          <w:sz w:val="22"/>
          <w:szCs w:val="22"/>
        </w:rPr>
        <w:t>í. Byli rozděleni do dvojic učitel-žák</w:t>
      </w:r>
      <w:r w:rsidR="00E47D54" w:rsidRPr="00604DC7">
        <w:rPr>
          <w:rFonts w:ascii="Times New Roman" w:hAnsi="Times New Roman" w:cs="Times New Roman"/>
          <w:sz w:val="22"/>
          <w:szCs w:val="22"/>
        </w:rPr>
        <w:t>, přičemž se učitel</w:t>
      </w:r>
      <w:r w:rsidR="00B17F32" w:rsidRPr="00604DC7">
        <w:rPr>
          <w:rFonts w:ascii="Times New Roman" w:hAnsi="Times New Roman" w:cs="Times New Roman"/>
          <w:sz w:val="22"/>
          <w:szCs w:val="22"/>
        </w:rPr>
        <w:t>em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 stal vždy účastník</w:t>
      </w:r>
      <w:r w:rsidR="00B17F32" w:rsidRPr="00604DC7">
        <w:rPr>
          <w:rFonts w:ascii="Times New Roman" w:hAnsi="Times New Roman" w:cs="Times New Roman"/>
          <w:sz w:val="22"/>
          <w:szCs w:val="22"/>
        </w:rPr>
        <w:t xml:space="preserve"> experimentu</w:t>
      </w:r>
      <w:r w:rsidR="00E47D54" w:rsidRPr="00604DC7">
        <w:rPr>
          <w:rFonts w:ascii="Times New Roman" w:hAnsi="Times New Roman" w:cs="Times New Roman"/>
          <w:sz w:val="22"/>
          <w:szCs w:val="22"/>
        </w:rPr>
        <w:t>. Roli žáka hrál pomocník experimentátora. Žák byl odveden do vedlejší místnosti a připoután k</w:t>
      </w:r>
      <w:r w:rsidR="003A65D8" w:rsidRPr="00604DC7">
        <w:rPr>
          <w:rFonts w:ascii="Times New Roman" w:hAnsi="Times New Roman" w:cs="Times New Roman"/>
          <w:sz w:val="22"/>
          <w:szCs w:val="22"/>
        </w:rPr>
        <w:t> </w:t>
      </w:r>
      <w:r w:rsidR="00E47D54" w:rsidRPr="00604DC7">
        <w:rPr>
          <w:rFonts w:ascii="Times New Roman" w:hAnsi="Times New Roman" w:cs="Times New Roman"/>
          <w:sz w:val="22"/>
          <w:szCs w:val="22"/>
        </w:rPr>
        <w:t>židli</w:t>
      </w:r>
      <w:r w:rsidR="003A65D8" w:rsidRPr="00604DC7">
        <w:rPr>
          <w:rFonts w:ascii="Times New Roman" w:hAnsi="Times New Roman" w:cs="Times New Roman"/>
          <w:sz w:val="22"/>
          <w:szCs w:val="22"/>
        </w:rPr>
        <w:t xml:space="preserve"> (experime</w:t>
      </w:r>
      <w:r w:rsidR="00B17F32" w:rsidRPr="00604DC7">
        <w:rPr>
          <w:rFonts w:ascii="Times New Roman" w:hAnsi="Times New Roman" w:cs="Times New Roman"/>
          <w:sz w:val="22"/>
          <w:szCs w:val="22"/>
        </w:rPr>
        <w:t xml:space="preserve">ntátor učiteli vysvětlil, že je </w:t>
      </w:r>
      <w:r w:rsidR="003A65D8" w:rsidRPr="00604DC7">
        <w:rPr>
          <w:rFonts w:ascii="Times New Roman" w:hAnsi="Times New Roman" w:cs="Times New Roman"/>
          <w:sz w:val="22"/>
          <w:szCs w:val="22"/>
        </w:rPr>
        <w:t>to proto, aby se žák nemohl hýbat)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. </w:t>
      </w:r>
      <w:r w:rsidR="003A65D8" w:rsidRPr="00604DC7">
        <w:rPr>
          <w:rFonts w:ascii="Times New Roman" w:hAnsi="Times New Roman" w:cs="Times New Roman"/>
          <w:sz w:val="22"/>
          <w:szCs w:val="22"/>
        </w:rPr>
        <w:t>Levé zápěstí bylo připevněno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 k elektrodě, která byla napojená na generátor šoků. Byla aplikována elektrodová pasta „aby se zabránilo tvorbě puchýřů a popálenin“. Generátor šoků ovládal učitel</w:t>
      </w:r>
      <w:r w:rsidR="00ED4CF0" w:rsidRPr="00604DC7">
        <w:rPr>
          <w:rFonts w:ascii="Times New Roman" w:hAnsi="Times New Roman" w:cs="Times New Roman"/>
          <w:sz w:val="22"/>
          <w:szCs w:val="22"/>
        </w:rPr>
        <w:t xml:space="preserve"> (účastník experimentu)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, jenž neměl tušení, že šoky nejsou opravdové a žák je jen předstírá. Úkolem žáka bylo </w:t>
      </w:r>
      <w:r w:rsidR="003A65D8" w:rsidRPr="00604DC7">
        <w:rPr>
          <w:rFonts w:ascii="Times New Roman" w:hAnsi="Times New Roman" w:cs="Times New Roman"/>
          <w:sz w:val="22"/>
          <w:szCs w:val="22"/>
        </w:rPr>
        <w:t xml:space="preserve">zapamatovat si 25 dvojic slov. Učitel vyslovil první z nich a nabídl čtyři možné varianty, žák musel na otázku správně odpovědět. </w:t>
      </w:r>
      <w:r w:rsidR="00E47D54" w:rsidRPr="00604DC7">
        <w:rPr>
          <w:rFonts w:ascii="Times New Roman" w:hAnsi="Times New Roman" w:cs="Times New Roman"/>
          <w:sz w:val="22"/>
          <w:szCs w:val="22"/>
        </w:rPr>
        <w:t>Po špatné odpovědi následoval trest</w:t>
      </w:r>
      <w:r w:rsidR="003A65D8" w:rsidRPr="00604DC7">
        <w:rPr>
          <w:rFonts w:ascii="Times New Roman" w:hAnsi="Times New Roman" w:cs="Times New Roman"/>
          <w:sz w:val="22"/>
          <w:szCs w:val="22"/>
        </w:rPr>
        <w:t xml:space="preserve">. Test měl </w:t>
      </w:r>
      <w:r w:rsidR="00ED4CF0" w:rsidRPr="00604DC7">
        <w:rPr>
          <w:rFonts w:ascii="Times New Roman" w:hAnsi="Times New Roman" w:cs="Times New Roman"/>
          <w:sz w:val="22"/>
          <w:szCs w:val="22"/>
        </w:rPr>
        <w:t>probíhat</w:t>
      </w:r>
      <w:r w:rsidR="003A65D8" w:rsidRPr="00604DC7">
        <w:rPr>
          <w:rFonts w:ascii="Times New Roman" w:hAnsi="Times New Roman" w:cs="Times New Roman"/>
          <w:sz w:val="22"/>
          <w:szCs w:val="22"/>
        </w:rPr>
        <w:t xml:space="preserve"> do té doby, než se žák naučí všech 25 dvojic. </w:t>
      </w:r>
      <w:r w:rsidR="008B1806" w:rsidRPr="00604DC7">
        <w:rPr>
          <w:rFonts w:ascii="Times New Roman" w:hAnsi="Times New Roman" w:cs="Times New Roman"/>
          <w:sz w:val="22"/>
          <w:szCs w:val="22"/>
        </w:rPr>
        <w:t xml:space="preserve">Šoky se prováděly 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prostřednictvím šokového generátoru s </w:t>
      </w:r>
      <w:r w:rsidR="00A324C9" w:rsidRPr="00604DC7">
        <w:rPr>
          <w:rFonts w:ascii="Times New Roman" w:hAnsi="Times New Roman" w:cs="Times New Roman"/>
          <w:sz w:val="22"/>
          <w:szCs w:val="22"/>
        </w:rPr>
        <w:t>třiceti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 odstupňovanými přepínači</w:t>
      </w:r>
      <w:r w:rsidR="00A324C9" w:rsidRPr="00604DC7">
        <w:rPr>
          <w:rFonts w:ascii="Times New Roman" w:hAnsi="Times New Roman" w:cs="Times New Roman"/>
          <w:sz w:val="22"/>
          <w:szCs w:val="22"/>
        </w:rPr>
        <w:t xml:space="preserve"> od </w:t>
      </w:r>
      <w:proofErr w:type="spellStart"/>
      <w:r w:rsidR="00E47D54" w:rsidRPr="00604DC7">
        <w:rPr>
          <w:rFonts w:ascii="Times New Roman" w:hAnsi="Times New Roman" w:cs="Times New Roman"/>
          <w:sz w:val="22"/>
          <w:szCs w:val="22"/>
        </w:rPr>
        <w:t>Slight</w:t>
      </w:r>
      <w:proofErr w:type="spellEnd"/>
      <w:r w:rsidR="00E47D54" w:rsidRPr="00604D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7D54" w:rsidRPr="00604DC7">
        <w:rPr>
          <w:rFonts w:ascii="Times New Roman" w:hAnsi="Times New Roman" w:cs="Times New Roman"/>
          <w:sz w:val="22"/>
          <w:szCs w:val="22"/>
        </w:rPr>
        <w:t>Shock</w:t>
      </w:r>
      <w:proofErr w:type="spellEnd"/>
      <w:r w:rsidR="00E47D54" w:rsidRPr="00604DC7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="00E47D54" w:rsidRPr="00604DC7">
        <w:rPr>
          <w:rFonts w:ascii="Times New Roman" w:hAnsi="Times New Roman" w:cs="Times New Roman"/>
          <w:sz w:val="22"/>
          <w:szCs w:val="22"/>
        </w:rPr>
        <w:t>Danger</w:t>
      </w:r>
      <w:proofErr w:type="spellEnd"/>
      <w:r w:rsidR="00E47D54" w:rsidRPr="00604DC7">
        <w:rPr>
          <w:rFonts w:ascii="Times New Roman" w:hAnsi="Times New Roman" w:cs="Times New Roman"/>
          <w:sz w:val="22"/>
          <w:szCs w:val="22"/>
        </w:rPr>
        <w:t xml:space="preserve">: Severe </w:t>
      </w:r>
      <w:proofErr w:type="spellStart"/>
      <w:r w:rsidR="00E47D54" w:rsidRPr="00604DC7">
        <w:rPr>
          <w:rFonts w:ascii="Times New Roman" w:hAnsi="Times New Roman" w:cs="Times New Roman"/>
          <w:sz w:val="22"/>
          <w:szCs w:val="22"/>
        </w:rPr>
        <w:t>Shock</w:t>
      </w:r>
      <w:proofErr w:type="spellEnd"/>
      <w:r w:rsidR="00E47D54" w:rsidRPr="00604DC7">
        <w:rPr>
          <w:rFonts w:ascii="Times New Roman" w:hAnsi="Times New Roman" w:cs="Times New Roman"/>
          <w:sz w:val="22"/>
          <w:szCs w:val="22"/>
        </w:rPr>
        <w:t xml:space="preserve"> (15</w:t>
      </w:r>
      <w:r w:rsidR="00CA34F6" w:rsidRPr="00604DC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47D54" w:rsidRPr="00604DC7">
        <w:rPr>
          <w:rFonts w:ascii="Times New Roman" w:hAnsi="Times New Roman" w:cs="Times New Roman"/>
          <w:sz w:val="22"/>
          <w:szCs w:val="22"/>
        </w:rPr>
        <w:t>V - 450</w:t>
      </w:r>
      <w:proofErr w:type="gramEnd"/>
      <w:r w:rsidR="00CA34F6" w:rsidRPr="00604DC7">
        <w:rPr>
          <w:rFonts w:ascii="Times New Roman" w:hAnsi="Times New Roman" w:cs="Times New Roman"/>
          <w:sz w:val="22"/>
          <w:szCs w:val="22"/>
        </w:rPr>
        <w:t xml:space="preserve"> </w:t>
      </w:r>
      <w:r w:rsidR="00E47D54" w:rsidRPr="00604DC7">
        <w:rPr>
          <w:rFonts w:ascii="Times New Roman" w:hAnsi="Times New Roman" w:cs="Times New Roman"/>
          <w:sz w:val="22"/>
          <w:szCs w:val="22"/>
        </w:rPr>
        <w:t>V</w:t>
      </w:r>
      <w:r w:rsidR="00A324C9" w:rsidRPr="00604DC7">
        <w:rPr>
          <w:rFonts w:ascii="Times New Roman" w:hAnsi="Times New Roman" w:cs="Times New Roman"/>
          <w:sz w:val="22"/>
          <w:szCs w:val="22"/>
        </w:rPr>
        <w:t xml:space="preserve">) </w:t>
      </w:r>
      <w:r w:rsidR="00696293" w:rsidRPr="00604DC7">
        <w:rPr>
          <w:rFonts w:ascii="Times New Roman" w:hAnsi="Times New Roman" w:cs="Times New Roman"/>
          <w:sz w:val="22"/>
          <w:szCs w:val="22"/>
        </w:rPr>
        <w:t>V tomto experimentu byla horní hranice šoků 150</w:t>
      </w:r>
      <w:r w:rsidR="00CA34F6" w:rsidRPr="00604DC7">
        <w:rPr>
          <w:rFonts w:ascii="Times New Roman" w:hAnsi="Times New Roman" w:cs="Times New Roman"/>
          <w:sz w:val="22"/>
          <w:szCs w:val="22"/>
        </w:rPr>
        <w:t xml:space="preserve"> </w:t>
      </w:r>
      <w:r w:rsidR="00696293" w:rsidRPr="00604DC7">
        <w:rPr>
          <w:rFonts w:ascii="Times New Roman" w:hAnsi="Times New Roman" w:cs="Times New Roman"/>
          <w:sz w:val="22"/>
          <w:szCs w:val="22"/>
        </w:rPr>
        <w:t xml:space="preserve">V. </w:t>
      </w:r>
      <w:r w:rsidR="00E47D54" w:rsidRPr="00604DC7">
        <w:rPr>
          <w:rFonts w:ascii="Times New Roman" w:hAnsi="Times New Roman" w:cs="Times New Roman"/>
          <w:sz w:val="22"/>
          <w:szCs w:val="22"/>
        </w:rPr>
        <w:t xml:space="preserve">S každou špatnou odpovědí se zvyšovala intenzita šoku, s každou špatnou odpovědí učitel zmáčknul další přepínač. </w:t>
      </w:r>
      <w:r w:rsidR="008B1806" w:rsidRPr="00604DC7">
        <w:rPr>
          <w:rFonts w:ascii="Times New Roman" w:hAnsi="Times New Roman" w:cs="Times New Roman"/>
          <w:sz w:val="22"/>
          <w:szCs w:val="22"/>
        </w:rPr>
        <w:t>Pokaždé, když učitel zaváhal a nebyl ochoten dát další šok,</w:t>
      </w:r>
      <w:r w:rsidR="005163FE" w:rsidRPr="00604DC7">
        <w:rPr>
          <w:rFonts w:ascii="Times New Roman" w:hAnsi="Times New Roman" w:cs="Times New Roman"/>
          <w:sz w:val="22"/>
          <w:szCs w:val="22"/>
        </w:rPr>
        <w:t xml:space="preserve"> jej</w:t>
      </w:r>
      <w:r w:rsidR="008B1806" w:rsidRPr="00604DC7">
        <w:rPr>
          <w:rFonts w:ascii="Times New Roman" w:hAnsi="Times New Roman" w:cs="Times New Roman"/>
          <w:sz w:val="22"/>
          <w:szCs w:val="22"/>
        </w:rPr>
        <w:t xml:space="preserve"> experimentátor pobídnul frázemi - „Prosím pokračujte“, „Experiment vyžaduje, abyste pokračoval“, „Je nezbytné, abyste pokračoval“ a nakonec „Nemáte jinou volbu, musíte pokračovat“. Pokud se účastník experimentu zeptal, kdo nese za žáka odpovědnost, experimentátor odpověděl, že je to on jakožto experimentátor. </w:t>
      </w:r>
    </w:p>
    <w:p w14:paraId="2C300532" w14:textId="77777777" w:rsidR="008C4E8C" w:rsidRPr="00604DC7" w:rsidRDefault="008C4E8C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4421BC" w14:textId="77777777" w:rsidR="008C4E8C" w:rsidRPr="00604DC7" w:rsidRDefault="008C4E8C" w:rsidP="008C4E8C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Na rozdíl od </w:t>
      </w:r>
      <w:proofErr w:type="spellStart"/>
      <w:r w:rsidRPr="00604DC7">
        <w:rPr>
          <w:rFonts w:ascii="Times New Roman" w:hAnsi="Times New Roman" w:cs="Times New Roman"/>
          <w:sz w:val="22"/>
          <w:szCs w:val="22"/>
        </w:rPr>
        <w:t>Milgramova</w:t>
      </w:r>
      <w:proofErr w:type="spellEnd"/>
      <w:r w:rsidRPr="00604DC7">
        <w:rPr>
          <w:rFonts w:ascii="Times New Roman" w:hAnsi="Times New Roman" w:cs="Times New Roman"/>
          <w:sz w:val="22"/>
          <w:szCs w:val="22"/>
        </w:rPr>
        <w:t xml:space="preserve"> původního experimentu, obsahoval tento experiment ještě druhou část. Probíhala naprosto stejně jako část první, jež je popsána výše. Druhá část se lišila pouze v tom, že pomocníci experimentátora byli </w:t>
      </w:r>
      <w:proofErr w:type="gramStart"/>
      <w:r w:rsidRPr="00604DC7">
        <w:rPr>
          <w:rFonts w:ascii="Times New Roman" w:hAnsi="Times New Roman" w:cs="Times New Roman"/>
          <w:sz w:val="22"/>
          <w:szCs w:val="22"/>
        </w:rPr>
        <w:t>dva - jeden</w:t>
      </w:r>
      <w:proofErr w:type="gramEnd"/>
      <w:r w:rsidRPr="00604DC7">
        <w:rPr>
          <w:rFonts w:ascii="Times New Roman" w:hAnsi="Times New Roman" w:cs="Times New Roman"/>
          <w:sz w:val="22"/>
          <w:szCs w:val="22"/>
        </w:rPr>
        <w:t xml:space="preserve"> v pozici žáka, druhý v pozici učitele. Při šoku 90 V učitel (spolupracovník experimentátora) odmítl pokračovat. V tu chvíli byla zodpovědnost pouze na druhém učiteli (účastníkovi experimentu). </w:t>
      </w:r>
    </w:p>
    <w:p w14:paraId="55CF0994" w14:textId="77777777" w:rsidR="008C4E8C" w:rsidRPr="00604DC7" w:rsidRDefault="008C4E8C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AF5C45" w14:textId="77777777" w:rsidR="00E826C7" w:rsidRPr="00604DC7" w:rsidRDefault="008B1806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>Po ukončení experimentu bylo účast</w:t>
      </w:r>
      <w:r w:rsidR="00B17F32" w:rsidRPr="00604DC7">
        <w:rPr>
          <w:rFonts w:ascii="Times New Roman" w:hAnsi="Times New Roman" w:cs="Times New Roman"/>
          <w:sz w:val="22"/>
          <w:szCs w:val="22"/>
        </w:rPr>
        <w:t>ník</w:t>
      </w:r>
      <w:r w:rsidR="005163FE" w:rsidRPr="00604DC7">
        <w:rPr>
          <w:rFonts w:ascii="Times New Roman" w:hAnsi="Times New Roman" w:cs="Times New Roman"/>
          <w:sz w:val="22"/>
          <w:szCs w:val="22"/>
        </w:rPr>
        <w:t>ům</w:t>
      </w:r>
      <w:r w:rsidR="00B17F32" w:rsidRPr="00604DC7">
        <w:rPr>
          <w:rFonts w:ascii="Times New Roman" w:hAnsi="Times New Roman" w:cs="Times New Roman"/>
          <w:sz w:val="22"/>
          <w:szCs w:val="22"/>
        </w:rPr>
        <w:t xml:space="preserve"> sděleno, že šoky nebyly re</w:t>
      </w:r>
      <w:r w:rsidRPr="00604DC7">
        <w:rPr>
          <w:rFonts w:ascii="Times New Roman" w:hAnsi="Times New Roman" w:cs="Times New Roman"/>
          <w:sz w:val="22"/>
          <w:szCs w:val="22"/>
        </w:rPr>
        <w:t xml:space="preserve">álné a že je člověk hrající žáka v pořádku. </w:t>
      </w:r>
      <w:r w:rsidR="00EA537B" w:rsidRPr="00604DC7">
        <w:rPr>
          <w:rFonts w:ascii="Times New Roman" w:hAnsi="Times New Roman" w:cs="Times New Roman"/>
          <w:sz w:val="22"/>
          <w:szCs w:val="22"/>
        </w:rPr>
        <w:t>Oproti původní studii se tohoto experi</w:t>
      </w:r>
      <w:r w:rsidR="00E620D9" w:rsidRPr="00604DC7">
        <w:rPr>
          <w:rFonts w:ascii="Times New Roman" w:hAnsi="Times New Roman" w:cs="Times New Roman"/>
          <w:sz w:val="22"/>
          <w:szCs w:val="22"/>
        </w:rPr>
        <w:t>mentu zúčastnilo 70 osob (</w:t>
      </w:r>
      <w:r w:rsidR="00E826C7" w:rsidRPr="00604DC7">
        <w:rPr>
          <w:rFonts w:ascii="Times New Roman" w:hAnsi="Times New Roman" w:cs="Times New Roman"/>
          <w:sz w:val="22"/>
          <w:szCs w:val="22"/>
        </w:rPr>
        <w:t>41</w:t>
      </w:r>
      <w:r w:rsidR="00E620D9" w:rsidRPr="00604DC7">
        <w:rPr>
          <w:rFonts w:ascii="Times New Roman" w:hAnsi="Times New Roman" w:cs="Times New Roman"/>
          <w:sz w:val="22"/>
          <w:szCs w:val="22"/>
        </w:rPr>
        <w:t xml:space="preserve"> žen, </w:t>
      </w:r>
      <w:r w:rsidR="00E826C7" w:rsidRPr="00604DC7">
        <w:rPr>
          <w:rFonts w:ascii="Times New Roman" w:hAnsi="Times New Roman" w:cs="Times New Roman"/>
          <w:sz w:val="22"/>
          <w:szCs w:val="22"/>
        </w:rPr>
        <w:t>29</w:t>
      </w:r>
      <w:r w:rsidR="00E620D9" w:rsidRPr="00604DC7">
        <w:rPr>
          <w:rFonts w:ascii="Times New Roman" w:hAnsi="Times New Roman" w:cs="Times New Roman"/>
          <w:sz w:val="22"/>
          <w:szCs w:val="22"/>
        </w:rPr>
        <w:t xml:space="preserve"> mužů). V</w:t>
      </w:r>
      <w:r w:rsidR="00EA537B" w:rsidRPr="00604D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537B" w:rsidRPr="00604DC7">
        <w:rPr>
          <w:rFonts w:ascii="Times New Roman" w:hAnsi="Times New Roman" w:cs="Times New Roman"/>
          <w:sz w:val="22"/>
          <w:szCs w:val="22"/>
        </w:rPr>
        <w:t>Milg</w:t>
      </w:r>
      <w:r w:rsidR="00E620D9" w:rsidRPr="00604DC7">
        <w:rPr>
          <w:rFonts w:ascii="Times New Roman" w:hAnsi="Times New Roman" w:cs="Times New Roman"/>
          <w:sz w:val="22"/>
          <w:szCs w:val="22"/>
        </w:rPr>
        <w:t>ramově</w:t>
      </w:r>
      <w:proofErr w:type="spellEnd"/>
      <w:r w:rsidR="00E620D9" w:rsidRPr="00604DC7">
        <w:rPr>
          <w:rFonts w:ascii="Times New Roman" w:hAnsi="Times New Roman" w:cs="Times New Roman"/>
          <w:sz w:val="22"/>
          <w:szCs w:val="22"/>
        </w:rPr>
        <w:t xml:space="preserve"> experimentu bylo 40 participantů. </w:t>
      </w:r>
      <w:r w:rsidR="00E826C7" w:rsidRPr="00604DC7">
        <w:rPr>
          <w:rFonts w:ascii="Times New Roman" w:hAnsi="Times New Roman" w:cs="Times New Roman"/>
          <w:sz w:val="22"/>
          <w:szCs w:val="22"/>
        </w:rPr>
        <w:t xml:space="preserve">Věk účastníků v tomto experimentu se pohyboval od </w:t>
      </w:r>
      <w:r w:rsidR="008C4E8C" w:rsidRPr="00604DC7">
        <w:rPr>
          <w:rFonts w:ascii="Times New Roman" w:hAnsi="Times New Roman" w:cs="Times New Roman"/>
          <w:sz w:val="22"/>
          <w:szCs w:val="22"/>
        </w:rPr>
        <w:t xml:space="preserve">20 do 81 let, průměrný věk byl </w:t>
      </w:r>
      <w:r w:rsidR="00E826C7" w:rsidRPr="00604DC7">
        <w:rPr>
          <w:rFonts w:ascii="Times New Roman" w:hAnsi="Times New Roman" w:cs="Times New Roman"/>
          <w:sz w:val="22"/>
          <w:szCs w:val="22"/>
        </w:rPr>
        <w:t xml:space="preserve">43 let. </w:t>
      </w:r>
    </w:p>
    <w:p w14:paraId="1C736CF4" w14:textId="77777777" w:rsidR="00EA537B" w:rsidRPr="00604DC7" w:rsidRDefault="00EA537B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2794BA" w14:textId="77777777" w:rsidR="00B7507D" w:rsidRPr="00604DC7" w:rsidRDefault="002A7609" w:rsidP="00B7507D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Měřilo se </w:t>
      </w:r>
      <w:r w:rsidR="00B17F32" w:rsidRPr="00604DC7">
        <w:rPr>
          <w:rFonts w:ascii="Times New Roman" w:hAnsi="Times New Roman" w:cs="Times New Roman"/>
          <w:sz w:val="22"/>
          <w:szCs w:val="22"/>
        </w:rPr>
        <w:t xml:space="preserve">procento participantů, kteří pokračovali v experimentu po zmáčknutí </w:t>
      </w:r>
      <w:proofErr w:type="gramStart"/>
      <w:r w:rsidR="00B17F32" w:rsidRPr="00604DC7">
        <w:rPr>
          <w:rFonts w:ascii="Times New Roman" w:hAnsi="Times New Roman" w:cs="Times New Roman"/>
          <w:sz w:val="22"/>
          <w:szCs w:val="22"/>
        </w:rPr>
        <w:t>150V</w:t>
      </w:r>
      <w:proofErr w:type="gramEnd"/>
      <w:r w:rsidR="00B17F32" w:rsidRPr="00604DC7">
        <w:rPr>
          <w:rFonts w:ascii="Times New Roman" w:hAnsi="Times New Roman" w:cs="Times New Roman"/>
          <w:sz w:val="22"/>
          <w:szCs w:val="22"/>
        </w:rPr>
        <w:t xml:space="preserve">. </w:t>
      </w:r>
      <w:r w:rsidRPr="00604DC7">
        <w:rPr>
          <w:rFonts w:ascii="Times New Roman" w:hAnsi="Times New Roman" w:cs="Times New Roman"/>
          <w:sz w:val="22"/>
          <w:szCs w:val="22"/>
        </w:rPr>
        <w:t xml:space="preserve">Dvě třetiny účastníků </w:t>
      </w:r>
      <w:r w:rsidR="00C40FE2" w:rsidRPr="00604DC7">
        <w:rPr>
          <w:rFonts w:ascii="Times New Roman" w:hAnsi="Times New Roman" w:cs="Times New Roman"/>
          <w:sz w:val="22"/>
          <w:szCs w:val="22"/>
        </w:rPr>
        <w:t>pokračoval</w:t>
      </w:r>
      <w:r w:rsidR="005163FE" w:rsidRPr="00604DC7">
        <w:rPr>
          <w:rFonts w:ascii="Times New Roman" w:hAnsi="Times New Roman" w:cs="Times New Roman"/>
          <w:sz w:val="22"/>
          <w:szCs w:val="22"/>
        </w:rPr>
        <w:t>y</w:t>
      </w:r>
      <w:r w:rsidR="00C40FE2" w:rsidRPr="00604DC7">
        <w:rPr>
          <w:rFonts w:ascii="Times New Roman" w:hAnsi="Times New Roman" w:cs="Times New Roman"/>
          <w:sz w:val="22"/>
          <w:szCs w:val="22"/>
        </w:rPr>
        <w:t xml:space="preserve"> za hranici 150V a musel</w:t>
      </w:r>
      <w:r w:rsidR="005163FE" w:rsidRPr="00604DC7">
        <w:rPr>
          <w:rFonts w:ascii="Times New Roman" w:hAnsi="Times New Roman" w:cs="Times New Roman"/>
          <w:sz w:val="22"/>
          <w:szCs w:val="22"/>
        </w:rPr>
        <w:t>y</w:t>
      </w:r>
      <w:r w:rsidR="00C40FE2" w:rsidRPr="00604DC7">
        <w:rPr>
          <w:rFonts w:ascii="Times New Roman" w:hAnsi="Times New Roman" w:cs="Times New Roman"/>
          <w:sz w:val="22"/>
          <w:szCs w:val="22"/>
        </w:rPr>
        <w:t xml:space="preserve"> být zastaven</w:t>
      </w:r>
      <w:r w:rsidR="005163FE" w:rsidRPr="00604DC7">
        <w:rPr>
          <w:rFonts w:ascii="Times New Roman" w:hAnsi="Times New Roman" w:cs="Times New Roman"/>
          <w:sz w:val="22"/>
          <w:szCs w:val="22"/>
        </w:rPr>
        <w:t>y</w:t>
      </w:r>
      <w:r w:rsidR="00A13177" w:rsidRPr="00604DC7">
        <w:rPr>
          <w:rFonts w:ascii="Times New Roman" w:hAnsi="Times New Roman" w:cs="Times New Roman"/>
          <w:sz w:val="22"/>
          <w:szCs w:val="22"/>
        </w:rPr>
        <w:t xml:space="preserve"> experimentátorem</w:t>
      </w:r>
      <w:r w:rsidR="004C6953" w:rsidRPr="00604DC7">
        <w:rPr>
          <w:rFonts w:ascii="Times New Roman" w:hAnsi="Times New Roman" w:cs="Times New Roman"/>
          <w:sz w:val="22"/>
          <w:szCs w:val="22"/>
        </w:rPr>
        <w:t xml:space="preserve">. Rozdíl </w:t>
      </w:r>
      <w:r w:rsidR="004C6953" w:rsidRPr="00604DC7">
        <w:rPr>
          <w:rFonts w:ascii="Times New Roman" w:hAnsi="Times New Roman" w:cs="Times New Roman"/>
          <w:sz w:val="22"/>
          <w:szCs w:val="22"/>
        </w:rPr>
        <w:lastRenderedPageBreak/>
        <w:t xml:space="preserve">v poslušnosti mezi účastníky první </w:t>
      </w:r>
      <w:r w:rsidR="00B7507D" w:rsidRPr="00604DC7">
        <w:rPr>
          <w:rFonts w:ascii="Times New Roman" w:hAnsi="Times New Roman" w:cs="Times New Roman"/>
          <w:sz w:val="22"/>
          <w:szCs w:val="22"/>
        </w:rPr>
        <w:t xml:space="preserve">a druhé části byl nepatrný. </w:t>
      </w:r>
      <w:r w:rsidR="00A13177" w:rsidRPr="00604DC7">
        <w:rPr>
          <w:rFonts w:ascii="Times New Roman" w:hAnsi="Times New Roman" w:cs="Times New Roman"/>
          <w:sz w:val="22"/>
          <w:szCs w:val="22"/>
        </w:rPr>
        <w:t>(viz příloha).</w:t>
      </w:r>
      <w:r w:rsidR="00E620D9" w:rsidRPr="00604DC7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="00E620D9" w:rsidRPr="00604DC7">
        <w:rPr>
          <w:rFonts w:ascii="Times New Roman" w:hAnsi="Times New Roman" w:cs="Times New Roman"/>
          <w:sz w:val="22"/>
          <w:szCs w:val="22"/>
        </w:rPr>
        <w:t>Milgramově</w:t>
      </w:r>
      <w:proofErr w:type="spellEnd"/>
      <w:r w:rsidR="00E620D9" w:rsidRPr="00604DC7">
        <w:rPr>
          <w:rFonts w:ascii="Times New Roman" w:hAnsi="Times New Roman" w:cs="Times New Roman"/>
          <w:sz w:val="22"/>
          <w:szCs w:val="22"/>
        </w:rPr>
        <w:t xml:space="preserve"> experimentu se jednalo o procentuálně vyšší číslo (</w:t>
      </w:r>
      <w:proofErr w:type="gramStart"/>
      <w:r w:rsidR="00E620D9" w:rsidRPr="00604DC7">
        <w:rPr>
          <w:rFonts w:ascii="Times New Roman" w:hAnsi="Times New Roman" w:cs="Times New Roman"/>
          <w:sz w:val="22"/>
          <w:szCs w:val="22"/>
        </w:rPr>
        <w:t>82</w:t>
      </w:r>
      <w:commentRangeStart w:id="0"/>
      <w:r w:rsidR="00E620D9" w:rsidRPr="00604DC7">
        <w:rPr>
          <w:rFonts w:ascii="Times New Roman" w:hAnsi="Times New Roman" w:cs="Times New Roman"/>
          <w:sz w:val="22"/>
          <w:szCs w:val="22"/>
        </w:rPr>
        <w:t>,5%</w:t>
      </w:r>
      <w:proofErr w:type="gramEnd"/>
      <w:r w:rsidR="00E620D9" w:rsidRPr="00604DC7">
        <w:rPr>
          <w:rFonts w:ascii="Times New Roman" w:hAnsi="Times New Roman" w:cs="Times New Roman"/>
          <w:sz w:val="22"/>
          <w:szCs w:val="22"/>
        </w:rPr>
        <w:t xml:space="preserve">). </w:t>
      </w:r>
      <w:commentRangeEnd w:id="0"/>
      <w:r w:rsidR="0053102C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 w:rsidR="00E620D9" w:rsidRPr="00604DC7">
        <w:rPr>
          <w:rFonts w:ascii="Times New Roman" w:hAnsi="Times New Roman" w:cs="Times New Roman"/>
          <w:sz w:val="22"/>
          <w:szCs w:val="22"/>
        </w:rPr>
        <w:t xml:space="preserve">Rozdíl mezi ženami </w:t>
      </w:r>
      <w:r w:rsidR="00BA2043" w:rsidRPr="00604DC7">
        <w:rPr>
          <w:rFonts w:ascii="Times New Roman" w:hAnsi="Times New Roman" w:cs="Times New Roman"/>
          <w:sz w:val="22"/>
          <w:szCs w:val="22"/>
        </w:rPr>
        <w:t xml:space="preserve">a muži </w:t>
      </w:r>
      <w:r w:rsidR="00E620D9" w:rsidRPr="00604DC7">
        <w:rPr>
          <w:rFonts w:ascii="Times New Roman" w:hAnsi="Times New Roman" w:cs="Times New Roman"/>
          <w:sz w:val="22"/>
          <w:szCs w:val="22"/>
        </w:rPr>
        <w:t xml:space="preserve">byl nepatrný. </w:t>
      </w:r>
      <w:r w:rsidR="00B7507D" w:rsidRPr="00604DC7">
        <w:rPr>
          <w:rFonts w:ascii="Times New Roman" w:hAnsi="Times New Roman" w:cs="Times New Roman"/>
          <w:sz w:val="22"/>
          <w:szCs w:val="22"/>
        </w:rPr>
        <w:t xml:space="preserve">Etnicita, věk nebo stupeň vzdělání nehrály v tomto experimentu žádnou roli.   </w:t>
      </w:r>
    </w:p>
    <w:p w14:paraId="70816402" w14:textId="77777777" w:rsidR="00DE3217" w:rsidRPr="00604DC7" w:rsidRDefault="00DE3217" w:rsidP="001A589E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E682A9" w14:textId="77777777" w:rsidR="00BA7F19" w:rsidRPr="00604DC7" w:rsidRDefault="00780F17" w:rsidP="00747415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Dále se zkoumal vztah mezi mírou poslušnosti v experimentu a skóre dvou </w:t>
      </w:r>
      <w:r w:rsidR="00747415" w:rsidRPr="00604DC7">
        <w:rPr>
          <w:rFonts w:ascii="Times New Roman" w:hAnsi="Times New Roman" w:cs="Times New Roman"/>
          <w:sz w:val="22"/>
          <w:szCs w:val="22"/>
        </w:rPr>
        <w:t xml:space="preserve">naměřených </w:t>
      </w:r>
      <w:r w:rsidRPr="00604DC7">
        <w:rPr>
          <w:rFonts w:ascii="Times New Roman" w:hAnsi="Times New Roman" w:cs="Times New Roman"/>
          <w:sz w:val="22"/>
          <w:szCs w:val="22"/>
        </w:rPr>
        <w:t xml:space="preserve">osobnostních </w:t>
      </w:r>
      <w:proofErr w:type="gramStart"/>
      <w:r w:rsidRPr="00604DC7">
        <w:rPr>
          <w:rFonts w:ascii="Times New Roman" w:hAnsi="Times New Roman" w:cs="Times New Roman"/>
          <w:sz w:val="22"/>
          <w:szCs w:val="22"/>
        </w:rPr>
        <w:t>rysů - empatie</w:t>
      </w:r>
      <w:proofErr w:type="gramEnd"/>
      <w:r w:rsidRPr="00604DC7">
        <w:rPr>
          <w:rFonts w:ascii="Times New Roman" w:hAnsi="Times New Roman" w:cs="Times New Roman"/>
          <w:sz w:val="22"/>
          <w:szCs w:val="22"/>
        </w:rPr>
        <w:t xml:space="preserve"> a tou</w:t>
      </w:r>
      <w:r w:rsidR="00BA7F19" w:rsidRPr="00604DC7">
        <w:rPr>
          <w:rFonts w:ascii="Times New Roman" w:hAnsi="Times New Roman" w:cs="Times New Roman"/>
          <w:sz w:val="22"/>
          <w:szCs w:val="22"/>
        </w:rPr>
        <w:t>ze</w:t>
      </w:r>
      <w:r w:rsidRPr="00604DC7">
        <w:rPr>
          <w:rFonts w:ascii="Times New Roman" w:hAnsi="Times New Roman" w:cs="Times New Roman"/>
          <w:sz w:val="22"/>
          <w:szCs w:val="22"/>
        </w:rPr>
        <w:t xml:space="preserve"> po kontrole. </w:t>
      </w:r>
      <w:r w:rsidR="00BA7F19" w:rsidRPr="00604DC7">
        <w:rPr>
          <w:rFonts w:ascii="Times New Roman" w:hAnsi="Times New Roman" w:cs="Times New Roman"/>
          <w:sz w:val="22"/>
          <w:szCs w:val="22"/>
        </w:rPr>
        <w:t xml:space="preserve">Skóre empatie bylo zhruba stejné u participantů, kteří pokračovali za hranici </w:t>
      </w:r>
      <w:proofErr w:type="gramStart"/>
      <w:r w:rsidR="00BA7F19" w:rsidRPr="00604DC7">
        <w:rPr>
          <w:rFonts w:ascii="Times New Roman" w:hAnsi="Times New Roman" w:cs="Times New Roman"/>
          <w:sz w:val="22"/>
          <w:szCs w:val="22"/>
        </w:rPr>
        <w:t>150V</w:t>
      </w:r>
      <w:proofErr w:type="gramEnd"/>
      <w:r w:rsidR="00747415" w:rsidRPr="00604DC7">
        <w:rPr>
          <w:rFonts w:ascii="Times New Roman" w:hAnsi="Times New Roman" w:cs="Times New Roman"/>
          <w:sz w:val="22"/>
          <w:szCs w:val="22"/>
        </w:rPr>
        <w:t>,</w:t>
      </w:r>
      <w:r w:rsidR="00BA7F19" w:rsidRPr="00604DC7">
        <w:rPr>
          <w:rFonts w:ascii="Times New Roman" w:hAnsi="Times New Roman" w:cs="Times New Roman"/>
          <w:sz w:val="22"/>
          <w:szCs w:val="22"/>
        </w:rPr>
        <w:t xml:space="preserve"> i u těch, kteří za tuto hranici nešli. </w:t>
      </w:r>
      <w:commentRangeStart w:id="1"/>
      <w:r w:rsidR="00747415" w:rsidRPr="00604DC7">
        <w:rPr>
          <w:rFonts w:ascii="Times New Roman" w:hAnsi="Times New Roman" w:cs="Times New Roman"/>
          <w:sz w:val="22"/>
          <w:szCs w:val="22"/>
        </w:rPr>
        <w:t xml:space="preserve">Participanti, kteří se zastavili na hranici </w:t>
      </w:r>
      <w:proofErr w:type="gramStart"/>
      <w:r w:rsidR="00747415" w:rsidRPr="00604DC7">
        <w:rPr>
          <w:rFonts w:ascii="Times New Roman" w:hAnsi="Times New Roman" w:cs="Times New Roman"/>
          <w:sz w:val="22"/>
          <w:szCs w:val="22"/>
        </w:rPr>
        <w:t>150V</w:t>
      </w:r>
      <w:proofErr w:type="gramEnd"/>
      <w:r w:rsidR="00747415" w:rsidRPr="00604DC7">
        <w:rPr>
          <w:rFonts w:ascii="Times New Roman" w:hAnsi="Times New Roman" w:cs="Times New Roman"/>
          <w:sz w:val="22"/>
          <w:szCs w:val="22"/>
        </w:rPr>
        <w:t xml:space="preserve"> či níže, měli vyšší skóre v touze po kontrole. </w:t>
      </w:r>
      <w:commentRangeEnd w:id="1"/>
      <w:r w:rsidR="0053102C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</w:p>
    <w:p w14:paraId="5C2F5074" w14:textId="77777777" w:rsidR="00B4470E" w:rsidRPr="00604DC7" w:rsidRDefault="00B4470E" w:rsidP="00747415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2E61C9" w14:textId="77777777" w:rsidR="00B4470E" w:rsidRPr="00604DC7" w:rsidRDefault="00B4470E" w:rsidP="005163FE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Hlavním zjištěním experimentu byl fakt, že lidé jsou i dnes schopni poslechnout autoritu nehledě na </w:t>
      </w:r>
      <w:r w:rsidR="002D0B0F" w:rsidRPr="00604DC7">
        <w:rPr>
          <w:rFonts w:ascii="Times New Roman" w:hAnsi="Times New Roman" w:cs="Times New Roman"/>
          <w:sz w:val="22"/>
          <w:szCs w:val="22"/>
        </w:rPr>
        <w:t>to</w:t>
      </w:r>
      <w:r w:rsidRPr="00604DC7">
        <w:rPr>
          <w:rFonts w:ascii="Times New Roman" w:hAnsi="Times New Roman" w:cs="Times New Roman"/>
          <w:sz w:val="22"/>
          <w:szCs w:val="22"/>
        </w:rPr>
        <w:t xml:space="preserve">, že by tím mohli poškodit další osobu. Dvě třetiny lidí v tomto i </w:t>
      </w:r>
      <w:proofErr w:type="spellStart"/>
      <w:r w:rsidRPr="00604DC7">
        <w:rPr>
          <w:rFonts w:ascii="Times New Roman" w:hAnsi="Times New Roman" w:cs="Times New Roman"/>
          <w:sz w:val="22"/>
          <w:szCs w:val="22"/>
        </w:rPr>
        <w:t>Milgramově</w:t>
      </w:r>
      <w:proofErr w:type="spellEnd"/>
      <w:r w:rsidRPr="00604DC7">
        <w:rPr>
          <w:rFonts w:ascii="Times New Roman" w:hAnsi="Times New Roman" w:cs="Times New Roman"/>
          <w:sz w:val="22"/>
          <w:szCs w:val="22"/>
        </w:rPr>
        <w:t xml:space="preserve"> experimentu poslechlo autoritu, i když věděli</w:t>
      </w:r>
      <w:r w:rsidR="00A324C9" w:rsidRPr="00604DC7">
        <w:rPr>
          <w:rFonts w:ascii="Times New Roman" w:hAnsi="Times New Roman" w:cs="Times New Roman"/>
          <w:sz w:val="22"/>
          <w:szCs w:val="22"/>
        </w:rPr>
        <w:t>, že jejich společník trpí. I po čtyřiceti pěti letech se dv</w:t>
      </w:r>
      <w:r w:rsidR="00E826C7" w:rsidRPr="00604DC7">
        <w:rPr>
          <w:rFonts w:ascii="Times New Roman" w:hAnsi="Times New Roman" w:cs="Times New Roman"/>
          <w:sz w:val="22"/>
          <w:szCs w:val="22"/>
        </w:rPr>
        <w:t>ě třetiny participantů zachovaly</w:t>
      </w:r>
      <w:r w:rsidR="00A324C9" w:rsidRPr="00604DC7">
        <w:rPr>
          <w:rFonts w:ascii="Times New Roman" w:hAnsi="Times New Roman" w:cs="Times New Roman"/>
          <w:sz w:val="22"/>
          <w:szCs w:val="22"/>
        </w:rPr>
        <w:t xml:space="preserve"> v experimentu poslušnosti stejně. Odpověď na </w:t>
      </w:r>
      <w:r w:rsidR="00E826C7" w:rsidRPr="00604DC7">
        <w:rPr>
          <w:rFonts w:ascii="Times New Roman" w:hAnsi="Times New Roman" w:cs="Times New Roman"/>
          <w:sz w:val="22"/>
          <w:szCs w:val="22"/>
        </w:rPr>
        <w:t>otázku</w:t>
      </w:r>
      <w:r w:rsidR="00A324C9" w:rsidRPr="00604DC7">
        <w:rPr>
          <w:rFonts w:ascii="Times New Roman" w:hAnsi="Times New Roman" w:cs="Times New Roman"/>
          <w:sz w:val="22"/>
          <w:szCs w:val="22"/>
        </w:rPr>
        <w:t xml:space="preserve">, zda by lidé i dnes uposlechli autoritu, je tudíž jasná. </w:t>
      </w:r>
      <w:r w:rsidRPr="00604DC7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46A2838" w14:textId="77777777" w:rsidR="001A589E" w:rsidRPr="00604DC7" w:rsidRDefault="001A589E" w:rsidP="00747415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95E222" w14:textId="77777777" w:rsidR="00747415" w:rsidRPr="00604DC7" w:rsidRDefault="00747415" w:rsidP="00747415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10FA82" w14:textId="77777777" w:rsidR="00E620D9" w:rsidRPr="00604DC7" w:rsidRDefault="00A13177" w:rsidP="00666F70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4DC7">
        <w:rPr>
          <w:rFonts w:ascii="Times New Roman" w:hAnsi="Times New Roman" w:cs="Times New Roman"/>
          <w:sz w:val="22"/>
          <w:szCs w:val="22"/>
        </w:rPr>
        <w:t xml:space="preserve"> příloha:</w:t>
      </w:r>
    </w:p>
    <w:p w14:paraId="726723FE" w14:textId="77777777" w:rsidR="00E620D9" w:rsidRPr="00604DC7" w:rsidRDefault="00E620D9" w:rsidP="00666F70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DCAE26" w14:textId="77777777" w:rsidR="00666F70" w:rsidRPr="00604DC7" w:rsidRDefault="006260C0" w:rsidP="00666F70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commentRangeStart w:id="2"/>
      <w:r w:rsidRPr="00604DC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CC66A95" wp14:editId="62F3BECD">
            <wp:extent cx="4572000" cy="27432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commentRangeEnd w:id="2"/>
      <w:r w:rsidR="002C33C3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</w:p>
    <w:p w14:paraId="2211D0C8" w14:textId="77777777" w:rsidR="004C6953" w:rsidRPr="00604DC7" w:rsidRDefault="004C6953" w:rsidP="00666F70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commentRangeStart w:id="3"/>
      <w:r w:rsidRPr="00604DC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BEBB53C" wp14:editId="5C9494D0">
            <wp:extent cx="4572000" cy="2743200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commentRangeEnd w:id="3"/>
      <w:r w:rsidR="002C33C3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</w:p>
    <w:p w14:paraId="20834E91" w14:textId="77777777" w:rsidR="00EA0359" w:rsidRPr="00604DC7" w:rsidRDefault="00EA0359" w:rsidP="00D0183A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69D635" w14:textId="77777777" w:rsidR="00EA537B" w:rsidRPr="00604DC7" w:rsidRDefault="00EA537B">
      <w:pPr>
        <w:pStyle w:val="Formtovanv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4B9EAC" w14:textId="77777777" w:rsidR="00A13177" w:rsidRPr="00604DC7" w:rsidRDefault="00A13177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4DC7">
        <w:rPr>
          <w:rFonts w:ascii="Times New Roman" w:eastAsia="Times New Roman" w:hAnsi="Times New Roman" w:cs="Times New Roman"/>
          <w:lang w:eastAsia="cs-CZ"/>
        </w:rPr>
        <w:t>zdroje:</w:t>
      </w:r>
    </w:p>
    <w:p w14:paraId="53130A25" w14:textId="77777777" w:rsidR="00A13177" w:rsidRPr="00604DC7" w:rsidRDefault="00A13177" w:rsidP="00A13177">
      <w:pPr>
        <w:spacing w:after="0" w:line="240" w:lineRule="auto"/>
        <w:rPr>
          <w:rFonts w:ascii="Times New Roman" w:eastAsia="Times New Roman" w:hAnsi="Times New Roman" w:cs="Times New Roman"/>
          <w:sz w:val="10"/>
          <w:lang w:eastAsia="cs-CZ"/>
        </w:rPr>
      </w:pPr>
    </w:p>
    <w:p w14:paraId="1C79093B" w14:textId="77777777" w:rsidR="00A13177" w:rsidRPr="00604DC7" w:rsidRDefault="00A13177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4DC7">
        <w:rPr>
          <w:rFonts w:ascii="Times New Roman" w:eastAsia="Times New Roman" w:hAnsi="Times New Roman" w:cs="Times New Roman"/>
          <w:lang w:eastAsia="cs-CZ"/>
        </w:rPr>
        <w:t xml:space="preserve">Burger, J. M. (2009).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Replicating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Milgram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Would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people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still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obey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lang w:eastAsia="cs-CZ"/>
        </w:rPr>
        <w:t>today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? </w:t>
      </w:r>
      <w:proofErr w:type="spellStart"/>
      <w:r w:rsidRPr="00604DC7">
        <w:rPr>
          <w:rFonts w:ascii="Times New Roman" w:eastAsia="Times New Roman" w:hAnsi="Times New Roman" w:cs="Times New Roman"/>
          <w:i/>
          <w:lang w:eastAsia="cs-CZ"/>
        </w:rPr>
        <w:t>American</w:t>
      </w:r>
      <w:proofErr w:type="spellEnd"/>
      <w:r w:rsidRPr="00604DC7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604DC7">
        <w:rPr>
          <w:rFonts w:ascii="Times New Roman" w:eastAsia="Times New Roman" w:hAnsi="Times New Roman" w:cs="Times New Roman"/>
          <w:i/>
          <w:lang w:eastAsia="cs-CZ"/>
        </w:rPr>
        <w:t>Psychologist</w:t>
      </w:r>
      <w:proofErr w:type="spellEnd"/>
      <w:r w:rsidRPr="00604DC7">
        <w:rPr>
          <w:rFonts w:ascii="Times New Roman" w:eastAsia="Times New Roman" w:hAnsi="Times New Roman" w:cs="Times New Roman"/>
          <w:lang w:eastAsia="cs-CZ"/>
        </w:rPr>
        <w:t xml:space="preserve">, 64(1), 1-11. </w:t>
      </w:r>
    </w:p>
    <w:p w14:paraId="6A63E377" w14:textId="77777777" w:rsidR="00A13177" w:rsidRPr="00604DC7" w:rsidRDefault="002C33C3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0" w:tgtFrame="_blank" w:history="1">
        <w:r w:rsidR="00A13177" w:rsidRPr="00604DC7">
          <w:rPr>
            <w:rFonts w:ascii="Times New Roman" w:eastAsia="Times New Roman" w:hAnsi="Times New Roman" w:cs="Times New Roman"/>
            <w:lang w:eastAsia="cs-CZ"/>
          </w:rPr>
          <w:t>http://dx.doi.org/10.1037/a0010932</w:t>
        </w:r>
      </w:hyperlink>
      <w:r w:rsidR="00A13177" w:rsidRPr="00604DC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51A2D91" w14:textId="77777777" w:rsidR="00A13177" w:rsidRDefault="00A13177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52C548" w14:textId="77777777" w:rsidR="002C33C3" w:rsidRDefault="002C33C3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A671814" w14:textId="77777777" w:rsidR="002C33C3" w:rsidRDefault="002C33C3" w:rsidP="00A131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135E3B" w14:textId="77777777" w:rsidR="002C33C3" w:rsidRPr="002C33C3" w:rsidRDefault="002C33C3" w:rsidP="00A1317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bookmarkStart w:id="4" w:name="_GoBack"/>
      <w:r w:rsidRPr="002C33C3">
        <w:rPr>
          <w:rFonts w:ascii="Times New Roman" w:eastAsia="Times New Roman" w:hAnsi="Times New Roman" w:cs="Times New Roman"/>
          <w:i/>
          <w:lang w:eastAsia="cs-CZ"/>
        </w:rPr>
        <w:t>Práci přijímám.</w:t>
      </w:r>
    </w:p>
    <w:p w14:paraId="7212C24A" w14:textId="77777777" w:rsidR="002C33C3" w:rsidRPr="002C33C3" w:rsidRDefault="002C33C3" w:rsidP="00A1317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2C33C3">
        <w:rPr>
          <w:rFonts w:ascii="Times New Roman" w:eastAsia="Times New Roman" w:hAnsi="Times New Roman" w:cs="Times New Roman"/>
          <w:i/>
          <w:lang w:eastAsia="cs-CZ"/>
        </w:rPr>
        <w:t>SJ</w:t>
      </w:r>
      <w:bookmarkEnd w:id="4"/>
    </w:p>
    <w:sectPr w:rsidR="002C33C3" w:rsidRPr="002C33C3" w:rsidSect="0069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islav Ježek" w:date="2019-06-06T15:09:00Z" w:initials="SJ">
    <w:p w14:paraId="4B1DDD7B" w14:textId="77777777" w:rsidR="0053102C" w:rsidRDefault="0053102C">
      <w:pPr>
        <w:pStyle w:val="Textkomente"/>
      </w:pPr>
      <w:r>
        <w:rPr>
          <w:rStyle w:val="Odkaznakoment"/>
        </w:rPr>
        <w:annotationRef/>
      </w:r>
      <w:r>
        <w:t>Ty desetiny nejsou nutné.</w:t>
      </w:r>
    </w:p>
  </w:comment>
  <w:comment w:id="1" w:author="Stanislav Ježek" w:date="2019-06-06T15:09:00Z" w:initials="SJ">
    <w:p w14:paraId="53C6A36E" w14:textId="77777777" w:rsidR="0053102C" w:rsidRDefault="0053102C">
      <w:pPr>
        <w:pStyle w:val="Textkomente"/>
      </w:pPr>
      <w:r>
        <w:rPr>
          <w:rStyle w:val="Odkaznakoment"/>
        </w:rPr>
        <w:annotationRef/>
      </w:r>
      <w:r>
        <w:t>Myslím, že ne.</w:t>
      </w:r>
      <w:r w:rsidR="002C33C3">
        <w:t xml:space="preserve"> Pozor na výsledky statistických testů.</w:t>
      </w:r>
    </w:p>
  </w:comment>
  <w:comment w:id="2" w:author="Stanislav Ježek" w:date="2019-06-06T15:09:00Z" w:initials="SJ">
    <w:p w14:paraId="06789472" w14:textId="77777777" w:rsidR="002C33C3" w:rsidRDefault="002C33C3">
      <w:pPr>
        <w:pStyle w:val="Textkomente"/>
      </w:pPr>
      <w:r>
        <w:rPr>
          <w:rStyle w:val="Odkaznakoment"/>
        </w:rPr>
        <w:annotationRef/>
      </w:r>
      <w:r>
        <w:t>Velký prostor vyhrazený pro prezentaci jednoho čísla.</w:t>
      </w:r>
    </w:p>
  </w:comment>
  <w:comment w:id="3" w:author="Stanislav Ježek" w:date="2019-06-06T15:11:00Z" w:initials="SJ">
    <w:p w14:paraId="5AE398F4" w14:textId="77777777" w:rsidR="002C33C3" w:rsidRDefault="002C33C3">
      <w:pPr>
        <w:pStyle w:val="Textkomente"/>
      </w:pPr>
      <w:r>
        <w:rPr>
          <w:rStyle w:val="Odkaznakoment"/>
        </w:rPr>
        <w:annotationRef/>
      </w:r>
      <w:r>
        <w:t>Prima. Jen bych odstranil to „Řada1“-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1DDD7B" w15:done="0"/>
  <w15:commentEx w15:paraId="53C6A36E" w15:done="0"/>
  <w15:commentEx w15:paraId="06789472" w15:done="0"/>
  <w15:commentEx w15:paraId="5AE398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DDD7B" w16cid:durableId="20A3AB0D"/>
  <w16cid:commentId w16cid:paraId="53C6A36E" w16cid:durableId="20A3AB26"/>
  <w16cid:commentId w16cid:paraId="06789472" w16cid:durableId="20A3AB40"/>
  <w16cid:commentId w16cid:paraId="5AE398F4" w16cid:durableId="20A3AB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lav Ježek">
    <w15:presenceInfo w15:providerId="None" w15:userId="Stanislav Je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100"/>
    <w:rsid w:val="00184BE2"/>
    <w:rsid w:val="00194150"/>
    <w:rsid w:val="001973BB"/>
    <w:rsid w:val="001A589E"/>
    <w:rsid w:val="002A7609"/>
    <w:rsid w:val="002C33C3"/>
    <w:rsid w:val="002C4F15"/>
    <w:rsid w:val="002D0B0F"/>
    <w:rsid w:val="0034364D"/>
    <w:rsid w:val="003A65D8"/>
    <w:rsid w:val="004C6953"/>
    <w:rsid w:val="00510E1F"/>
    <w:rsid w:val="005163FE"/>
    <w:rsid w:val="0053102C"/>
    <w:rsid w:val="005C74BE"/>
    <w:rsid w:val="005E5F69"/>
    <w:rsid w:val="00604DC7"/>
    <w:rsid w:val="006260C0"/>
    <w:rsid w:val="00666F70"/>
    <w:rsid w:val="00696293"/>
    <w:rsid w:val="00696522"/>
    <w:rsid w:val="00747415"/>
    <w:rsid w:val="00767020"/>
    <w:rsid w:val="00780F17"/>
    <w:rsid w:val="007A0DE9"/>
    <w:rsid w:val="008A005D"/>
    <w:rsid w:val="008B1806"/>
    <w:rsid w:val="008C4E8C"/>
    <w:rsid w:val="008E4674"/>
    <w:rsid w:val="00A13177"/>
    <w:rsid w:val="00A324C9"/>
    <w:rsid w:val="00A64001"/>
    <w:rsid w:val="00A6600A"/>
    <w:rsid w:val="00B17F32"/>
    <w:rsid w:val="00B4470E"/>
    <w:rsid w:val="00B7507D"/>
    <w:rsid w:val="00BA2043"/>
    <w:rsid w:val="00BA7F19"/>
    <w:rsid w:val="00BF2100"/>
    <w:rsid w:val="00C40FE2"/>
    <w:rsid w:val="00CA34F6"/>
    <w:rsid w:val="00D0183A"/>
    <w:rsid w:val="00D5326E"/>
    <w:rsid w:val="00DE3217"/>
    <w:rsid w:val="00E346D3"/>
    <w:rsid w:val="00E47D54"/>
    <w:rsid w:val="00E620D9"/>
    <w:rsid w:val="00E826C7"/>
    <w:rsid w:val="00EA0359"/>
    <w:rsid w:val="00EA061B"/>
    <w:rsid w:val="00EA537B"/>
    <w:rsid w:val="00ED4CF0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8C0"/>
  <w15:docId w15:val="{A9672D59-44A1-454D-9EBD-A63CC0E7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522"/>
  </w:style>
  <w:style w:type="paragraph" w:styleId="Nadpis2">
    <w:name w:val="heading 2"/>
    <w:basedOn w:val="Normln"/>
    <w:link w:val="Nadpis2Char"/>
    <w:uiPriority w:val="9"/>
    <w:qFormat/>
    <w:rsid w:val="00343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BF2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F21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0C0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1317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13177"/>
    <w:rPr>
      <w:color w:val="0000FF"/>
      <w:u w:val="single"/>
    </w:rPr>
  </w:style>
  <w:style w:type="table" w:styleId="Mkatabulky">
    <w:name w:val="Table Grid"/>
    <w:basedOn w:val="Normlntabulka"/>
    <w:uiPriority w:val="39"/>
    <w:rsid w:val="0034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436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10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0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0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0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psycnet.apa.org/doi/10.1037/a0010932" TargetMode="Externa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Replikace Milgramova experimentu</a:t>
            </a:r>
          </a:p>
          <a:p>
            <a:pPr>
              <a:defRPr/>
            </a:pPr>
            <a:endParaRPr lang="cs-CZ" sz="400"/>
          </a:p>
          <a:p>
            <a:pPr>
              <a:defRPr/>
            </a:pPr>
            <a:r>
              <a:rPr lang="cs-CZ" sz="1200" b="0"/>
              <a:t>(první část experimentu)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List1!$A$5:$A$6</c:f>
              <c:strCache>
                <c:ptCount val="2"/>
                <c:pt idx="0">
                  <c:v>pokračovali nad hranici 150V</c:v>
                </c:pt>
                <c:pt idx="1">
                  <c:v>nepřekročili hranici 150V</c:v>
                </c:pt>
              </c:strCache>
            </c:strRef>
          </c:cat>
          <c:val>
            <c:numRef>
              <c:f>List1!$B$5:$B$6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F-4CB5-BD05-CF4A8DFDAB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600"/>
              <a:t>Porovnání participantů,</a:t>
            </a:r>
            <a:r>
              <a:rPr lang="cs-CZ" sz="1600" baseline="0"/>
              <a:t> kteří pokračovali za hranici 150 V</a:t>
            </a:r>
            <a:endParaRPr lang="cs-CZ" sz="16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List1!$A$1:$A$3</c:f>
              <c:strCache>
                <c:ptCount val="3"/>
                <c:pt idx="0">
                  <c:v>první část</c:v>
                </c:pt>
                <c:pt idx="1">
                  <c:v>druhá část</c:v>
                </c:pt>
                <c:pt idx="2">
                  <c:v>Milgramův původní experiment</c:v>
                </c:pt>
              </c:strCache>
            </c:strRef>
          </c:cat>
          <c:val>
            <c:numRef>
              <c:f>List1!$B$1:$B$3</c:f>
              <c:numCache>
                <c:formatCode>0%</c:formatCode>
                <c:ptCount val="3"/>
                <c:pt idx="0">
                  <c:v>0.70000000000000018</c:v>
                </c:pt>
                <c:pt idx="1">
                  <c:v>0.63000000000000023</c:v>
                </c:pt>
                <c:pt idx="2" formatCode="0.00%">
                  <c:v>0.82500000000000018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1-48FA-A50C-59E864A32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89148800"/>
        <c:axId val="89187456"/>
      </c:barChart>
      <c:catAx>
        <c:axId val="8914880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9187456"/>
        <c:crosses val="autoZero"/>
        <c:auto val="1"/>
        <c:lblAlgn val="ctr"/>
        <c:lblOffset val="100"/>
        <c:noMultiLvlLbl val="0"/>
      </c:catAx>
      <c:valAx>
        <c:axId val="89187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9148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Stanislav Ježek</cp:lastModifiedBy>
  <cp:revision>3</cp:revision>
  <dcterms:created xsi:type="dcterms:W3CDTF">2019-05-07T18:36:00Z</dcterms:created>
  <dcterms:modified xsi:type="dcterms:W3CDTF">2019-06-06T13:12:00Z</dcterms:modified>
</cp:coreProperties>
</file>