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Celkově můžete získat 100 bodů, 15 za každou rozpravu a 70 za závěrečnou seminární práci (45 za analýzu komodity a 25 za profil korporace).  </w:t>
      </w:r>
    </w:p>
    <w:tbl>
      <w:tblPr>
        <w:tblStyle w:val="Table1"/>
        <w:tblW w:w="7301.0" w:type="dxa"/>
        <w:jc w:val="left"/>
        <w:tblInd w:w="0.0" w:type="dxa"/>
        <w:tblBorders>
          <w:top w:color="cccccc" w:space="0" w:sz="6" w:val="single"/>
          <w:left w:color="cccccc" w:space="0" w:sz="6" w:val="single"/>
          <w:bottom w:color="cccccc" w:space="0" w:sz="18" w:val="single"/>
          <w:right w:color="cccccc" w:space="0" w:sz="6" w:val="single"/>
        </w:tblBorders>
        <w:tblLayout w:type="fixed"/>
        <w:tblLook w:val="0400"/>
      </w:tblPr>
      <w:tblGrid>
        <w:gridCol w:w="1484"/>
        <w:gridCol w:w="1288"/>
        <w:gridCol w:w="4529"/>
        <w:tblGridChange w:id="0">
          <w:tblGrid>
            <w:gridCol w:w="1484"/>
            <w:gridCol w:w="1288"/>
            <w:gridCol w:w="45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60.0" w:type="dxa"/>
              <w:left w:w="45.0" w:type="dxa"/>
              <w:bottom w:w="6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color w:val="1e535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e5351"/>
                <w:rtl w:val="0"/>
              </w:rPr>
              <w:t xml:space="preserve">Stupně ECTS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60.0" w:type="dxa"/>
              <w:left w:w="45.0" w:type="dxa"/>
              <w:bottom w:w="6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color w:val="1e535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e5351"/>
                <w:rtl w:val="0"/>
              </w:rPr>
              <w:t xml:space="preserve">Počet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60.0" w:type="dxa"/>
              <w:left w:w="45.0" w:type="dxa"/>
              <w:bottom w:w="6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color w:val="1e535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e5351"/>
                <w:rtl w:val="0"/>
              </w:rPr>
              <w:t xml:space="preserve">Definice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90 - 100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vynikající výkon pouze s drobnými chybami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80 - 89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nadprůměrný výkon avšak s určitými chybami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70 - 79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celkově dobrý výkon s řadou výrazných chyb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60 - 69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přijatelný výkon, ale se značnými nedostatky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50 - 59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výkon splňuje minimální požadavky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0 - 49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dfdfe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zapotřebí značné množství další práce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7D4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46B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6gbFQqL/U3GUurtQcrSsv0rGA==">AMUW2mWItK315Yg9Uty/CRI64VK8Z2RqQsCHW4tlw0BWuqHeLkRD4WRzDbr3K9S3/6/UM7TRQAtIXe5Op5sB8fdTNks4QESfGow372oEbx1eu3DtN2IbXgg=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2021-07-05T07:46:00Z</dcterms:created>
  <dc:creator>Monika Metykova</dc:creator>
</cp:coreProperties>
</file>