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Inter" w:cs="Inter" w:eastAsia="Inter" w:hAnsi="Inter"/>
          <w:b w:val="1"/>
          <w:sz w:val="30"/>
          <w:szCs w:val="30"/>
        </w:rPr>
      </w:pPr>
      <w:r w:rsidDel="00000000" w:rsidR="00000000" w:rsidRPr="00000000">
        <w:rPr>
          <w:rFonts w:ascii="Inter" w:cs="Inter" w:eastAsia="Inter" w:hAnsi="Inter"/>
          <w:b w:val="1"/>
          <w:sz w:val="30"/>
          <w:szCs w:val="30"/>
          <w:rtl w:val="0"/>
        </w:rPr>
        <w:t xml:space="preserve">Podpora pro začínající učitele pomůže řešit kritický nedostatek pedagogů ve školách</w:t>
      </w:r>
    </w:p>
    <w:p w:rsidR="00000000" w:rsidDel="00000000" w:rsidP="00000000" w:rsidRDefault="00000000" w:rsidRPr="00000000" w14:paraId="00000002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Začínající učitelé nemají dostatečnou podporu, proto často odcházejí ze školství</w:t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V České republice chybí až šest tisíc kvalifikovaných učitelů a v krajích jako je Karlovarský nebo Ústecký tento nedostatek vážně ohrožuje chod škol</w:t>
      </w:r>
      <w:r w:rsidDel="00000000" w:rsidR="00000000" w:rsidRPr="00000000">
        <w:rPr>
          <w:rFonts w:ascii="Inter" w:cs="Inter" w:eastAsia="Inter" w:hAnsi="Inter"/>
          <w:vertAlign w:val="superscript"/>
        </w:rPr>
        <w:footnoteReference w:customMarkFollows="0" w:id="0"/>
      </w:r>
      <w:r w:rsidDel="00000000" w:rsidR="00000000" w:rsidRPr="00000000">
        <w:rPr>
          <w:rFonts w:ascii="Inter" w:cs="Inter" w:eastAsia="Inter" w:hAnsi="Inter"/>
          <w:rtl w:val="0"/>
        </w:rPr>
        <w:t xml:space="preserve">. A co víc, přibližně 60 % učitelů základních škol je ohroženo syndromem vyhoření</w:t>
      </w:r>
      <w:r w:rsidDel="00000000" w:rsidR="00000000" w:rsidRPr="00000000">
        <w:rPr>
          <w:rFonts w:ascii="Inter" w:cs="Inter" w:eastAsia="Inter" w:hAnsi="Inter"/>
          <w:vertAlign w:val="superscript"/>
        </w:rPr>
        <w:footnoteReference w:customMarkFollows="0" w:id="1"/>
      </w:r>
      <w:r w:rsidDel="00000000" w:rsidR="00000000" w:rsidRPr="00000000">
        <w:rPr>
          <w:rFonts w:ascii="Inter" w:cs="Inter" w:eastAsia="Inter" w:hAnsi="Inter"/>
          <w:rtl w:val="0"/>
        </w:rPr>
        <w:t xml:space="preserve"> a do škol chodí ráda nejmenší část dětí z celé OECD.</w:t>
      </w:r>
      <w:r w:rsidDel="00000000" w:rsidR="00000000" w:rsidRPr="00000000">
        <w:rPr>
          <w:rFonts w:ascii="Inter" w:cs="Inter" w:eastAsia="Inter" w:hAnsi="Inter"/>
          <w:vertAlign w:val="superscript"/>
        </w:rPr>
        <w:footnoteReference w:customMarkFollows="0" w:id="2"/>
      </w:r>
      <w:r w:rsidDel="00000000" w:rsidR="00000000" w:rsidRPr="00000000">
        <w:rPr>
          <w:rFonts w:ascii="Inter" w:cs="Inter" w:eastAsia="Inter" w:hAnsi="Inter"/>
          <w:rtl w:val="0"/>
        </w:rPr>
        <w:t xml:space="preserve"> Nedostatek pedagogů a nemotivovaní žáci mají nutně negativní dopad na celou společnost.</w:t>
      </w:r>
      <w:r w:rsidDel="00000000" w:rsidR="00000000" w:rsidRPr="00000000">
        <w:rPr>
          <w:rFonts w:ascii="Inter" w:cs="Inter" w:eastAsia="Inter" w:hAnsi="Inter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Odchodem ze školství jsou nejvíce ohroženi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začínající učitelé</w:t>
      </w:r>
      <w:r w:rsidDel="00000000" w:rsidR="00000000" w:rsidRPr="00000000">
        <w:rPr>
          <w:rFonts w:ascii="Inter" w:cs="Inter" w:eastAsia="Inter" w:hAnsi="Inter"/>
          <w:rtl w:val="0"/>
        </w:rPr>
        <w:t xml:space="preserve">. Každý čtvrtý z nich přemýšlí o odchodu</w:t>
      </w:r>
      <w:r w:rsidDel="00000000" w:rsidR="00000000" w:rsidRPr="00000000">
        <w:rPr>
          <w:rFonts w:ascii="Inter" w:cs="Inter" w:eastAsia="Inter" w:hAnsi="Inter"/>
          <w:vertAlign w:val="superscript"/>
        </w:rPr>
        <w:footnoteReference w:customMarkFollows="0" w:id="4"/>
      </w:r>
      <w:r w:rsidDel="00000000" w:rsidR="00000000" w:rsidRPr="00000000">
        <w:rPr>
          <w:rFonts w:ascii="Inter" w:cs="Inter" w:eastAsia="Inter" w:hAnsi="Inter"/>
          <w:rtl w:val="0"/>
        </w:rPr>
        <w:t xml:space="preserve">. Pedagogové se totiž na začátku své kariéry potýkají s nesmírně náročnou situací, kdy je od prvního týdne po nástupu do profese očekáván stoprocentní výkon. </w:t>
      </w:r>
    </w:p>
    <w:p w:rsidR="00000000" w:rsidDel="00000000" w:rsidP="00000000" w:rsidRDefault="00000000" w:rsidRPr="00000000" w14:paraId="00000008">
      <w:pPr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Noví učitelé tak naráží na situace, se kterými si neví rady – ať už je to řešení složitých situací ve třídě nebo komunikace s rozčílenými rodiči. V této fázi se začínající učitel soustředí „na přežití“ ve třídě a ve škole a není schopen využívat potenciál získaný během studia.</w:t>
      </w:r>
      <w:r w:rsidDel="00000000" w:rsidR="00000000" w:rsidRPr="00000000">
        <w:rPr>
          <w:rFonts w:ascii="Inter" w:cs="Inter" w:eastAsia="Inter" w:hAnsi="Inter"/>
          <w:vertAlign w:val="superscript"/>
        </w:rPr>
        <w:footnoteReference w:customMarkFollows="0" w:id="5"/>
      </w:r>
      <w:r w:rsidDel="00000000" w:rsidR="00000000" w:rsidRPr="00000000">
        <w:rPr>
          <w:rFonts w:ascii="Inter" w:cs="Inter" w:eastAsia="Inter" w:hAnsi="Inter"/>
          <w:rtl w:val="0"/>
        </w:rPr>
        <w:t xml:space="preserve"> Začínající učitelé propadají profesní stagnaci, nerozvíjí své kompetence (právě naopak), a to končí frustrací. Tato situace nutně působí i na jejich žáky, kteří nerozvíjí svůj potenciál a neučí se rádi.</w:t>
      </w:r>
      <w:r w:rsidDel="00000000" w:rsidR="00000000" w:rsidRPr="00000000">
        <w:rPr>
          <w:rFonts w:ascii="Inter" w:cs="Inter" w:eastAsia="Inter" w:hAnsi="Inter"/>
          <w:vertAlign w:val="superscript"/>
        </w:rPr>
        <w:footnoteReference w:customMarkFollows="0" w:id="6"/>
      </w:r>
      <w:r w:rsidDel="00000000" w:rsidR="00000000" w:rsidRPr="00000000">
        <w:rPr>
          <w:rFonts w:ascii="Inter" w:cs="Inter" w:eastAsia="Inter" w:hAnsi="Inter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Inter" w:cs="Inter" w:eastAsia="Inter" w:hAnsi="Inter"/>
          <w:vertAlign w:val="superscript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V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důsledku zahlcenosti a frustrace začínající učitelé ze školy odchází,</w:t>
      </w:r>
      <w:r w:rsidDel="00000000" w:rsidR="00000000" w:rsidRPr="00000000">
        <w:rPr>
          <w:rFonts w:ascii="Inter" w:cs="Inter" w:eastAsia="Inter" w:hAnsi="Inter"/>
          <w:rtl w:val="0"/>
        </w:rPr>
        <w:t xml:space="preserve"> ještě více posilují nedostatek učitelských kapacit a frustraci celého pedagogického sboru. Sami začínající učitele zmiňují jako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zásadní faktor pro odchod z profese nízkou podporu vedení a špatné klima školy</w:t>
      </w:r>
      <w:r w:rsidDel="00000000" w:rsidR="00000000" w:rsidRPr="00000000">
        <w:rPr>
          <w:rFonts w:ascii="Inter" w:cs="Inter" w:eastAsia="Inter" w:hAnsi="Inter"/>
          <w:rtl w:val="0"/>
        </w:rPr>
        <w:t xml:space="preserve">.</w:t>
      </w:r>
      <w:r w:rsidDel="00000000" w:rsidR="00000000" w:rsidRPr="00000000">
        <w:rPr>
          <w:rFonts w:ascii="Inter" w:cs="Inter" w:eastAsia="Inter" w:hAnsi="Inter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Začínající učitelé proto potřebují podporu.</w:t>
      </w:r>
      <w:r w:rsidDel="00000000" w:rsidR="00000000" w:rsidRPr="00000000">
        <w:rPr>
          <w:rFonts w:ascii="Inter" w:cs="Inter" w:eastAsia="Inter" w:hAnsi="Inter"/>
          <w:vertAlign w:val="superscript"/>
        </w:rPr>
        <w:footnoteReference w:customMarkFollows="0" w:id="7"/>
      </w:r>
      <w:r w:rsidDel="00000000" w:rsidR="00000000" w:rsidRPr="00000000">
        <w:rPr>
          <w:rFonts w:ascii="Inter" w:cs="Inter" w:eastAsia="Inter" w:hAnsi="Inter"/>
          <w:rtl w:val="0"/>
        </w:rPr>
        <w:t xml:space="preserve"> Ta v České republice zákonně ustanovena není a je pouze na řediteli, zda podporu dobrovolně poskytne. Přitom začínající učitele najdeme minimálně na jedné ze čtyř škol. Ale dle šetření z roku 2022 se jen 35 % z nich setká s intenzivnější podporou od uvádějícího učitele, který se řídí specifickým plánem adaptace.</w:t>
      </w:r>
      <w:r w:rsidDel="00000000" w:rsidR="00000000" w:rsidRPr="00000000">
        <w:rPr>
          <w:rFonts w:ascii="Inter" w:cs="Inter" w:eastAsia="Inter" w:hAnsi="Inter"/>
          <w:vertAlign w:val="superscript"/>
        </w:rPr>
        <w:footnoteReference w:customMarkFollows="0" w:id="8"/>
      </w:r>
      <w:r w:rsidDel="00000000" w:rsidR="00000000" w:rsidRPr="00000000">
        <w:rPr>
          <w:rFonts w:ascii="Inter" w:cs="Inter" w:eastAsia="Inter" w:hAnsi="Inter"/>
          <w:rtl w:val="0"/>
        </w:rPr>
        <w:t xml:space="preserve"> Zároveň víme, že ve školách, které mají vytvořený systém uvádění nového učitele do praxe, uvažuje o případném odchodu z konkrétní školy nebo ze školství přibližně 12 % nových učitelů.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Pokud škola funkční systém uvádění nemá, pak chce odejít více než dvojnásobek začínajících učitelů</w:t>
      </w:r>
      <w:r w:rsidDel="00000000" w:rsidR="00000000" w:rsidRPr="00000000">
        <w:rPr>
          <w:rFonts w:ascii="Inter" w:cs="Inter" w:eastAsia="Inter" w:hAnsi="Inter"/>
          <w:rtl w:val="0"/>
        </w:rPr>
        <w:t xml:space="preserve">.</w:t>
      </w:r>
      <w:r w:rsidDel="00000000" w:rsidR="00000000" w:rsidRPr="00000000">
        <w:rPr>
          <w:rFonts w:ascii="Inter" w:cs="Inter" w:eastAsia="Inter" w:hAnsi="Inter"/>
          <w:vertAlign w:val="superscript"/>
        </w:rPr>
        <w:footnoteReference w:customMarkFollows="0"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Zavedení funkčního adaptačního období pro učitele jako řešení</w:t>
      </w:r>
    </w:p>
    <w:p w:rsidR="00000000" w:rsidDel="00000000" w:rsidP="00000000" w:rsidRDefault="00000000" w:rsidRPr="00000000" w14:paraId="00000010">
      <w:pPr>
        <w:jc w:val="both"/>
        <w:rPr>
          <w:rFonts w:ascii="Inter" w:cs="Inter" w:eastAsia="Inter" w:hAnsi="Int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Řešením je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ustanovit adaptační období pro začínající učitele</w:t>
      </w:r>
      <w:r w:rsidDel="00000000" w:rsidR="00000000" w:rsidRPr="00000000">
        <w:rPr>
          <w:rFonts w:ascii="Inter" w:cs="Inter" w:eastAsia="Inter" w:hAnsi="Inter"/>
          <w:rtl w:val="0"/>
        </w:rPr>
        <w:t xml:space="preserve"> v zákoně o pedagogických pracovnících č. 563/2004 Sb. Tamtéž je nutné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ukotvit pozici uvádějícího učitele</w:t>
      </w:r>
      <w:r w:rsidDel="00000000" w:rsidR="00000000" w:rsidRPr="00000000">
        <w:rPr>
          <w:rFonts w:ascii="Inter" w:cs="Inter" w:eastAsia="Inter" w:hAnsi="Inter"/>
          <w:rtl w:val="0"/>
        </w:rPr>
        <w:t xml:space="preserve">. Uvádějícím učitelům musíme zajistit dostatečnou podporu a vzdělávání pro výkon dané pozice – a to formou mentorských kurzů a míst reflexe a sdílení. Nesmí dojít k tomu, abychom měli nekompetentní a zahlcené uvádějící učitele, protože to by problém frustrace učitelských sborů a odchod ze školství neřešilo. Proto je nutné umožnit, aby měli na vykonávání pozice dostatek času. Toho docílíme snížením přímé pedagogické činnosti. </w:t>
      </w:r>
    </w:p>
    <w:p w:rsidR="00000000" w:rsidDel="00000000" w:rsidP="00000000" w:rsidRDefault="00000000" w:rsidRPr="00000000" w14:paraId="00000012">
      <w:pPr>
        <w:ind w:firstLine="720"/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Zároveň navrhujeme, aby MŠMT prostřednictvím Národního pedagogického institutu zajistilo vytvoření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míst reflexe</w:t>
      </w:r>
      <w:r w:rsidDel="00000000" w:rsidR="00000000" w:rsidRPr="00000000">
        <w:rPr>
          <w:rFonts w:ascii="Inter" w:cs="Inter" w:eastAsia="Inter" w:hAnsi="Inter"/>
          <w:rtl w:val="0"/>
        </w:rPr>
        <w:t xml:space="preserve"> a podpory mimo školu, a to jak pro začínající, tak uvádějící učitele. Mělo by se jednat o prostor nabízející bezpečné prostředí, ve kterém budou začínající nebo uvádějící učitelé společně sdílet své problémy, úspěchy i rady a zvyšovat své kompetence v daných pozicích. Začínající učitelé tak získají podporu z různých zdrojů (ta je pro rozvoj učitele nutná</w:t>
      </w:r>
      <w:r w:rsidDel="00000000" w:rsidR="00000000" w:rsidRPr="00000000">
        <w:rPr>
          <w:rFonts w:ascii="Inter" w:cs="Inter" w:eastAsia="Inter" w:hAnsi="Inter"/>
          <w:vertAlign w:val="superscript"/>
        </w:rPr>
        <w:footnoteReference w:customMarkFollows="0" w:id="10"/>
      </w:r>
      <w:r w:rsidDel="00000000" w:rsidR="00000000" w:rsidRPr="00000000">
        <w:rPr>
          <w:rFonts w:ascii="Inter" w:cs="Inter" w:eastAsia="Inter" w:hAnsi="Inter"/>
          <w:rtl w:val="0"/>
        </w:rPr>
        <w:t xml:space="preserve">) a zároveň podporu od kolegů, kteří jsou také v začátcích učení a potýkají se se stejnými situacemi. Tato místa navíc mohou využívat i učitelé, kteří se do profese vrací po delší době (např. učitelky po rodičovské dovolené apod.).</w:t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highlight w:val="white"/>
          <w:rtl w:val="0"/>
        </w:rPr>
        <w:t xml:space="preserve">Aktuálně je v přípravě novela zákona o pedagogických pracovnících – a tak má parlament a ministr školství, mládeže a tělovýchovy jedinečnou příležitost tyto důležité změny zavést.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K čemu zavedení funkční podpory pro začínající učitele povede?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Začínající učitel díky reflexi (nejen) v adaptačním období získá sebejistotu a rozvíjí své kompetence.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Inter" w:cs="Inter" w:eastAsia="Inter" w:hAnsi="Inter"/>
          <w:rtl w:val="0"/>
        </w:rPr>
        <w:t xml:space="preserve">Začínající učitelé budou zažívat úspěch a díky tomu méně propadat syndromu vyhoření</w:t>
      </w:r>
      <w:r w:rsidDel="00000000" w:rsidR="00000000" w:rsidRPr="00000000">
        <w:rPr>
          <w:rFonts w:ascii="Inter" w:cs="Inter" w:eastAsia="Inter" w:hAnsi="Inter"/>
          <w:vertAlign w:val="superscript"/>
        </w:rPr>
        <w:footnoteReference w:customMarkFollows="0" w:id="11"/>
      </w:r>
      <w:r w:rsidDel="00000000" w:rsidR="00000000" w:rsidRPr="00000000">
        <w:rPr>
          <w:rFonts w:ascii="Inter" w:cs="Inter" w:eastAsia="Inter" w:hAnsi="Inter"/>
          <w:rtl w:val="0"/>
        </w:rPr>
        <w:t xml:space="preserve"> a sníží se šance na jeho odchod z profese</w:t>
      </w:r>
      <w:r w:rsidDel="00000000" w:rsidR="00000000" w:rsidRPr="00000000">
        <w:rPr>
          <w:rFonts w:ascii="Inter" w:cs="Inter" w:eastAsia="Inter" w:hAnsi="Inter"/>
          <w:vertAlign w:val="superscript"/>
          <w:rtl w:val="0"/>
        </w:rPr>
        <w:t xml:space="preserve">9</w:t>
      </w:r>
      <w:r w:rsidDel="00000000" w:rsidR="00000000" w:rsidRPr="00000000">
        <w:rPr>
          <w:rFonts w:ascii="Inter" w:cs="Inter" w:eastAsia="Inter" w:hAnsi="Inte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Inter" w:cs="Inter" w:eastAsia="Inter" w:hAnsi="Inter"/>
          <w:rtl w:val="0"/>
        </w:rPr>
        <w:t xml:space="preserve">Setrvání začínajících učitelů povede ke snížení přetížení učitelského sboru a jeho stabilizaci (nebude ohrožen chod školy). Dojde také ke generačnímu vyvážení sboru.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Inter" w:cs="Inter" w:eastAsia="Inter" w:hAnsi="Inter"/>
          <w:rtl w:val="0"/>
        </w:rPr>
        <w:t xml:space="preserve">Žací díky spokojeným učitelům budou rozvíjet znalosti a gramotnosti a svůj potenciál, budou mít dobrý vztah k učení.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Inter" w:cs="Inter" w:eastAsia="Inter" w:hAnsi="Inter"/>
          <w:rtl w:val="0"/>
        </w:rPr>
        <w:t xml:space="preserve">Souhrnně jde o jednoduchou rovnici –  sebejistý, motivovaný a kompetentní učitel bude mít spokojené a motivované žáky. To bude mít pozitivní dopad jak na jejich rodiče, tak i celou společnost.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Inter" w:cs="Inter" w:eastAsia="Inter" w:hAnsi="Int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Kontakt</w:t>
      </w:r>
    </w:p>
    <w:p w:rsidR="00000000" w:rsidDel="00000000" w:rsidP="00000000" w:rsidRDefault="00000000" w:rsidRPr="00000000" w14:paraId="00000022">
      <w:pPr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Projekt Začni učit! pomáhá řešit nedostatek pedagogů v České republice. Našimi programy pomáháme motivovaným zájemcům dostat se do školství a začínajícím učitelům zvladnout start za katedrou. </w:t>
      </w:r>
    </w:p>
    <w:p w:rsidR="00000000" w:rsidDel="00000000" w:rsidP="00000000" w:rsidRDefault="00000000" w:rsidRPr="00000000" w14:paraId="00000023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ab/>
        <w:t xml:space="preserve">Začni učit! </w:t>
      </w:r>
      <w:hyperlink r:id="rId7">
        <w:r w:rsidDel="00000000" w:rsidR="00000000" w:rsidRPr="00000000">
          <w:rPr>
            <w:rFonts w:ascii="Inter" w:cs="Inter" w:eastAsia="Inter" w:hAnsi="Inter"/>
            <w:color w:val="1155cc"/>
            <w:u w:val="single"/>
            <w:rtl w:val="0"/>
          </w:rPr>
          <w:t xml:space="preserve">www.zacniucit.cz</w:t>
        </w:r>
      </w:hyperlink>
      <w:r w:rsidDel="00000000" w:rsidR="00000000" w:rsidRPr="00000000">
        <w:rPr>
          <w:rFonts w:ascii="Inter" w:cs="Inter" w:eastAsia="Inter" w:hAnsi="Inter"/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firstLine="72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Jana Fryzelková</w:t>
      </w:r>
    </w:p>
    <w:p w:rsidR="00000000" w:rsidDel="00000000" w:rsidP="00000000" w:rsidRDefault="00000000" w:rsidRPr="00000000" w14:paraId="00000026">
      <w:pPr>
        <w:ind w:firstLine="72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Spoluvedení, strategie a fundraising</w:t>
      </w:r>
    </w:p>
    <w:p w:rsidR="00000000" w:rsidDel="00000000" w:rsidP="00000000" w:rsidRDefault="00000000" w:rsidRPr="00000000" w14:paraId="00000027">
      <w:pPr>
        <w:ind w:firstLine="720"/>
        <w:rPr>
          <w:rFonts w:ascii="Inter" w:cs="Inter" w:eastAsia="Inter" w:hAnsi="Inter"/>
        </w:rPr>
      </w:pPr>
      <w:hyperlink r:id="rId8">
        <w:r w:rsidDel="00000000" w:rsidR="00000000" w:rsidRPr="00000000">
          <w:rPr>
            <w:rFonts w:ascii="Inter" w:cs="Inter" w:eastAsia="Inter" w:hAnsi="Inter"/>
            <w:color w:val="1155cc"/>
            <w:u w:val="single"/>
            <w:rtl w:val="0"/>
          </w:rPr>
          <w:t xml:space="preserve">jana@zacniucit.cz</w:t>
        </w:r>
      </w:hyperlink>
      <w:r w:rsidDel="00000000" w:rsidR="00000000" w:rsidRPr="00000000">
        <w:rPr>
          <w:rFonts w:ascii="Inter" w:cs="Inter" w:eastAsia="Inter" w:hAnsi="Inter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ab/>
        <w:t xml:space="preserve">+420 773692530</w:t>
      </w:r>
    </w:p>
    <w:p w:rsidR="00000000" w:rsidDel="00000000" w:rsidP="00000000" w:rsidRDefault="00000000" w:rsidRPr="00000000" w14:paraId="00000029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992.1259842519685" w:left="850.3937007874016" w:right="850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Inter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ter" w:cs="Inter" w:eastAsia="Inter" w:hAnsi="Inter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Inter" w:cs="Inter" w:eastAsia="Inter" w:hAnsi="Inter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sz w:val="16"/>
          <w:szCs w:val="16"/>
          <w:rtl w:val="0"/>
        </w:rPr>
        <w:t xml:space="preserve">Maršíková, M., &amp; Jelen, V., MŠMT (2019). Hlavní výstupy z Mimořádného šetření ke stavu zajištění výuky učiteli v MŠ, ZŠ, SŠ a VOŠ. </w:t>
      </w:r>
      <w:hyperlink r:id="rId1">
        <w:r w:rsidDel="00000000" w:rsidR="00000000" w:rsidRPr="00000000">
          <w:rPr>
            <w:rFonts w:ascii="Inter" w:cs="Inter" w:eastAsia="Inter" w:hAnsi="Inter"/>
            <w:color w:val="1155cc"/>
            <w:sz w:val="16"/>
            <w:szCs w:val="16"/>
            <w:u w:val="single"/>
            <w:rtl w:val="0"/>
          </w:rPr>
          <w:t xml:space="preserve">https://www.msmt.cz/file/50371/</w:t>
        </w:r>
      </w:hyperlink>
      <w:r w:rsidDel="00000000" w:rsidR="00000000" w:rsidRPr="00000000">
        <w:rPr>
          <w:rFonts w:ascii="Inter" w:cs="Inter" w:eastAsia="Inter" w:hAnsi="Inter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2D">
      <w:pPr>
        <w:spacing w:line="240" w:lineRule="auto"/>
        <w:rPr>
          <w:rFonts w:ascii="Inter" w:cs="Inter" w:eastAsia="Inter" w:hAnsi="Inter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sz w:val="16"/>
          <w:szCs w:val="16"/>
          <w:rtl w:val="0"/>
        </w:rPr>
        <w:t xml:space="preserve">EACEA, European Education and Culture Executive Agency, Eurydice (2019). Teaching careers in Europe: access, progression and support. </w:t>
      </w:r>
      <w:hyperlink r:id="rId2">
        <w:r w:rsidDel="00000000" w:rsidR="00000000" w:rsidRPr="00000000">
          <w:rPr>
            <w:rFonts w:ascii="Inter" w:cs="Inter" w:eastAsia="Inter" w:hAnsi="Inter"/>
            <w:color w:val="1155cc"/>
            <w:sz w:val="16"/>
            <w:szCs w:val="16"/>
            <w:u w:val="single"/>
            <w:rtl w:val="0"/>
          </w:rPr>
          <w:t xml:space="preserve">https://data.europa.eu/doi/10.2797/708723</w:t>
        </w:r>
      </w:hyperlink>
      <w:r w:rsidDel="00000000" w:rsidR="00000000" w:rsidRPr="00000000">
        <w:rPr>
          <w:rFonts w:ascii="Inter" w:cs="Inter" w:eastAsia="Inter" w:hAnsi="Inter"/>
          <w:sz w:val="16"/>
          <w:szCs w:val="16"/>
          <w:rtl w:val="0"/>
        </w:rPr>
        <w:t xml:space="preserve">  </w:t>
      </w:r>
    </w:p>
  </w:footnote>
  <w:footnote w:id="5">
    <w:p w:rsidR="00000000" w:rsidDel="00000000" w:rsidP="00000000" w:rsidRDefault="00000000" w:rsidRPr="00000000" w14:paraId="0000002E">
      <w:pPr>
        <w:spacing w:line="240" w:lineRule="auto"/>
        <w:rPr>
          <w:rFonts w:ascii="Inter" w:cs="Inter" w:eastAsia="Inter" w:hAnsi="Inter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Inter" w:cs="Inter" w:eastAsia="Inter" w:hAnsi="Inter"/>
          <w:sz w:val="16"/>
          <w:szCs w:val="16"/>
          <w:rtl w:val="0"/>
        </w:rPr>
        <w:t xml:space="preserve"> Stuchlíková, I., &amp; Janík, T. (2017). Rámcová koncepce přípravného vzdělávání učitelů aneb o hledání a nacházení konsensu mezi aktéry. Pedagogická orientace, 27(1), 242–246.</w:t>
      </w:r>
    </w:p>
  </w:footnote>
  <w:footnote w:id="8">
    <w:p w:rsidR="00000000" w:rsidDel="00000000" w:rsidP="00000000" w:rsidRDefault="00000000" w:rsidRPr="00000000" w14:paraId="0000002F">
      <w:pPr>
        <w:spacing w:line="240" w:lineRule="auto"/>
        <w:rPr>
          <w:rFonts w:ascii="Inter" w:cs="Inter" w:eastAsia="Inter" w:hAnsi="Inter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Inter" w:cs="Inter" w:eastAsia="Inter" w:hAnsi="Inter"/>
          <w:sz w:val="16"/>
          <w:szCs w:val="16"/>
          <w:rtl w:val="0"/>
        </w:rPr>
        <w:t xml:space="preserve"> </w:t>
      </w:r>
      <w:hyperlink r:id="rId3">
        <w:r w:rsidDel="00000000" w:rsidR="00000000" w:rsidRPr="00000000">
          <w:rPr>
            <w:rFonts w:ascii="Inter" w:cs="Inter" w:eastAsia="Inter" w:hAnsi="Inter"/>
            <w:color w:val="1155cc"/>
            <w:sz w:val="16"/>
            <w:szCs w:val="16"/>
            <w:u w:val="single"/>
            <w:rtl w:val="0"/>
          </w:rPr>
          <w:t xml:space="preserve">https://www.msmt.cz/ministerstvo/novinar/zacinajici-ucitele-se-vidi-za-katedrami-i-za-pet-let</w:t>
        </w:r>
      </w:hyperlink>
      <w:r w:rsidDel="00000000" w:rsidR="00000000" w:rsidRPr="00000000">
        <w:rPr>
          <w:rFonts w:ascii="Inter" w:cs="Inter" w:eastAsia="Inter" w:hAnsi="Inter"/>
          <w:sz w:val="16"/>
          <w:szCs w:val="16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30">
      <w:pPr>
        <w:spacing w:line="240" w:lineRule="auto"/>
        <w:rPr>
          <w:sz w:val="16"/>
          <w:szCs w:val="16"/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sz w:val="16"/>
          <w:szCs w:val="16"/>
          <w:rtl w:val="0"/>
        </w:rPr>
        <w:t xml:space="preserve">Smetáčková, I. (2019). </w:t>
      </w:r>
      <w:hyperlink r:id="rId4">
        <w:r w:rsidDel="00000000" w:rsidR="00000000" w:rsidRPr="00000000">
          <w:rPr>
            <w:rFonts w:ascii="Inter" w:cs="Inter" w:eastAsia="Inter" w:hAnsi="Inter"/>
            <w:color w:val="1155cc"/>
            <w:sz w:val="16"/>
            <w:szCs w:val="16"/>
            <w:u w:val="single"/>
            <w:rtl w:val="0"/>
          </w:rPr>
          <w:t xml:space="preserve">https://odborne.casopisy.palestra.cz/index.php/dap/article/view/192</w:t>
        </w:r>
      </w:hyperlink>
      <w:r w:rsidDel="00000000" w:rsidR="00000000" w:rsidRPr="00000000">
        <w:rPr>
          <w:rFonts w:ascii="Inter" w:cs="Inter" w:eastAsia="Inter" w:hAnsi="Inter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31">
      <w:pPr>
        <w:spacing w:line="240" w:lineRule="auto"/>
        <w:rPr>
          <w:sz w:val="16"/>
          <w:szCs w:val="16"/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sz w:val="16"/>
          <w:szCs w:val="16"/>
          <w:rtl w:val="0"/>
        </w:rPr>
        <w:t xml:space="preserve">TALIS (2018) 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32">
      <w:pPr>
        <w:spacing w:line="240" w:lineRule="auto"/>
        <w:rPr>
          <w:sz w:val="16"/>
          <w:szCs w:val="16"/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sz w:val="16"/>
          <w:szCs w:val="16"/>
          <w:rtl w:val="0"/>
        </w:rPr>
        <w:t xml:space="preserve">PAQ Research (D. Prokop a kolektiv), think-tank IDEA (J. Grossmann a kolektiv)(2021): Nerovnosti ve vzdělávání jako zdroj neefektivity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33">
      <w:pPr>
        <w:spacing w:line="240" w:lineRule="auto"/>
        <w:rPr>
          <w:sz w:val="16"/>
          <w:szCs w:val="16"/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sz w:val="16"/>
          <w:szCs w:val="16"/>
          <w:rtl w:val="0"/>
        </w:rPr>
        <w:t xml:space="preserve">Hanušová, S., Píšová, M., Kohoutek, T., Minaříková, E., Janík, M., Janík, T., Mareš, J., Uličná, K., &amp; Ježek, S. (2017). Chtějí zůstat nebo odejít? Začínající učitelé v českých základních školách. Brno: Masarykova univerzita. 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34">
      <w:pPr>
        <w:spacing w:line="240" w:lineRule="auto"/>
        <w:rPr>
          <w:sz w:val="16"/>
          <w:szCs w:val="16"/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sz w:val="16"/>
          <w:szCs w:val="16"/>
          <w:rtl w:val="0"/>
        </w:rPr>
        <w:t xml:space="preserve">Harmsen, R., Helms-Lorenz, M., Maulana, R. &amp; Klaas van Veen (2018). The relationship between beginning teachers’ stress causes, stress responses, teaching behavior and attrition. Teachers and Teaching, 24:6, 626–643.</w:t>
      </w:r>
      <w:r w:rsidDel="00000000" w:rsidR="00000000" w:rsidRPr="00000000">
        <w:rPr>
          <w:rtl w:val="0"/>
        </w:rPr>
      </w:r>
    </w:p>
  </w:footnote>
  <w:footnote w:id="10">
    <w:p w:rsidR="00000000" w:rsidDel="00000000" w:rsidP="00000000" w:rsidRDefault="00000000" w:rsidRPr="00000000" w14:paraId="00000035">
      <w:pPr>
        <w:spacing w:line="240" w:lineRule="auto"/>
        <w:rPr>
          <w:sz w:val="16"/>
          <w:szCs w:val="16"/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sz w:val="16"/>
          <w:szCs w:val="16"/>
          <w:rtl w:val="0"/>
        </w:rPr>
        <w:t xml:space="preserve">Janík, T., Wildová, R., Uličná, K., Minaříková, E., Janík, M., Jašková, J., Šimůnková, B. (2017): Induction Period for Novice Teachers: International experience and implementation suggestions</w:t>
      </w:r>
      <w:r w:rsidDel="00000000" w:rsidR="00000000" w:rsidRPr="00000000">
        <w:rPr>
          <w:rtl w:val="0"/>
        </w:rPr>
      </w:r>
    </w:p>
  </w:footnote>
  <w:footnote w:id="11">
    <w:p w:rsidR="00000000" w:rsidDel="00000000" w:rsidP="00000000" w:rsidRDefault="00000000" w:rsidRPr="00000000" w14:paraId="00000036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sz w:val="16"/>
          <w:szCs w:val="16"/>
          <w:rtl w:val="0"/>
        </w:rPr>
        <w:t xml:space="preserve">Voss, T. &amp; Kunter, M. (2020). “Reality Shock” of Beginning Teachers? Changes in Teacher Candidates’ Emotional Exhaustion and Constructivist-Oriented Beliefs. Journal of Teacher Education, 71:3, 292–306. </w:t>
      </w:r>
      <w:r w:rsidDel="00000000" w:rsidR="00000000" w:rsidRPr="00000000">
        <w:rPr>
          <w:rtl w:val="0"/>
        </w:rPr>
      </w:r>
    </w:p>
  </w:footnote>
  <w:footnote w:id="9">
    <w:p w:rsidR="00000000" w:rsidDel="00000000" w:rsidP="00000000" w:rsidRDefault="00000000" w:rsidRPr="00000000" w14:paraId="0000003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sz w:val="16"/>
          <w:szCs w:val="16"/>
          <w:rtl w:val="0"/>
        </w:rPr>
        <w:t xml:space="preserve">Juhaňák, L., Šmahelová, M., Záleská, K. &amp; Trnková, K. (2018). Analytická zpráva ze studie systémů podpory začínajících učitelů. Národní institut pro další vzdělávání.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spacing w:line="276" w:lineRule="auto"/>
      <w:ind w:right="7.204724409448886"/>
      <w:rPr/>
    </w:pPr>
    <w:r w:rsidDel="00000000" w:rsidR="00000000" w:rsidRPr="00000000">
      <w:rPr/>
      <w:drawing>
        <wp:inline distB="114300" distT="114300" distL="114300" distR="114300">
          <wp:extent cx="5731200" cy="546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46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spacing w:line="276" w:lineRule="auto"/>
      <w:ind w:right="7.204724409448886"/>
      <w:rPr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spacing w:line="276" w:lineRule="auto"/>
      <w:ind w:right="7.204724409448886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Inter" w:cs="Inter" w:eastAsia="Inter" w:hAnsi="Int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zacniucit.cz" TargetMode="External"/><Relationship Id="rId8" Type="http://schemas.openxmlformats.org/officeDocument/2006/relationships/hyperlink" Target="mailto:jana@zacniucit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msmt.cz/file/50371/" TargetMode="External"/><Relationship Id="rId2" Type="http://schemas.openxmlformats.org/officeDocument/2006/relationships/hyperlink" Target="https://data.europa.eu/doi/10.2797/708723" TargetMode="External"/><Relationship Id="rId3" Type="http://schemas.openxmlformats.org/officeDocument/2006/relationships/hyperlink" Target="https://www.msmt.cz/ministerstvo/novinar/zacinajici-ucitele-se-vidi-za-katedrami-i-za-pet-let" TargetMode="External"/><Relationship Id="rId4" Type="http://schemas.openxmlformats.org/officeDocument/2006/relationships/hyperlink" Target="https://odborne.casopisy.palestra.cz/index.php/dap/article/view/192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