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1740" w14:textId="6D7DB0FD" w:rsidR="00425613" w:rsidRPr="00524CBA" w:rsidRDefault="00CD0C73" w:rsidP="00CD0C73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shd w:val="pct10" w:color="auto" w:fill="auto"/>
        <w:tabs>
          <w:tab w:val="center" w:pos="4703"/>
          <w:tab w:val="right" w:pos="9072"/>
        </w:tabs>
        <w:spacing w:line="276" w:lineRule="auto"/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tab/>
      </w:r>
      <w:r w:rsidR="00425613" w:rsidRPr="00524CBA"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t>ZURn4108 Deskriptivní analýza kvantitativních dat</w:t>
      </w:r>
      <w:r w:rsidRPr="00524CBA"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tab/>
      </w:r>
    </w:p>
    <w:p w14:paraId="00000002" w14:textId="77777777" w:rsidR="00B1434D" w:rsidRPr="00524CBA" w:rsidRDefault="00B1434D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4A420EBD" w14:textId="5726E261" w:rsidR="006B3A5C" w:rsidRPr="00524CBA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Výuka: </w:t>
      </w:r>
      <w:r w:rsidR="002122E0" w:rsidRPr="00524CBA">
        <w:rPr>
          <w:rFonts w:ascii="Open Sans" w:eastAsia="Times New Roman" w:hAnsi="Open Sans" w:cs="Open Sans"/>
          <w:sz w:val="22"/>
          <w:szCs w:val="22"/>
        </w:rPr>
        <w:t>pátek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, </w:t>
      </w:r>
      <w:r w:rsidR="00210512" w:rsidRPr="00524CBA">
        <w:rPr>
          <w:rFonts w:ascii="Open Sans" w:eastAsia="Times New Roman" w:hAnsi="Open Sans" w:cs="Open Sans"/>
          <w:color w:val="000000"/>
          <w:sz w:val="22"/>
          <w:szCs w:val="22"/>
        </w:rPr>
        <w:t>1</w:t>
      </w:r>
      <w:r w:rsidR="00C32C23" w:rsidRPr="00524CBA">
        <w:rPr>
          <w:rFonts w:ascii="Open Sans" w:eastAsia="Times New Roman" w:hAnsi="Open Sans" w:cs="Open Sans"/>
          <w:color w:val="000000"/>
          <w:sz w:val="22"/>
          <w:szCs w:val="22"/>
        </w:rPr>
        <w:t>0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:00</w:t>
      </w:r>
      <w:r w:rsidR="00971EC3" w:rsidRPr="00524CBA">
        <w:rPr>
          <w:rFonts w:ascii="Open Sans" w:eastAsia="Times New Roman" w:hAnsi="Open Sans" w:cs="Open Sans"/>
          <w:color w:val="000000"/>
          <w:sz w:val="22"/>
          <w:szCs w:val="22"/>
        </w:rPr>
        <w:t>–</w:t>
      </w:r>
      <w:r w:rsidR="00210512" w:rsidRPr="00524CBA">
        <w:rPr>
          <w:rFonts w:ascii="Open Sans" w:eastAsia="Times New Roman" w:hAnsi="Open Sans" w:cs="Open Sans"/>
          <w:color w:val="000000"/>
          <w:sz w:val="22"/>
          <w:szCs w:val="22"/>
        </w:rPr>
        <w:t>1</w:t>
      </w:r>
      <w:r w:rsidR="00FF2400" w:rsidRPr="00524CBA">
        <w:rPr>
          <w:rFonts w:ascii="Open Sans" w:eastAsia="Times New Roman" w:hAnsi="Open Sans" w:cs="Open Sans"/>
          <w:color w:val="000000"/>
          <w:sz w:val="22"/>
          <w:szCs w:val="22"/>
        </w:rPr>
        <w:t>1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:40, PC25</w:t>
      </w:r>
      <w:r w:rsidR="003F6560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</w:p>
    <w:p w14:paraId="237595D5" w14:textId="77777777" w:rsidR="009E7884" w:rsidRPr="00524CBA" w:rsidRDefault="009E7884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6DC06730" w14:textId="45A8B5ED" w:rsidR="009B5894" w:rsidRPr="00524CBA" w:rsidRDefault="001B5303" w:rsidP="0060442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580"/>
        <w:jc w:val="both"/>
        <w:rPr>
          <w:rStyle w:val="Hyperlink"/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 xml:space="preserve">Vyučující: </w:t>
      </w:r>
      <w:r w:rsidR="006A2B16"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ab/>
      </w:r>
      <w:r w:rsidR="009B5894" w:rsidRPr="00524CBA">
        <w:rPr>
          <w:rFonts w:ascii="Open Sans" w:eastAsia="Times New Roman" w:hAnsi="Open Sans" w:cs="Open Sans"/>
          <w:sz w:val="22"/>
          <w:szCs w:val="22"/>
        </w:rPr>
        <w:t>Mgr. Lucie Čejková</w:t>
      </w:r>
      <w:r w:rsidR="00F5344E" w:rsidRPr="00524CBA">
        <w:rPr>
          <w:rFonts w:ascii="Open Sans" w:eastAsia="Times New Roman" w:hAnsi="Open Sans" w:cs="Open Sans"/>
          <w:sz w:val="22"/>
          <w:szCs w:val="22"/>
        </w:rPr>
        <w:t xml:space="preserve">, </w:t>
      </w:r>
      <w:r w:rsidR="00F5344E" w:rsidRPr="00524CBA">
        <w:rPr>
          <w:rFonts w:ascii="Open Sans" w:eastAsia="Times New Roman" w:hAnsi="Open Sans" w:cs="Open Sans"/>
          <w:color w:val="0000DC"/>
          <w:sz w:val="22"/>
          <w:szCs w:val="22"/>
        </w:rPr>
        <w:t>luc.cejkova@mail.muni.cz</w:t>
      </w:r>
    </w:p>
    <w:p w14:paraId="287E7330" w14:textId="77777777" w:rsidR="00FF2400" w:rsidRPr="00524CBA" w:rsidRDefault="006A2B16" w:rsidP="0060442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580"/>
        <w:jc w:val="both"/>
        <w:rPr>
          <w:rStyle w:val="Hyperlink"/>
          <w:rFonts w:ascii="Open Sans" w:eastAsia="Times New Roman" w:hAnsi="Open Sans" w:cs="Open Sans"/>
          <w:color w:val="0000DC"/>
          <w:sz w:val="22"/>
          <w:szCs w:val="22"/>
          <w:u w:val="none"/>
        </w:rPr>
      </w:pPr>
      <w:r w:rsidRPr="00524CBA">
        <w:rPr>
          <w:rStyle w:val="Hyperlink"/>
          <w:rFonts w:ascii="Open Sans" w:eastAsia="Times New Roman" w:hAnsi="Open Sans" w:cs="Open Sans"/>
          <w:sz w:val="22"/>
          <w:szCs w:val="22"/>
          <w:u w:val="none"/>
        </w:rPr>
        <w:tab/>
      </w:r>
      <w:r w:rsidR="00FF2400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Mgr. Klára Smejkal, </w:t>
      </w:r>
      <w:hyperlink r:id="rId11" w:history="1">
        <w:r w:rsidR="00FF2400" w:rsidRPr="00524CBA">
          <w:rPr>
            <w:rStyle w:val="Hyperlink"/>
            <w:rFonts w:ascii="Open Sans" w:eastAsia="Times New Roman" w:hAnsi="Open Sans" w:cs="Open Sans"/>
            <w:color w:val="0000DC"/>
            <w:sz w:val="22"/>
            <w:szCs w:val="22"/>
            <w:u w:val="none"/>
          </w:rPr>
          <w:t>klara.smejkal@mail.muni.cz</w:t>
        </w:r>
      </w:hyperlink>
      <w:r w:rsidR="00FF2400" w:rsidRPr="00524CBA">
        <w:rPr>
          <w:rStyle w:val="Hyperlink"/>
          <w:rFonts w:ascii="Open Sans" w:eastAsia="Times New Roman" w:hAnsi="Open Sans" w:cs="Open Sans"/>
          <w:color w:val="0000DC"/>
          <w:sz w:val="22"/>
          <w:szCs w:val="22"/>
          <w:u w:val="none"/>
        </w:rPr>
        <w:t xml:space="preserve"> </w:t>
      </w:r>
    </w:p>
    <w:p w14:paraId="4BB21CCD" w14:textId="5DFD01CB" w:rsidR="003759FE" w:rsidRPr="00524CBA" w:rsidRDefault="00FF2400" w:rsidP="0060442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580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ab/>
      </w:r>
      <w:r w:rsidR="006A2B16" w:rsidRPr="00524CBA">
        <w:rPr>
          <w:rFonts w:ascii="Open Sans" w:eastAsia="Times New Roman" w:hAnsi="Open Sans" w:cs="Open Sans"/>
          <w:sz w:val="22"/>
          <w:szCs w:val="22"/>
        </w:rPr>
        <w:t>Mgr. et Mgr. Karolína Bieliková</w:t>
      </w:r>
      <w:r w:rsidR="00A44F46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hyperlink r:id="rId12" w:history="1">
        <w:r w:rsidR="00C5737F" w:rsidRPr="00524CBA">
          <w:rPr>
            <w:rStyle w:val="Hyperlink"/>
            <w:rFonts w:ascii="Open Sans" w:eastAsia="Times New Roman" w:hAnsi="Open Sans" w:cs="Open Sans"/>
            <w:color w:val="0000DC"/>
            <w:sz w:val="22"/>
            <w:szCs w:val="22"/>
            <w:u w:val="none"/>
          </w:rPr>
          <w:t>k.bielikova@mail.muni.cz</w:t>
        </w:r>
      </w:hyperlink>
      <w:r w:rsidR="00C5737F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</w:p>
    <w:p w14:paraId="1413B69D" w14:textId="77777777" w:rsidR="00972253" w:rsidRPr="00524CBA" w:rsidRDefault="00FA1505" w:rsidP="00F5344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8"/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ab/>
      </w:r>
    </w:p>
    <w:p w14:paraId="33073EE1" w14:textId="14517575" w:rsidR="00A44F46" w:rsidRPr="00524CBA" w:rsidRDefault="00A44F46" w:rsidP="00F5344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8"/>
        <w:rPr>
          <w:rStyle w:val="Hyperlink"/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Komunikaci směřujte primárně na Lucii Čejkovou</w:t>
      </w:r>
      <w:r w:rsidR="00F5344E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</w:p>
    <w:p w14:paraId="6D74057C" w14:textId="77777777" w:rsidR="002122E0" w:rsidRPr="00524CBA" w:rsidRDefault="002122E0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80"/>
        <w:jc w:val="both"/>
        <w:rPr>
          <w:rFonts w:ascii="Open Sans" w:eastAsia="Times New Roman" w:hAnsi="Open Sans" w:cs="Open Sans"/>
          <w:color w:val="0000FF"/>
          <w:sz w:val="22"/>
          <w:szCs w:val="22"/>
          <w:u w:val="single"/>
        </w:rPr>
      </w:pPr>
    </w:p>
    <w:p w14:paraId="00000006" w14:textId="01C7A680" w:rsidR="00B1434D" w:rsidRPr="00524CBA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8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sz w:val="22"/>
          <w:szCs w:val="22"/>
        </w:rPr>
        <w:t>Konzultace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: </w:t>
      </w:r>
      <w:r w:rsidR="002122E0" w:rsidRPr="00524CBA">
        <w:rPr>
          <w:rFonts w:ascii="Open Sans" w:eastAsia="Times New Roman" w:hAnsi="Open Sans" w:cs="Open Sans"/>
          <w:sz w:val="22"/>
          <w:szCs w:val="22"/>
        </w:rPr>
        <w:t>p</w:t>
      </w:r>
      <w:r w:rsidRPr="00524CBA">
        <w:rPr>
          <w:rFonts w:ascii="Open Sans" w:eastAsia="Times New Roman" w:hAnsi="Open Sans" w:cs="Open Sans"/>
          <w:sz w:val="22"/>
          <w:szCs w:val="22"/>
        </w:rPr>
        <w:t>o předchozí domluvě</w:t>
      </w:r>
    </w:p>
    <w:p w14:paraId="00000007" w14:textId="77777777" w:rsidR="00B1434D" w:rsidRPr="00524CBA" w:rsidRDefault="00B1434D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09" w14:textId="55E4AC3A" w:rsidR="00B1434D" w:rsidRPr="00524CBA" w:rsidRDefault="001B5303" w:rsidP="49E6ED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Anotace</w:t>
      </w:r>
      <w:r w:rsidR="1AEF1D2A"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 xml:space="preserve"> </w:t>
      </w:r>
    </w:p>
    <w:p w14:paraId="0000000A" w14:textId="66E0A427" w:rsidR="00B1434D" w:rsidRPr="00524CBA" w:rsidRDefault="001B5303" w:rsidP="005B0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Kurz se zaměřuje na základní postupy zpracování a deskriptivní analýzy kvantitativních dat. Výuka probíhá formou seminářů a cvičení. Úvodní hodiny </w:t>
      </w:r>
      <w:r w:rsidR="00210512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poskytují základní vhled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do</w:t>
      </w:r>
      <w:r w:rsidR="00595870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problematiky kvantitativního výzkumu, přibližují jeho základní koncepty, seznamují </w:t>
      </w:r>
      <w:r w:rsidR="0027394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studující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</w:t>
      </w:r>
      <w:r w:rsidR="00595870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uživatelským prostředím počítačových programů MS Excel a IBM SPSS 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a také s</w:t>
      </w:r>
      <w:r w:rsidR="00741FB6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postupy zpracování a přípravy dat před analýzou (vytvoření datové matice, zavádění a čištění dat, exporty a importy dat, operace se soubory, vytváření nových proměnných, selekce případů apod.). V</w:t>
      </w:r>
      <w:r w:rsidR="0020796F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e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druhé části se kurz </w:t>
      </w:r>
      <w:r w:rsidR="0020796F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zaměřuje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na základní postupy deskriptivní analýzy dat (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univariační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analýza,</w:t>
      </w:r>
      <w:r w:rsidR="00F8463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třídění pomocí kontingenčních tabulek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). Závěr kurzu je věnován problematice vytváření zprávy z</w:t>
      </w:r>
      <w:r w:rsidR="00C10D2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analýzy</w:t>
      </w:r>
      <w:r w:rsidR="00C10D2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,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náležitostem grafického zobrazení dat</w:t>
      </w:r>
      <w:r w:rsidR="00C10D2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a úvodu do inferenční statistiky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</w:t>
      </w:r>
    </w:p>
    <w:p w14:paraId="7996A49F" w14:textId="233659A8" w:rsidR="007876A5" w:rsidRPr="00524CBA" w:rsidRDefault="007876A5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71A391A" w14:textId="04BEE9B3" w:rsidR="007876A5" w:rsidRPr="00524CBA" w:rsidRDefault="007876A5" w:rsidP="00E34395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SPSS </w:t>
      </w:r>
      <w:r w:rsidR="00131B2E" w:rsidRPr="00524CBA">
        <w:rPr>
          <w:rFonts w:ascii="Open Sans" w:eastAsia="Times New Roman" w:hAnsi="Open Sans" w:cs="Open Sans"/>
          <w:color w:val="000000"/>
          <w:sz w:val="22"/>
          <w:szCs w:val="22"/>
        </w:rPr>
        <w:t>ke stažení zde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: </w:t>
      </w:r>
      <w:hyperlink r:id="rId13" w:history="1">
        <w:r w:rsidRPr="00524CBA">
          <w:rPr>
            <w:rStyle w:val="Hyperlink"/>
            <w:rFonts w:ascii="Open Sans" w:eastAsia="Times New Roman" w:hAnsi="Open Sans" w:cs="Open Sans"/>
            <w:sz w:val="22"/>
            <w:szCs w:val="22"/>
          </w:rPr>
          <w:t>https://it.muni.cz/sluzby/software/ibm-spss-statistics</w:t>
        </w:r>
      </w:hyperlink>
    </w:p>
    <w:p w14:paraId="485DED51" w14:textId="3F979BDC" w:rsidR="007876A5" w:rsidRPr="00524CBA" w:rsidRDefault="007876A5" w:rsidP="00E34395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Style w:val="Hyperlink"/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MS Excel </w:t>
      </w:r>
      <w:r w:rsidR="00131B2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ke stažení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zde: </w:t>
      </w:r>
      <w:hyperlink r:id="rId14" w:history="1">
        <w:r w:rsidRPr="00524CBA">
          <w:rPr>
            <w:rStyle w:val="Hyperlink"/>
            <w:rFonts w:ascii="Open Sans" w:eastAsia="Times New Roman" w:hAnsi="Open Sans" w:cs="Open Sans"/>
            <w:sz w:val="22"/>
            <w:szCs w:val="22"/>
          </w:rPr>
          <w:t>https://it.muni.cz/sluzby/microsoft-excel</w:t>
        </w:r>
      </w:hyperlink>
    </w:p>
    <w:p w14:paraId="5A000D9F" w14:textId="769095BB" w:rsidR="003D38EB" w:rsidRPr="00524CBA" w:rsidRDefault="003D38EB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</w:pPr>
    </w:p>
    <w:p w14:paraId="23CD1C6C" w14:textId="75D5B75A" w:rsidR="003D38EB" w:rsidRPr="00524CBA" w:rsidRDefault="009A14EC" w:rsidP="00301DE9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ind w:right="20"/>
        <w:jc w:val="both"/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B</w:t>
      </w:r>
      <w:r w:rsidR="003D38EB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udete</w:t>
      </w: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-li </w:t>
      </w:r>
      <w:r w:rsidR="003D38EB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pracovat s vlastním počítačem, stáhněte si prosím SPSS a Excel </w:t>
      </w:r>
      <w:r w:rsidR="00BD659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co</w:t>
      </w:r>
      <w:r w:rsidR="002828D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 </w:t>
      </w:r>
      <w:r w:rsidR="00BD659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nejdříve po</w:t>
      </w:r>
      <w:r w:rsidR="00B717E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 </w:t>
      </w:r>
      <w:r w:rsidR="00BD659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začátku výuky,</w:t>
      </w:r>
      <w:r w:rsidR="3C93F12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 </w:t>
      </w:r>
      <w:r w:rsidR="0097764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nejpozději však </w:t>
      </w:r>
      <w:r w:rsidR="00BD659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před třetím setkáním v rámci tohoto předmětu. Pokud </w:t>
      </w:r>
      <w:r w:rsidR="00B41085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narazíte na </w:t>
      </w:r>
      <w:r w:rsidR="00BD659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potíže při stažení nebo instalaci, </w:t>
      </w:r>
      <w:r w:rsidR="00D34921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obraťte se prosím </w:t>
      </w:r>
      <w:r w:rsidR="00BD659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na</w:t>
      </w:r>
      <w:r w:rsidR="00F8309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 </w:t>
      </w:r>
      <w:r w:rsidR="00DF1F2E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Centrum informačních a</w:t>
      </w:r>
      <w:r w:rsidR="009D14E8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 </w:t>
      </w:r>
      <w:r w:rsidR="00DF1F2E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komunikačních technologií FSS </w:t>
      </w:r>
      <w:r w:rsidR="0036055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(</w:t>
      </w:r>
      <w:r w:rsidR="00E10E7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cikt@fss.muni.cz</w:t>
      </w:r>
      <w:r w:rsidR="0036055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)</w:t>
      </w:r>
      <w:r w:rsidR="00E10E7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, případně </w:t>
      </w:r>
      <w:r w:rsidR="00F8309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na</w:t>
      </w:r>
      <w:r w:rsidR="00367197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 </w:t>
      </w:r>
      <w:r w:rsidR="00F8309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vyučující kurzu</w:t>
      </w:r>
      <w:r w:rsidR="0036055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</w:p>
    <w:p w14:paraId="24604718" w14:textId="77777777" w:rsidR="007876A5" w:rsidRPr="00524CBA" w:rsidRDefault="007876A5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0D" w14:textId="3289BDDF" w:rsidR="00B1434D" w:rsidRPr="00524CBA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Cíle kurzu a výstupy z učení</w:t>
      </w:r>
    </w:p>
    <w:p w14:paraId="750147BC" w14:textId="77777777" w:rsidR="000717D4" w:rsidRPr="00524CBA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Cílem kurzu je seznámit </w:t>
      </w:r>
      <w:r w:rsidR="00404341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studující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se základy práce s kvantitativními daty a </w:t>
      </w:r>
      <w:r w:rsidR="003F1CC2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představit jim základní postupy deskriptivní analýzy kvantitativních dat, které se používají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v mediálně-vědním výzkumu za pomoci programů MS Excel a SPSS. Kurz má </w:t>
      </w:r>
      <w:r w:rsidR="00551B87" w:rsidRPr="00524CBA">
        <w:rPr>
          <w:rFonts w:ascii="Open Sans" w:eastAsia="Times New Roman" w:hAnsi="Open Sans" w:cs="Open Sans"/>
          <w:color w:val="000000"/>
          <w:sz w:val="22"/>
          <w:szCs w:val="22"/>
        </w:rPr>
        <w:t>studující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vybavit znalostmi</w:t>
      </w:r>
      <w:r w:rsidR="00E558F8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a schopnostmi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, které jim umožní </w:t>
      </w:r>
      <w:r w:rsidR="00E923D4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samostatně </w:t>
      </w:r>
      <w:r w:rsidR="00366609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zpracovat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základní vhled do kvantitativních dat (</w:t>
      </w:r>
      <w:r w:rsidR="009B3EA5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vytvořit základní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popis a</w:t>
      </w:r>
      <w:r w:rsidR="00E03E5A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shrnutí vlastností zkoumaného souboru</w:t>
      </w:r>
      <w:r w:rsidR="00E03E5A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a jednotlivých proměnných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)</w:t>
      </w:r>
      <w:r w:rsidR="00551978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Kurz také poskytuje vstupní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předpoklady pro pokročilejší analytickou prací.</w:t>
      </w:r>
    </w:p>
    <w:p w14:paraId="731A1505" w14:textId="77777777" w:rsidR="00B05EE6" w:rsidRDefault="00B05EE6">
      <w:pPr>
        <w:rPr>
          <w:rFonts w:ascii="Open Sans" w:eastAsia="Times New Roman" w:hAnsi="Open Sans" w:cs="Open Sans"/>
          <w:color w:val="000000"/>
          <w:sz w:val="22"/>
          <w:szCs w:val="22"/>
        </w:rPr>
      </w:pPr>
      <w:r>
        <w:rPr>
          <w:rFonts w:ascii="Open Sans" w:eastAsia="Times New Roman" w:hAnsi="Open Sans" w:cs="Open Sans"/>
          <w:color w:val="000000"/>
          <w:sz w:val="22"/>
          <w:szCs w:val="22"/>
        </w:rPr>
        <w:br w:type="page"/>
      </w:r>
    </w:p>
    <w:p w14:paraId="0000000F" w14:textId="69BF8339" w:rsidR="00B1434D" w:rsidRPr="00F80E6A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</w:pPr>
      <w:r w:rsidRPr="00F80E6A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lastRenderedPageBreak/>
        <w:t xml:space="preserve">Po absolvování kurzu budou </w:t>
      </w:r>
      <w:r w:rsidR="00723972" w:rsidRPr="00F80E6A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 xml:space="preserve">studující </w:t>
      </w:r>
      <w:r w:rsidRPr="00F80E6A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schopni:</w:t>
      </w:r>
    </w:p>
    <w:p w14:paraId="6EDD0AD5" w14:textId="76E473E7" w:rsidR="006D7720" w:rsidRPr="00524CBA" w:rsidRDefault="001B5303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v prostředí programů MS Excel a IBM SPSS 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exportovat a importovat data a</w:t>
      </w:r>
      <w:r w:rsidR="00503FF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datové sety, vytvořit datovou matici, čistit a transformovat data;</w:t>
      </w:r>
    </w:p>
    <w:p w14:paraId="0BE6718F" w14:textId="77777777" w:rsidR="00B1246B" w:rsidRPr="00524CBA" w:rsidRDefault="006D7720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používat </w:t>
      </w:r>
      <w:r w:rsidR="001B530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statistický program IBM SPSS </w:t>
      </w:r>
      <w:proofErr w:type="spellStart"/>
      <w:r w:rsidR="001B530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Statistics</w:t>
      </w:r>
      <w:proofErr w:type="spellEnd"/>
      <w:r w:rsidR="001B530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pro účely základní </w:t>
      </w:r>
      <w:r w:rsidR="00986099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deskriptivní</w:t>
      </w:r>
      <w:r w:rsidR="001B530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analýzy kvantitativních dat;</w:t>
      </w:r>
    </w:p>
    <w:p w14:paraId="5F87C810" w14:textId="6E6BE658" w:rsidR="00B1246B" w:rsidRPr="00524CBA" w:rsidRDefault="001B5303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prokázat se znalostí základních konceptů a analytických postupů používaných v</w:t>
      </w:r>
      <w:r w:rsidR="009E2BDD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deskriptivní analýze kvantitativních dat a aplikovat je pro potřeby řešení vlastního analytického úkonu;</w:t>
      </w:r>
    </w:p>
    <w:p w14:paraId="6CEAF1D5" w14:textId="77777777" w:rsidR="00E94A40" w:rsidRPr="00524CBA" w:rsidRDefault="001B5303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provést 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univariační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="00B1246B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analýzu a třídit kategorické proměnné pomocí kontingenčních tabulek</w:t>
      </w:r>
      <w:r w:rsidR="00E94A40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;</w:t>
      </w:r>
    </w:p>
    <w:p w14:paraId="41EA7D44" w14:textId="3FB5897C" w:rsidR="00683230" w:rsidRPr="00524CBA" w:rsidRDefault="001B5303" w:rsidP="00EF155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shrnout výsledky formou </w:t>
      </w:r>
      <w:r w:rsidR="005B27B5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krátkého reportu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s použitím odpovídajících grafických prostředků zobrazení dat.</w:t>
      </w:r>
    </w:p>
    <w:p w14:paraId="37FB65C2" w14:textId="77777777" w:rsidR="00F4363E" w:rsidRPr="00524CBA" w:rsidRDefault="00F4363E" w:rsidP="00F4363E">
      <w:p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left="360" w:right="60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00000018" w14:textId="2AF2DBE4" w:rsidR="00B1434D" w:rsidRPr="00524CBA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Podmínky pro ukončení kurzu</w:t>
      </w:r>
    </w:p>
    <w:p w14:paraId="3759A2D1" w14:textId="77777777" w:rsidR="00D17B97" w:rsidRPr="00524CBA" w:rsidRDefault="001B5303" w:rsidP="00604426">
      <w:pPr>
        <w:spacing w:line="276" w:lineRule="auto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Kurz je ukončen zápočtem. Nutnými podmínkami pro získání zápočtu jsou:</w:t>
      </w:r>
    </w:p>
    <w:p w14:paraId="06350785" w14:textId="2B5AF624" w:rsidR="4EF9D29C" w:rsidRPr="00524CBA" w:rsidRDefault="00D17B97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DC"/>
          <w:sz w:val="22"/>
          <w:szCs w:val="22"/>
        </w:rPr>
        <w:t>m</w:t>
      </w:r>
      <w:r w:rsidR="4EF9D29C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aximálně dvě neomluvené absence </w:t>
      </w:r>
      <w:r w:rsidR="4EF9D29C" w:rsidRPr="00524CBA">
        <w:rPr>
          <w:rFonts w:ascii="Open Sans" w:eastAsia="Times New Roman" w:hAnsi="Open Sans" w:cs="Open Sans"/>
          <w:sz w:val="22"/>
          <w:szCs w:val="22"/>
        </w:rPr>
        <w:t>na setkáních</w:t>
      </w:r>
      <w:r w:rsidR="001F1379" w:rsidRPr="00524CBA">
        <w:rPr>
          <w:rFonts w:ascii="Open Sans" w:eastAsia="Times New Roman" w:hAnsi="Open Sans" w:cs="Open Sans"/>
          <w:sz w:val="22"/>
          <w:szCs w:val="22"/>
        </w:rPr>
        <w:t>.</w:t>
      </w:r>
    </w:p>
    <w:p w14:paraId="5BA18F21" w14:textId="77777777" w:rsidR="00D417DB" w:rsidRPr="00524CBA" w:rsidRDefault="00D417DB" w:rsidP="00C80F12">
      <w:p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</w:p>
    <w:p w14:paraId="253457E0" w14:textId="249BCC20" w:rsidR="4EF9D29C" w:rsidRPr="00524CBA" w:rsidRDefault="002C2786" w:rsidP="6A745CB1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Úspěšné vypracování</w:t>
      </w:r>
      <w:r w:rsidR="00D17B97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="00D17B97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všech </w:t>
      </w:r>
      <w:r w:rsidR="2BC63161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osmi </w:t>
      </w:r>
      <w:r w:rsidR="00D17B97" w:rsidRPr="00524CBA">
        <w:rPr>
          <w:rFonts w:ascii="Open Sans" w:eastAsia="Times New Roman" w:hAnsi="Open Sans" w:cs="Open Sans"/>
          <w:color w:val="0000DC"/>
          <w:sz w:val="22"/>
          <w:szCs w:val="22"/>
        </w:rPr>
        <w:t>průběžných praktických úkolů</w:t>
      </w:r>
      <w:r w:rsidR="00E52031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P</w:t>
      </w:r>
      <w:r w:rsidR="00C5582E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růběžné p</w:t>
      </w:r>
      <w:r w:rsidR="0016032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raktické úkoly bude nutné plnit každý týden od </w:t>
      </w:r>
      <w:r w:rsidR="00E52031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setkání v</w:t>
      </w:r>
      <w:r w:rsidR="0016032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e </w:t>
      </w:r>
      <w:r w:rsidR="00E52031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3. týdnu</w:t>
      </w:r>
      <w:r w:rsidR="00DD69C9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. Odevzdání </w:t>
      </w:r>
      <w:r w:rsidR="0034599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úkolů je povinné. </w:t>
      </w:r>
      <w:r w:rsidR="00853396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Konkrétní zadání pro daný týden najdete vždy ve </w:t>
      </w:r>
      <w:r w:rsidR="009039A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</w:t>
      </w:r>
      <w:r w:rsidR="00853396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tudijních materiálech předmětu.</w:t>
      </w:r>
      <w:r w:rsidR="00855AD2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Úkoly se odevzdávají</w:t>
      </w:r>
      <w:r w:rsidR="00BC187D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vždy </w:t>
      </w:r>
      <w:r w:rsidR="00BC187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do půlnoci následující středy</w:t>
      </w:r>
      <w:r w:rsidR="00BC187D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="005A10DB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do</w:t>
      </w:r>
      <w:r w:rsidR="002E330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 </w:t>
      </w:r>
      <w:r w:rsidR="005A10DB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příslušné odevzdávárny v </w:t>
      </w:r>
      <w:proofErr w:type="spellStart"/>
      <w:r w:rsidR="005A10DB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ISu</w:t>
      </w:r>
      <w:proofErr w:type="spellEnd"/>
      <w:r w:rsidR="005A10DB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</w:t>
      </w:r>
      <w:r w:rsidR="0004078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="00C5582E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Například ú</w:t>
      </w:r>
      <w:r w:rsidR="0004078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kol zadaný ve 3. týdnu </w:t>
      </w:r>
      <w:r w:rsidR="00FF0BC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(pátek </w:t>
      </w:r>
      <w:r w:rsidR="00BA365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8</w:t>
      </w:r>
      <w:r w:rsidR="00FF0BC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. </w:t>
      </w:r>
      <w:r w:rsidR="00BA365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března</w:t>
      </w:r>
      <w:r w:rsidR="00FF0BC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) tak bude mít termín odevzdání následující středu (</w:t>
      </w:r>
      <w:r w:rsidR="0019032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13</w:t>
      </w:r>
      <w:r w:rsidR="001C5EBF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. </w:t>
      </w:r>
      <w:r w:rsidR="0019032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března</w:t>
      </w:r>
      <w:r w:rsidR="001C5EBF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) atd.</w:t>
      </w:r>
      <w:r w:rsidR="00B2720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="008D307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Konkrétní datum odevzdání pro každý z úkolů najdete rovněž v zadání v</w:t>
      </w:r>
      <w:r w:rsidR="00E76C3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proofErr w:type="spellStart"/>
      <w:r w:rsidR="008D307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ISu</w:t>
      </w:r>
      <w:proofErr w:type="spellEnd"/>
      <w:r w:rsidR="00E76C3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. </w:t>
      </w:r>
      <w:r w:rsidR="00DC793E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Úkoly nejsou bodované, ale k</w:t>
      </w:r>
      <w:r w:rsidR="00A70529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aždý praktický úkol bude hodnocen </w:t>
      </w:r>
      <w:r w:rsidR="006B765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jako </w:t>
      </w:r>
      <w:r w:rsidR="006B7658" w:rsidRPr="00524CBA">
        <w:rPr>
          <w:rFonts w:ascii="Open Sans" w:eastAsia="Times New Roman" w:hAnsi="Open Sans" w:cs="Open Sans"/>
          <w:color w:val="0000DC"/>
          <w:sz w:val="22"/>
          <w:szCs w:val="22"/>
        </w:rPr>
        <w:t>přijat/nepřijat</w:t>
      </w:r>
      <w:r w:rsidR="006B765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</w:t>
      </w:r>
      <w:r w:rsidR="00D7384F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</w:p>
    <w:p w14:paraId="1292F8AE" w14:textId="77777777" w:rsidR="00D417DB" w:rsidRPr="00524CBA" w:rsidRDefault="00D417DB" w:rsidP="0060442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1541AC5B" w14:textId="26369898" w:rsidR="005226F9" w:rsidRPr="00524CBA" w:rsidRDefault="001F1379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V</w:t>
      </w:r>
      <w:r w:rsidR="00EE6744" w:rsidRPr="00524CBA">
        <w:rPr>
          <w:rFonts w:ascii="Open Sans" w:eastAsia="Times New Roman" w:hAnsi="Open Sans" w:cs="Open Sans"/>
          <w:sz w:val="22"/>
          <w:szCs w:val="22"/>
        </w:rPr>
        <w:t xml:space="preserve">ypracování </w:t>
      </w:r>
      <w:r w:rsidR="00EE6744" w:rsidRPr="00524CBA">
        <w:rPr>
          <w:rFonts w:ascii="Open Sans" w:eastAsia="Times New Roman" w:hAnsi="Open Sans" w:cs="Open Sans"/>
          <w:color w:val="0000DC"/>
          <w:sz w:val="22"/>
          <w:szCs w:val="22"/>
        </w:rPr>
        <w:t>závěrečného praktického úkolu</w:t>
      </w:r>
      <w:r w:rsidR="00EE6744" w:rsidRPr="00524CBA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C47345" w:rsidRPr="00524CBA">
        <w:rPr>
          <w:rFonts w:ascii="Open Sans" w:eastAsia="Times New Roman" w:hAnsi="Open Sans" w:cs="Open Sans"/>
          <w:sz w:val="22"/>
          <w:szCs w:val="22"/>
        </w:rPr>
        <w:t>Konkrétní z</w:t>
      </w:r>
      <w:r w:rsidR="00DA1F15" w:rsidRPr="00524CBA">
        <w:rPr>
          <w:rFonts w:ascii="Open Sans" w:eastAsia="Times New Roman" w:hAnsi="Open Sans" w:cs="Open Sans"/>
          <w:sz w:val="22"/>
          <w:szCs w:val="22"/>
        </w:rPr>
        <w:t>adání závěrečného praktického úkolu bude zveřejněno v</w:t>
      </w:r>
      <w:r w:rsidR="009039AA" w:rsidRPr="00524CBA">
        <w:rPr>
          <w:rFonts w:ascii="Open Sans" w:eastAsia="Times New Roman" w:hAnsi="Open Sans" w:cs="Open Sans"/>
          <w:sz w:val="22"/>
          <w:szCs w:val="22"/>
        </w:rPr>
        <w:t>e studijních materiálech</w:t>
      </w:r>
      <w:r w:rsidR="00F96317" w:rsidRPr="00524CBA">
        <w:rPr>
          <w:rFonts w:ascii="Open Sans" w:eastAsia="Times New Roman" w:hAnsi="Open Sans" w:cs="Open Sans"/>
          <w:sz w:val="22"/>
          <w:szCs w:val="22"/>
        </w:rPr>
        <w:t xml:space="preserve"> na konci </w:t>
      </w:r>
      <w:r w:rsidR="00B3769B" w:rsidRPr="00524CBA">
        <w:rPr>
          <w:rFonts w:ascii="Open Sans" w:eastAsia="Times New Roman" w:hAnsi="Open Sans" w:cs="Open Sans"/>
          <w:sz w:val="22"/>
          <w:szCs w:val="22"/>
        </w:rPr>
        <w:t>dubna</w:t>
      </w:r>
      <w:r w:rsidR="009039AA" w:rsidRPr="00524CBA">
        <w:rPr>
          <w:rFonts w:ascii="Open Sans" w:eastAsia="Times New Roman" w:hAnsi="Open Sans" w:cs="Open Sans"/>
          <w:sz w:val="22"/>
          <w:szCs w:val="22"/>
        </w:rPr>
        <w:t>.</w:t>
      </w:r>
      <w:r w:rsidR="00977DBF" w:rsidRPr="00524CBA">
        <w:rPr>
          <w:rFonts w:ascii="Open Sans" w:eastAsia="Times New Roman" w:hAnsi="Open Sans" w:cs="Open Sans"/>
          <w:sz w:val="22"/>
          <w:szCs w:val="22"/>
        </w:rPr>
        <w:t xml:space="preserve"> Závěrečný praktický úkol se odevzdává </w:t>
      </w:r>
      <w:r w:rsidR="00977DBF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do </w:t>
      </w:r>
      <w:r w:rsidR="00F456E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středy 2</w:t>
      </w:r>
      <w:r w:rsidR="00306CBC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2</w:t>
      </w:r>
      <w:r w:rsidR="00F456E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306CBC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května </w:t>
      </w:r>
      <w:r w:rsidR="00C47345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do příslušné odevzdávárny v </w:t>
      </w:r>
      <w:proofErr w:type="spellStart"/>
      <w:r w:rsidR="00C47345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ISu</w:t>
      </w:r>
      <w:proofErr w:type="spellEnd"/>
      <w:r w:rsidR="00C47345" w:rsidRPr="00524CBA">
        <w:rPr>
          <w:rFonts w:ascii="Open Sans" w:eastAsia="Times New Roman" w:hAnsi="Open Sans" w:cs="Open Sans"/>
          <w:b/>
          <w:bCs/>
          <w:sz w:val="22"/>
          <w:szCs w:val="22"/>
        </w:rPr>
        <w:t>.</w:t>
      </w:r>
      <w:r w:rsidR="00BF732A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D77A7D" w:rsidRPr="00524CBA">
        <w:rPr>
          <w:rFonts w:ascii="Open Sans" w:eastAsia="Times New Roman" w:hAnsi="Open Sans" w:cs="Open Sans"/>
          <w:sz w:val="22"/>
          <w:szCs w:val="22"/>
        </w:rPr>
        <w:t xml:space="preserve">Závěrečný praktický úkol bude hodnocen jako </w:t>
      </w:r>
      <w:r w:rsidR="00D77A7D" w:rsidRPr="00524CBA">
        <w:rPr>
          <w:rFonts w:ascii="Open Sans" w:eastAsia="Times New Roman" w:hAnsi="Open Sans" w:cs="Open Sans"/>
          <w:color w:val="0000DC"/>
          <w:sz w:val="22"/>
          <w:szCs w:val="22"/>
        </w:rPr>
        <w:t>přijat/nepřijat</w:t>
      </w:r>
      <w:r w:rsidR="00D77A7D" w:rsidRPr="00524CBA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D77A7D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V případě nepřijetí úkolu bude možnost jedné opravy.</w:t>
      </w:r>
      <w:r w:rsidR="00217D7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Domluva na termínu odevzdání opravy závěrečného úkolu bude individuální.</w:t>
      </w:r>
    </w:p>
    <w:p w14:paraId="2F0C68C5" w14:textId="77777777" w:rsidR="00ED23DE" w:rsidRPr="00524CBA" w:rsidRDefault="00ED23DE" w:rsidP="00604426">
      <w:pPr>
        <w:tabs>
          <w:tab w:val="left" w:pos="700"/>
        </w:tabs>
        <w:spacing w:line="276" w:lineRule="auto"/>
        <w:jc w:val="both"/>
        <w:rPr>
          <w:rFonts w:ascii="Open Sans" w:eastAsia="Arial" w:hAnsi="Open Sans" w:cs="Open Sans"/>
          <w:sz w:val="22"/>
          <w:szCs w:val="22"/>
        </w:rPr>
      </w:pPr>
    </w:p>
    <w:p w14:paraId="7AC2EF00" w14:textId="4A121C54" w:rsidR="004C5F0A" w:rsidRPr="00524CBA" w:rsidRDefault="00D417DB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Zisk </w:t>
      </w:r>
      <w:r w:rsidR="001B5303" w:rsidRPr="00524CBA">
        <w:rPr>
          <w:rFonts w:ascii="Open Sans" w:eastAsia="Times New Roman" w:hAnsi="Open Sans" w:cs="Open Sans"/>
          <w:sz w:val="22"/>
          <w:szCs w:val="22"/>
        </w:rPr>
        <w:t xml:space="preserve">minimálně 60 % bodů v </w:t>
      </w:r>
      <w:r w:rsidR="001B5303" w:rsidRPr="00524CBA">
        <w:rPr>
          <w:rFonts w:ascii="Open Sans" w:eastAsia="Times New Roman" w:hAnsi="Open Sans" w:cs="Open Sans"/>
          <w:bCs/>
          <w:color w:val="0000DC"/>
          <w:sz w:val="22"/>
          <w:szCs w:val="22"/>
        </w:rPr>
        <w:t>závěrečném testu</w:t>
      </w:r>
      <w:r w:rsidR="007876A5" w:rsidRPr="00524CBA">
        <w:rPr>
          <w:rFonts w:ascii="Open Sans" w:eastAsia="Times New Roman" w:hAnsi="Open Sans" w:cs="Open Sans"/>
          <w:sz w:val="22"/>
          <w:szCs w:val="22"/>
        </w:rPr>
        <w:t xml:space="preserve"> s uzavřenými 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(10 otázek) </w:t>
      </w:r>
      <w:r w:rsidR="007876A5" w:rsidRPr="00524CBA">
        <w:rPr>
          <w:rFonts w:ascii="Open Sans" w:eastAsia="Times New Roman" w:hAnsi="Open Sans" w:cs="Open Sans"/>
          <w:sz w:val="22"/>
          <w:szCs w:val="22"/>
        </w:rPr>
        <w:t xml:space="preserve">a otevřenými 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(2 otázky) </w:t>
      </w:r>
      <w:r w:rsidR="007876A5" w:rsidRPr="00524CBA">
        <w:rPr>
          <w:rFonts w:ascii="Open Sans" w:eastAsia="Times New Roman" w:hAnsi="Open Sans" w:cs="Open Sans"/>
          <w:sz w:val="22"/>
          <w:szCs w:val="22"/>
        </w:rPr>
        <w:t>otázkami</w:t>
      </w:r>
      <w:r w:rsidRPr="00524CBA">
        <w:rPr>
          <w:rFonts w:ascii="Open Sans" w:eastAsia="Times New Roman" w:hAnsi="Open Sans" w:cs="Open Sans"/>
          <w:sz w:val="22"/>
          <w:szCs w:val="22"/>
        </w:rPr>
        <w:t>.</w:t>
      </w:r>
      <w:r w:rsidR="005B3A0C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Test bude ověřovat znalost </w:t>
      </w:r>
      <w:r w:rsidR="00015337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základních teoretických konceptů probíraných v kurzu.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>Nepůjde tedy o počítání příkladů</w:t>
      </w:r>
      <w:r w:rsidR="00015337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nebo „klikání“ v SPSS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, ale </w:t>
      </w:r>
      <w:r w:rsidR="00D41E02" w:rsidRPr="00524CBA">
        <w:rPr>
          <w:rFonts w:ascii="Open Sans" w:eastAsia="Times New Roman" w:hAnsi="Open Sans" w:cs="Open Sans"/>
          <w:color w:val="000000"/>
          <w:sz w:val="22"/>
          <w:szCs w:val="22"/>
        </w:rPr>
        <w:t>o</w:t>
      </w:r>
      <w:r w:rsidR="00F92794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>porozumění pojmům.</w:t>
      </w:r>
      <w:r w:rsidR="00F10738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>Test se uskuteční v průběhu zkouškového období</w:t>
      </w:r>
      <w:r w:rsidR="00EA439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prezenčně v počítačové učebně na FSS</w:t>
      </w:r>
      <w:r w:rsidR="001753F2" w:rsidRPr="00524CBA">
        <w:rPr>
          <w:rFonts w:ascii="Open Sans" w:eastAsia="Times New Roman" w:hAnsi="Open Sans" w:cs="Open Sans"/>
          <w:color w:val="000000"/>
          <w:sz w:val="22"/>
          <w:szCs w:val="22"/>
        </w:rPr>
        <w:t>. Termíny zkoušky budou vyhlášeny s</w:t>
      </w:r>
      <w:r w:rsidR="0059748C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="001753F2" w:rsidRPr="00524CBA">
        <w:rPr>
          <w:rFonts w:ascii="Open Sans" w:eastAsia="Times New Roman" w:hAnsi="Open Sans" w:cs="Open Sans"/>
          <w:color w:val="000000"/>
          <w:sz w:val="22"/>
          <w:szCs w:val="22"/>
        </w:rPr>
        <w:t>předstihem</w:t>
      </w:r>
      <w:r w:rsidR="0059748C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a</w:t>
      </w:r>
      <w:r w:rsidR="0063792C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="001753F2" w:rsidRPr="00524CBA">
        <w:rPr>
          <w:rFonts w:ascii="Open Sans" w:eastAsia="Times New Roman" w:hAnsi="Open Sans" w:cs="Open Sans"/>
          <w:color w:val="000000"/>
          <w:sz w:val="22"/>
          <w:szCs w:val="22"/>
        </w:rPr>
        <w:t>v</w:t>
      </w:r>
      <w:r w:rsidR="009A3A5F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="001753F2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souladu se studijním řádem.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9748C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Studující mají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>možnost využít jednoho řádného a dvou opravných termínů.</w:t>
      </w:r>
    </w:p>
    <w:p w14:paraId="338A12F4" w14:textId="11461577" w:rsidR="00823359" w:rsidRPr="00524CBA" w:rsidRDefault="00823359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80"/>
        <w:jc w:val="both"/>
        <w:rPr>
          <w:rFonts w:ascii="Open Sans" w:hAnsi="Open Sans" w:cs="Open Sans"/>
          <w:sz w:val="22"/>
          <w:szCs w:val="22"/>
        </w:rPr>
      </w:pPr>
    </w:p>
    <w:p w14:paraId="6522CD9B" w14:textId="77777777" w:rsidR="000C2742" w:rsidRDefault="000C2742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br w:type="page"/>
      </w:r>
    </w:p>
    <w:p w14:paraId="48B23432" w14:textId="40324F8E" w:rsidR="0034707E" w:rsidRPr="00524CBA" w:rsidRDefault="0034707E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8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hAnsi="Open Sans" w:cs="Open Sans"/>
          <w:b/>
          <w:bCs/>
          <w:sz w:val="22"/>
          <w:szCs w:val="22"/>
        </w:rPr>
        <w:lastRenderedPageBreak/>
        <w:t>Možnost uznání kurzu</w:t>
      </w:r>
    </w:p>
    <w:p w14:paraId="1213CDD5" w14:textId="6440F5D4" w:rsidR="00B621AA" w:rsidRPr="00524CBA" w:rsidRDefault="00823359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V případě, že </w:t>
      </w:r>
      <w:r w:rsidR="00C75E8F" w:rsidRPr="00524CBA">
        <w:rPr>
          <w:rFonts w:ascii="Open Sans" w:eastAsia="Times New Roman" w:hAnsi="Open Sans" w:cs="Open Sans"/>
          <w:sz w:val="22"/>
          <w:szCs w:val="22"/>
        </w:rPr>
        <w:t xml:space="preserve">studující </w:t>
      </w:r>
      <w:r w:rsidRPr="00524CBA">
        <w:rPr>
          <w:rFonts w:ascii="Open Sans" w:eastAsia="Times New Roman" w:hAnsi="Open Sans" w:cs="Open Sans"/>
          <w:sz w:val="22"/>
          <w:szCs w:val="22"/>
        </w:rPr>
        <w:t>již absolvoval</w:t>
      </w:r>
      <w:r w:rsidR="00C75E8F" w:rsidRPr="00524CBA">
        <w:rPr>
          <w:rFonts w:ascii="Open Sans" w:eastAsia="Times New Roman" w:hAnsi="Open Sans" w:cs="Open Sans"/>
          <w:sz w:val="22"/>
          <w:szCs w:val="22"/>
        </w:rPr>
        <w:t>*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a podobně zaměřený kurz, </w:t>
      </w:r>
      <w:r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je možné si </w:t>
      </w:r>
      <w:r w:rsidR="00CF0549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předmět </w:t>
      </w:r>
      <w:r w:rsidR="000136FB" w:rsidRPr="00524CBA">
        <w:rPr>
          <w:rFonts w:ascii="Open Sans" w:eastAsia="Times New Roman" w:hAnsi="Open Sans" w:cs="Open Sans"/>
          <w:color w:val="0000DC"/>
          <w:sz w:val="22"/>
          <w:szCs w:val="22"/>
        </w:rPr>
        <w:t>ZURn4108 Deskriptivní analýza kvantitativních dat</w:t>
      </w:r>
      <w:r w:rsidR="00BC4F4F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DC"/>
          <w:sz w:val="22"/>
          <w:szCs w:val="22"/>
        </w:rPr>
        <w:t>nechat uznat</w:t>
      </w:r>
      <w:r w:rsidR="00C1718F" w:rsidRPr="00524CBA">
        <w:rPr>
          <w:rFonts w:ascii="Open Sans" w:eastAsia="Times New Roman" w:hAnsi="Open Sans" w:cs="Open Sans"/>
          <w:sz w:val="22"/>
          <w:szCs w:val="22"/>
        </w:rPr>
        <w:t>, a to po schválení vyučující</w:t>
      </w:r>
      <w:r w:rsidR="00FB5650" w:rsidRPr="00524CBA">
        <w:rPr>
          <w:rFonts w:ascii="Open Sans" w:eastAsia="Times New Roman" w:hAnsi="Open Sans" w:cs="Open Sans"/>
          <w:sz w:val="22"/>
          <w:szCs w:val="22"/>
        </w:rPr>
        <w:t>mi tohoto kurzu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B621AA" w:rsidRPr="00524CBA">
        <w:rPr>
          <w:rFonts w:ascii="Open Sans" w:eastAsia="Times New Roman" w:hAnsi="Open Sans" w:cs="Open Sans"/>
          <w:sz w:val="22"/>
          <w:szCs w:val="22"/>
        </w:rPr>
        <w:t>Pokud máte zájem o uznání kurzu, zašlete nejpozději</w:t>
      </w:r>
      <w:r w:rsidR="00B621AA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 do konce období </w:t>
      </w:r>
      <w:r w:rsidR="00D6145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změn v </w:t>
      </w:r>
      <w:r w:rsidR="00B621AA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zápisu </w:t>
      </w:r>
      <w:r w:rsidR="00901A5E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předmětů </w:t>
      </w:r>
      <w:r w:rsidR="00B621AA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(tj. do </w:t>
      </w:r>
      <w:r w:rsidR="007156BF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3</w:t>
      </w:r>
      <w:r w:rsidR="00B621AA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7156BF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3</w:t>
      </w:r>
      <w:r w:rsidR="00B621AA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 202</w:t>
      </w:r>
      <w:r w:rsidR="007156BF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4</w:t>
      </w:r>
      <w:r w:rsidR="00B621AA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) </w:t>
      </w:r>
      <w:r w:rsidR="00B621AA" w:rsidRPr="00524CBA">
        <w:rPr>
          <w:rFonts w:ascii="Open Sans" w:eastAsia="Times New Roman" w:hAnsi="Open Sans" w:cs="Open Sans"/>
          <w:sz w:val="22"/>
          <w:szCs w:val="22"/>
        </w:rPr>
        <w:t>na e-mailovou adresu</w:t>
      </w:r>
      <w:r w:rsidR="00D64765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B621AA" w:rsidRPr="00524CBA">
        <w:rPr>
          <w:rFonts w:ascii="Open Sans" w:eastAsia="Times New Roman" w:hAnsi="Open Sans" w:cs="Open Sans"/>
          <w:sz w:val="22"/>
          <w:szCs w:val="22"/>
        </w:rPr>
        <w:t>Lucie Čejkové (</w:t>
      </w:r>
      <w:r w:rsidR="00B621AA" w:rsidRPr="00524CBA">
        <w:rPr>
          <w:rFonts w:ascii="Open Sans" w:eastAsia="Times New Roman" w:hAnsi="Open Sans" w:cs="Open Sans"/>
          <w:color w:val="0000DC"/>
          <w:sz w:val="22"/>
          <w:szCs w:val="22"/>
        </w:rPr>
        <w:t>luc.cejkova@mail.muni.cz</w:t>
      </w:r>
      <w:r w:rsidR="00B621AA" w:rsidRPr="00524CBA">
        <w:rPr>
          <w:rFonts w:ascii="Open Sans" w:eastAsia="Times New Roman" w:hAnsi="Open Sans" w:cs="Open Sans"/>
          <w:sz w:val="22"/>
          <w:szCs w:val="22"/>
        </w:rPr>
        <w:t xml:space="preserve">) </w:t>
      </w:r>
      <w:r w:rsidR="00A74A5F" w:rsidRPr="00524CBA">
        <w:rPr>
          <w:rFonts w:ascii="Open Sans" w:eastAsia="Times New Roman" w:hAnsi="Open Sans" w:cs="Open Sans"/>
          <w:sz w:val="22"/>
          <w:szCs w:val="22"/>
        </w:rPr>
        <w:t>následující</w:t>
      </w:r>
      <w:r w:rsidR="00D64765" w:rsidRPr="00524CBA">
        <w:rPr>
          <w:rFonts w:ascii="Open Sans" w:eastAsia="Times New Roman" w:hAnsi="Open Sans" w:cs="Open Sans"/>
          <w:sz w:val="22"/>
          <w:szCs w:val="22"/>
        </w:rPr>
        <w:t xml:space="preserve"> údaje:</w:t>
      </w:r>
    </w:p>
    <w:p w14:paraId="21B1CC9E" w14:textId="58B5AB09" w:rsidR="00A74A5F" w:rsidRPr="00524CBA" w:rsidRDefault="005A2D24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j</w:t>
      </w:r>
      <w:r w:rsidR="007C5B61" w:rsidRPr="00524CBA">
        <w:rPr>
          <w:rFonts w:ascii="Open Sans" w:eastAsia="Times New Roman" w:hAnsi="Open Sans" w:cs="Open Sans"/>
          <w:sz w:val="22"/>
          <w:szCs w:val="22"/>
        </w:rPr>
        <w:t>méno, příjmení, UČO;</w:t>
      </w:r>
    </w:p>
    <w:p w14:paraId="6B24BEA7" w14:textId="23BEEBBD" w:rsidR="00684BD1" w:rsidRPr="00524CBA" w:rsidRDefault="00684BD1" w:rsidP="00604426">
      <w:pPr>
        <w:pStyle w:val="ListParagraph"/>
        <w:numPr>
          <w:ilvl w:val="0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doklad o absolvování kurzu</w:t>
      </w:r>
      <w:r w:rsidR="00190F92" w:rsidRPr="00524CBA">
        <w:rPr>
          <w:rFonts w:ascii="Open Sans" w:eastAsia="Times New Roman" w:hAnsi="Open Sans" w:cs="Open Sans"/>
          <w:sz w:val="22"/>
          <w:szCs w:val="22"/>
        </w:rPr>
        <w:t>:</w:t>
      </w:r>
    </w:p>
    <w:p w14:paraId="51FF41FC" w14:textId="6C9A00FC" w:rsidR="009E15CB" w:rsidRPr="00524CBA" w:rsidRDefault="009E15CB" w:rsidP="00684BD1">
      <w:pPr>
        <w:pStyle w:val="ListParagraph"/>
        <w:numPr>
          <w:ilvl w:val="1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pokud se jednalo o kurz na MU, </w:t>
      </w:r>
      <w:r w:rsidR="009D70DE" w:rsidRPr="00524CBA">
        <w:rPr>
          <w:rFonts w:ascii="Open Sans" w:eastAsia="Times New Roman" w:hAnsi="Open Sans" w:cs="Open Sans"/>
          <w:sz w:val="22"/>
          <w:szCs w:val="22"/>
        </w:rPr>
        <w:t>výpis známek z </w:t>
      </w:r>
      <w:proofErr w:type="spellStart"/>
      <w:r w:rsidR="009D70DE" w:rsidRPr="00524CBA">
        <w:rPr>
          <w:rFonts w:ascii="Open Sans" w:eastAsia="Times New Roman" w:hAnsi="Open Sans" w:cs="Open Sans"/>
          <w:sz w:val="22"/>
          <w:szCs w:val="22"/>
        </w:rPr>
        <w:t>ISu</w:t>
      </w:r>
      <w:proofErr w:type="spellEnd"/>
      <w:r w:rsidR="009D70DE" w:rsidRPr="00524CBA">
        <w:rPr>
          <w:rFonts w:ascii="Open Sans" w:eastAsia="Times New Roman" w:hAnsi="Open Sans" w:cs="Open Sans"/>
          <w:sz w:val="22"/>
          <w:szCs w:val="22"/>
        </w:rPr>
        <w:t xml:space="preserve"> obsahující dříve absolvovaný </w:t>
      </w:r>
      <w:r w:rsidR="002470E7" w:rsidRPr="00524CBA">
        <w:rPr>
          <w:rFonts w:ascii="Open Sans" w:eastAsia="Times New Roman" w:hAnsi="Open Sans" w:cs="Open Sans"/>
          <w:sz w:val="22"/>
          <w:szCs w:val="22"/>
        </w:rPr>
        <w:t>kurz či kurzy</w:t>
      </w:r>
      <w:r w:rsidR="009D70DE" w:rsidRPr="00524CBA">
        <w:rPr>
          <w:rFonts w:ascii="Open Sans" w:eastAsia="Times New Roman" w:hAnsi="Open Sans" w:cs="Open Sans"/>
          <w:sz w:val="22"/>
          <w:szCs w:val="22"/>
        </w:rPr>
        <w:t xml:space="preserve"> (Student </w:t>
      </w:r>
      <w:r w:rsidR="009D70DE" w:rsidRPr="00524CBA">
        <w:rPr>
          <w:rFonts w:ascii="Times New Roman" w:eastAsia="Times New Roman" w:hAnsi="Times New Roman" w:cs="Times New Roman"/>
          <w:sz w:val="22"/>
          <w:szCs w:val="22"/>
        </w:rPr>
        <w:t>→</w:t>
      </w:r>
      <w:r w:rsidR="009D70DE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C2532C" w:rsidRPr="00524CBA">
        <w:rPr>
          <w:rFonts w:ascii="Open Sans" w:eastAsia="Times New Roman" w:hAnsi="Open Sans" w:cs="Open Sans"/>
          <w:sz w:val="22"/>
          <w:szCs w:val="22"/>
        </w:rPr>
        <w:t>Konec semestru </w:t>
      </w:r>
      <w:r w:rsidR="00C2532C" w:rsidRPr="00524CBA">
        <w:rPr>
          <w:rFonts w:ascii="Times New Roman" w:eastAsia="Times New Roman" w:hAnsi="Times New Roman" w:cs="Times New Roman"/>
          <w:sz w:val="22"/>
          <w:szCs w:val="22"/>
        </w:rPr>
        <w:t>→</w:t>
      </w:r>
      <w:r w:rsidR="00C2532C" w:rsidRPr="00524CBA">
        <w:rPr>
          <w:rFonts w:ascii="Open Sans" w:eastAsia="Times New Roman" w:hAnsi="Open Sans" w:cs="Open Sans"/>
          <w:sz w:val="22"/>
          <w:szCs w:val="22"/>
        </w:rPr>
        <w:t xml:space="preserve"> Získané známky </w:t>
      </w:r>
      <w:r w:rsidR="00C2532C" w:rsidRPr="00524CBA">
        <w:rPr>
          <w:rFonts w:ascii="Times New Roman" w:eastAsia="Times New Roman" w:hAnsi="Times New Roman" w:cs="Times New Roman"/>
          <w:sz w:val="22"/>
          <w:szCs w:val="22"/>
        </w:rPr>
        <w:t>→</w:t>
      </w:r>
      <w:r w:rsidR="00C2532C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0850C6" w:rsidRPr="00524CBA">
        <w:rPr>
          <w:rFonts w:ascii="Open Sans" w:eastAsia="Times New Roman" w:hAnsi="Open Sans" w:cs="Open Sans"/>
          <w:sz w:val="22"/>
          <w:szCs w:val="22"/>
        </w:rPr>
        <w:t xml:space="preserve">Zobrazit hodnocení za všechna období studia </w:t>
      </w:r>
      <w:r w:rsidR="000850C6" w:rsidRPr="00524CBA">
        <w:rPr>
          <w:rFonts w:ascii="Times New Roman" w:eastAsia="Times New Roman" w:hAnsi="Times New Roman" w:cs="Times New Roman"/>
          <w:sz w:val="22"/>
          <w:szCs w:val="22"/>
        </w:rPr>
        <w:t>→</w:t>
      </w:r>
      <w:r w:rsidR="000850C6" w:rsidRPr="00524CBA">
        <w:rPr>
          <w:rFonts w:ascii="Open Sans" w:eastAsia="Times New Roman" w:hAnsi="Open Sans" w:cs="Open Sans"/>
          <w:sz w:val="22"/>
          <w:szCs w:val="22"/>
        </w:rPr>
        <w:t xml:space="preserve"> v dolní části stránky možnost Výpis známek)</w:t>
      </w:r>
      <w:r w:rsidRPr="00524CBA">
        <w:rPr>
          <w:rFonts w:ascii="Open Sans" w:eastAsia="Times New Roman" w:hAnsi="Open Sans" w:cs="Open Sans"/>
          <w:sz w:val="22"/>
          <w:szCs w:val="22"/>
        </w:rPr>
        <w:t>;</w:t>
      </w:r>
    </w:p>
    <w:p w14:paraId="09D1E184" w14:textId="794612BC" w:rsidR="007C5B61" w:rsidRPr="00524CBA" w:rsidRDefault="009E15CB" w:rsidP="00684BD1">
      <w:pPr>
        <w:pStyle w:val="ListParagraph"/>
        <w:numPr>
          <w:ilvl w:val="1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pokud se jednalo </w:t>
      </w:r>
      <w:r w:rsidR="00684BD1" w:rsidRPr="00524CBA">
        <w:rPr>
          <w:rFonts w:ascii="Open Sans" w:eastAsia="Times New Roman" w:hAnsi="Open Sans" w:cs="Open Sans"/>
          <w:sz w:val="22"/>
          <w:szCs w:val="22"/>
        </w:rPr>
        <w:t xml:space="preserve">jiný kurz, je třeba doložit jakýkoli jiný doklad – například certifikát, </w:t>
      </w:r>
      <w:r w:rsidR="004A08B0" w:rsidRPr="00524CBA">
        <w:rPr>
          <w:rFonts w:ascii="Open Sans" w:eastAsia="Times New Roman" w:hAnsi="Open Sans" w:cs="Open Sans"/>
          <w:sz w:val="22"/>
          <w:szCs w:val="22"/>
        </w:rPr>
        <w:t>potvrzení o úspěšném absolvování kurzu apod.;</w:t>
      </w:r>
    </w:p>
    <w:p w14:paraId="552A9F72" w14:textId="77777777" w:rsidR="00190F92" w:rsidRPr="00524CBA" w:rsidRDefault="00190F92" w:rsidP="00604426">
      <w:pPr>
        <w:pStyle w:val="ListParagraph"/>
        <w:numPr>
          <w:ilvl w:val="0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obsah absolvovaného kurzu:</w:t>
      </w:r>
    </w:p>
    <w:p w14:paraId="66F1465D" w14:textId="77777777" w:rsidR="00190F92" w:rsidRPr="00524CBA" w:rsidRDefault="00190F92" w:rsidP="00190F92">
      <w:pPr>
        <w:pStyle w:val="ListParagraph"/>
        <w:numPr>
          <w:ilvl w:val="1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pokud se jednalo o univerzitní předmět, doložte prosím </w:t>
      </w:r>
      <w:r w:rsidR="00764EF2" w:rsidRPr="00524CBA">
        <w:rPr>
          <w:rFonts w:ascii="Open Sans" w:eastAsia="Times New Roman" w:hAnsi="Open Sans" w:cs="Open Sans"/>
          <w:sz w:val="22"/>
          <w:szCs w:val="22"/>
        </w:rPr>
        <w:t>sylabus</w:t>
      </w:r>
      <w:r w:rsidRPr="00524CBA">
        <w:rPr>
          <w:rFonts w:ascii="Open Sans" w:eastAsia="Times New Roman" w:hAnsi="Open Sans" w:cs="Open Sans"/>
          <w:sz w:val="22"/>
          <w:szCs w:val="22"/>
        </w:rPr>
        <w:t>;</w:t>
      </w:r>
    </w:p>
    <w:p w14:paraId="7AB9D287" w14:textId="62298F5B" w:rsidR="000850C6" w:rsidRPr="00524CBA" w:rsidRDefault="00190F92" w:rsidP="00190F92">
      <w:pPr>
        <w:pStyle w:val="ListParagraph"/>
        <w:numPr>
          <w:ilvl w:val="1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pokud se jednalo o jiný kurz,</w:t>
      </w:r>
      <w:r w:rsidR="00505740" w:rsidRPr="00524CBA">
        <w:rPr>
          <w:rFonts w:ascii="Open Sans" w:eastAsia="Times New Roman" w:hAnsi="Open Sans" w:cs="Open Sans"/>
          <w:sz w:val="22"/>
          <w:szCs w:val="22"/>
        </w:rPr>
        <w:t xml:space="preserve"> doložte </w:t>
      </w:r>
      <w:r w:rsidR="004A08B0" w:rsidRPr="00524CBA">
        <w:rPr>
          <w:rFonts w:ascii="Open Sans" w:eastAsia="Times New Roman" w:hAnsi="Open Sans" w:cs="Open Sans"/>
          <w:sz w:val="22"/>
          <w:szCs w:val="22"/>
        </w:rPr>
        <w:t xml:space="preserve">osnovu </w:t>
      </w:r>
      <w:r w:rsidR="00505740" w:rsidRPr="00524CBA">
        <w:rPr>
          <w:rFonts w:ascii="Open Sans" w:eastAsia="Times New Roman" w:hAnsi="Open Sans" w:cs="Open Sans"/>
          <w:sz w:val="22"/>
          <w:szCs w:val="22"/>
        </w:rPr>
        <w:t>či přehled obsahu kurzu.</w:t>
      </w:r>
    </w:p>
    <w:p w14:paraId="2FD5180C" w14:textId="3935EF8D" w:rsidR="008D359D" w:rsidRPr="00524CBA" w:rsidRDefault="008D359D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5305F108" w14:textId="0DC9FEBA" w:rsidR="00823359" w:rsidRPr="00524CBA" w:rsidRDefault="008D359D" w:rsidP="006A04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Po přijetí e-mailu vyhodnotíme zaslané materiály a ozveme s</w:t>
      </w:r>
      <w:r w:rsidR="0025557A" w:rsidRPr="00524CBA">
        <w:rPr>
          <w:rFonts w:ascii="Open Sans" w:eastAsia="Times New Roman" w:hAnsi="Open Sans" w:cs="Open Sans"/>
          <w:sz w:val="22"/>
          <w:szCs w:val="22"/>
        </w:rPr>
        <w:t>e s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 informací, zda </w:t>
      </w:r>
      <w:r w:rsidR="006A049A" w:rsidRPr="00524CBA">
        <w:rPr>
          <w:rFonts w:ascii="Open Sans" w:eastAsia="Times New Roman" w:hAnsi="Open Sans" w:cs="Open Sans"/>
          <w:sz w:val="22"/>
          <w:szCs w:val="22"/>
        </w:rPr>
        <w:t>jsou zaslané podklady dostačující pro uznání kurzu.</w:t>
      </w:r>
      <w:r w:rsidR="00212F73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6A049A" w:rsidRPr="00524CBA">
        <w:rPr>
          <w:rFonts w:ascii="Open Sans" w:eastAsia="Times New Roman" w:hAnsi="Open Sans" w:cs="Open Sans"/>
          <w:sz w:val="22"/>
          <w:szCs w:val="22"/>
        </w:rPr>
        <w:t xml:space="preserve">Pokud bude kurz uznán, studující </w:t>
      </w:r>
      <w:r w:rsidR="00D70BA5" w:rsidRPr="00524CBA">
        <w:rPr>
          <w:rFonts w:ascii="Open Sans" w:eastAsia="Times New Roman" w:hAnsi="Open Sans" w:cs="Open Sans"/>
          <w:sz w:val="22"/>
          <w:szCs w:val="22"/>
        </w:rPr>
        <w:t xml:space="preserve">dostane zápočet bez nutnosti </w:t>
      </w:r>
      <w:r w:rsidR="00823359" w:rsidRPr="00524CBA">
        <w:rPr>
          <w:rFonts w:ascii="Open Sans" w:eastAsia="Times New Roman" w:hAnsi="Open Sans" w:cs="Open Sans"/>
          <w:sz w:val="22"/>
          <w:szCs w:val="22"/>
        </w:rPr>
        <w:t xml:space="preserve">splnit podmínky </w:t>
      </w:r>
      <w:r w:rsidR="00212F73" w:rsidRPr="00524CBA">
        <w:rPr>
          <w:rFonts w:ascii="Open Sans" w:eastAsia="Times New Roman" w:hAnsi="Open Sans" w:cs="Open Sans"/>
          <w:sz w:val="22"/>
          <w:szCs w:val="22"/>
        </w:rPr>
        <w:t>pro ukončení kurzu</w:t>
      </w:r>
      <w:r w:rsidR="00823359" w:rsidRPr="00524CBA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9050BB" w:rsidRPr="00524CBA">
        <w:rPr>
          <w:rFonts w:ascii="Open Sans" w:eastAsia="Times New Roman" w:hAnsi="Open Sans" w:cs="Open Sans"/>
          <w:sz w:val="22"/>
          <w:szCs w:val="22"/>
        </w:rPr>
        <w:t xml:space="preserve">Bude-li mít zájem, může navštěvovat </w:t>
      </w:r>
      <w:r w:rsidR="00823359" w:rsidRPr="00524CBA">
        <w:rPr>
          <w:rFonts w:ascii="Open Sans" w:eastAsia="Times New Roman" w:hAnsi="Open Sans" w:cs="Open Sans"/>
          <w:sz w:val="22"/>
          <w:szCs w:val="22"/>
        </w:rPr>
        <w:t>kurz i nadále</w:t>
      </w:r>
      <w:r w:rsidR="00C5207B" w:rsidRPr="00524CBA">
        <w:rPr>
          <w:rFonts w:ascii="Open Sans" w:eastAsia="Times New Roman" w:hAnsi="Open Sans" w:cs="Open Sans"/>
          <w:sz w:val="22"/>
          <w:szCs w:val="22"/>
        </w:rPr>
        <w:t xml:space="preserve"> (nebo si např. přijít „osvěžit“ jen některá z témat)</w:t>
      </w:r>
      <w:r w:rsidR="009050BB" w:rsidRPr="00524CBA">
        <w:rPr>
          <w:rFonts w:ascii="Open Sans" w:eastAsia="Times New Roman" w:hAnsi="Open Sans" w:cs="Open Sans"/>
          <w:sz w:val="22"/>
          <w:szCs w:val="22"/>
        </w:rPr>
        <w:t>, nebude se však nijak počítat absence</w:t>
      </w:r>
      <w:r w:rsidR="00922F8F" w:rsidRPr="00524CBA">
        <w:rPr>
          <w:rFonts w:ascii="Open Sans" w:eastAsia="Times New Roman" w:hAnsi="Open Sans" w:cs="Open Sans"/>
          <w:sz w:val="22"/>
          <w:szCs w:val="22"/>
        </w:rPr>
        <w:t xml:space="preserve">. </w:t>
      </w:r>
    </w:p>
    <w:p w14:paraId="1905CD9B" w14:textId="2185A24B" w:rsidR="00051947" w:rsidRPr="00524CBA" w:rsidRDefault="00051947">
      <w:pPr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26FA8716" w14:textId="77777777" w:rsidR="00C9160A" w:rsidRDefault="00C9160A">
      <w:pPr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br w:type="page"/>
      </w:r>
    </w:p>
    <w:p w14:paraId="78659601" w14:textId="3DD4C79C" w:rsidR="00775AA8" w:rsidRPr="00524CBA" w:rsidRDefault="00775AA8" w:rsidP="004810BF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shd w:val="pct10" w:color="auto" w:fill="auto"/>
        <w:spacing w:line="276" w:lineRule="auto"/>
        <w:ind w:right="20"/>
        <w:jc w:val="center"/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lastRenderedPageBreak/>
        <w:t>Osnova kurzu</w:t>
      </w:r>
    </w:p>
    <w:p w14:paraId="00000027" w14:textId="77777777" w:rsidR="00B1434D" w:rsidRPr="00524CBA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29" w14:textId="4B8DF8D4" w:rsidR="00B1434D" w:rsidRPr="00524CBA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1. týden (</w:t>
      </w:r>
      <w:r w:rsidR="00E059DC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23</w:t>
      </w:r>
      <w:r w:rsidR="00C10D24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. </w:t>
      </w:r>
      <w:r w:rsidR="00E059DC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2</w:t>
      </w:r>
      <w:r w:rsidR="009B5894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.</w:t>
      </w: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): Úvo</w:t>
      </w:r>
      <w:r w:rsidR="000C72E1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d: Sylabus, způsoby ukončení kurzu; </w:t>
      </w: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cíle a obsah kurzu</w:t>
      </w:r>
    </w:p>
    <w:p w14:paraId="0000002B" w14:textId="3CE67CDB" w:rsidR="00B1434D" w:rsidRPr="00524CBA" w:rsidRDefault="00273306" w:rsidP="008B0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</w:t>
      </w:r>
      <w:r w:rsidR="001B5303" w:rsidRPr="00524CBA">
        <w:rPr>
          <w:rFonts w:ascii="Open Sans" w:eastAsia="Times New Roman" w:hAnsi="Open Sans" w:cs="Open Sans"/>
          <w:color w:val="000000"/>
          <w:sz w:val="22"/>
          <w:szCs w:val="22"/>
        </w:rPr>
        <w:t>eznámení s obsahem kurzu</w:t>
      </w:r>
      <w:r w:rsidR="00AB797A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a</w:t>
      </w:r>
      <w:r w:rsidR="001B5303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výukovými metodami</w:t>
      </w:r>
      <w:r w:rsidR="00AB797A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, </w:t>
      </w:r>
      <w:r w:rsidR="001B5303" w:rsidRPr="00524CBA">
        <w:rPr>
          <w:rFonts w:ascii="Open Sans" w:eastAsia="Times New Roman" w:hAnsi="Open Sans" w:cs="Open Sans"/>
          <w:color w:val="000000"/>
          <w:sz w:val="22"/>
          <w:szCs w:val="22"/>
        </w:rPr>
        <w:t>požadavky na ukončení</w:t>
      </w:r>
    </w:p>
    <w:p w14:paraId="0000002C" w14:textId="77777777" w:rsidR="00B1434D" w:rsidRPr="00524CBA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2D" w14:textId="6BA56041" w:rsidR="00B1434D" w:rsidRPr="00524CBA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2. týden (</w:t>
      </w:r>
      <w:r w:rsidR="00E059DC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1</w:t>
      </w:r>
      <w:r w:rsidR="00C10D24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. </w:t>
      </w:r>
      <w:r w:rsidR="00E059DC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3</w:t>
      </w:r>
      <w:r w:rsidR="00C10D24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.</w:t>
      </w: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): Kvantitativní výzkum a empirická kvantitativní data</w:t>
      </w:r>
    </w:p>
    <w:p w14:paraId="00000031" w14:textId="2380FFEC" w:rsidR="00B1434D" w:rsidRPr="00524CBA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logika kvantitativního výzkumu, kauzalita a korelace, hromadná data, popisná (deskriptivní) a</w:t>
      </w:r>
      <w:r w:rsidR="00E56CA7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inferenční statistika, měření, proměnná, typy proměnných a úrovně měření, zdroje hromadných dat týkající se médií</w:t>
      </w:r>
    </w:p>
    <w:p w14:paraId="00000032" w14:textId="77777777" w:rsidR="00B1434D" w:rsidRPr="00524CBA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34" w14:textId="1C7F7FBC" w:rsidR="00B1434D" w:rsidRPr="00524CBA" w:rsidRDefault="001B5303" w:rsidP="00BC67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00000037" w14:textId="58F74982" w:rsidR="00B1434D" w:rsidRPr="00524CBA" w:rsidRDefault="001B5303" w:rsidP="005E3AE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MAREŠ, Petr, Ladislav RABUŠIC a Petr SOUKUP. 2019. </w:t>
      </w:r>
      <w:r w:rsidR="4EF9D29C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Statistická </w:t>
      </w:r>
      <w:r w:rsidR="4EF9D29C"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a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nalýza </w:t>
      </w:r>
      <w:proofErr w:type="spellStart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sociálněvědních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Brno: Masarykova univerzita. Kapitoly: Hromadná data,</w:t>
      </w:r>
      <w:r w:rsidR="00BC67C4" w:rsidRPr="00524CB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Soubory a způsoby výběru jednotek, Měření (str. 24-40).</w:t>
      </w:r>
    </w:p>
    <w:p w14:paraId="00000038" w14:textId="77777777" w:rsidR="00B1434D" w:rsidRPr="00524CBA" w:rsidRDefault="001B5303" w:rsidP="005E3AE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FIELD, Andy P. 2018.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Discovering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using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IBM SPSS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Los Angeles: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Kapitoly: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Collecting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data: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measurement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9-16),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Collecting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data: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research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design (str. 16-22).</w:t>
      </w:r>
    </w:p>
    <w:p w14:paraId="00000039" w14:textId="77777777" w:rsidR="00B1434D" w:rsidRPr="00524CBA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3B" w14:textId="0F67C4BB" w:rsidR="00B1434D" w:rsidRPr="00524CBA" w:rsidRDefault="001B5303" w:rsidP="008071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0000003C" w14:textId="77777777" w:rsidR="00B1434D" w:rsidRPr="00524CBA" w:rsidRDefault="001B5303" w:rsidP="008071F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BABBIE, Earl R. 2013.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The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practice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of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social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research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Australia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Wadsworth</w:t>
      </w:r>
      <w:proofErr w:type="spellEnd"/>
    </w:p>
    <w:p w14:paraId="0000003E" w14:textId="6463F6F2" w:rsidR="00B1434D" w:rsidRPr="00524CBA" w:rsidRDefault="001B5303" w:rsidP="008071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Cengage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Learning. Kapitoly: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Levels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of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Measurement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180-184).</w:t>
      </w:r>
    </w:p>
    <w:p w14:paraId="00000040" w14:textId="6EE91701" w:rsidR="00B1434D" w:rsidRPr="00524CBA" w:rsidRDefault="001B5303" w:rsidP="008071F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POSPÍŠILOVÁ, Marie. 2019. Česká a mezinárodní kvantitativní data týkající se sledování médií – zdroje a jejich využitelnost.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Mediální studia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, 13(2), 193-202.</w:t>
      </w:r>
    </w:p>
    <w:p w14:paraId="00000041" w14:textId="77777777" w:rsidR="00B1434D" w:rsidRPr="00524CBA" w:rsidRDefault="001B5303" w:rsidP="008071F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TRAMPOTA, Tomáš. 2014. „Statistika ve studiu mediální komunikace“ (pp. 255-266) in HENDL, Jan (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ed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.)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v aplikacích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Portál: Praha.</w:t>
      </w:r>
    </w:p>
    <w:p w14:paraId="00000043" w14:textId="77777777" w:rsidR="00B1434D" w:rsidRPr="00524CBA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00000044" w14:textId="663D13D2" w:rsidR="00B1434D" w:rsidRPr="00524CBA" w:rsidRDefault="00E116B5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3. </w:t>
      </w:r>
      <w:r w:rsidR="001B530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týden (</w:t>
      </w:r>
      <w:r w:rsidR="007325AF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8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7325AF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3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  <w:r w:rsidR="001B530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): Základy práce s daty v MS Excel</w:t>
      </w:r>
    </w:p>
    <w:p w14:paraId="0000004D" w14:textId="446E9954" w:rsidR="00B1434D" w:rsidRPr="00524CBA" w:rsidRDefault="001B5303" w:rsidP="003847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prostředí MS Excel, matice dat, jednoduché výpočty, zabudované funkce, import a export dat, čištění dat, </w:t>
      </w:r>
      <w:r w:rsidRPr="00524CBA">
        <w:rPr>
          <w:rFonts w:ascii="Open Sans" w:eastAsia="Times New Roman" w:hAnsi="Open Sans" w:cs="Open Sans"/>
          <w:sz w:val="22"/>
          <w:szCs w:val="22"/>
        </w:rPr>
        <w:t>jednoduché deskriptivní charakteristiky, vytváření grafů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1. úkolu</w:t>
      </w:r>
    </w:p>
    <w:p w14:paraId="2623AC65" w14:textId="27E18C15" w:rsidR="4EF9D29C" w:rsidRPr="00524CBA" w:rsidRDefault="4EF9D29C" w:rsidP="000639D2">
      <w:pPr>
        <w:spacing w:line="276" w:lineRule="auto"/>
        <w:ind w:left="2" w:right="760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63DDD4B4" w14:textId="740EC815" w:rsidR="4EF9D29C" w:rsidRPr="00524CBA" w:rsidRDefault="001B5303" w:rsidP="00AD1BA5">
      <w:pPr>
        <w:spacing w:line="276" w:lineRule="auto"/>
        <w:ind w:left="2"/>
        <w:jc w:val="both"/>
        <w:rPr>
          <w:rFonts w:ascii="Open Sans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Povinná příprava:</w:t>
      </w:r>
    </w:p>
    <w:p w14:paraId="61604ABB" w14:textId="77777777" w:rsidR="00AD1BA5" w:rsidRPr="00524CBA" w:rsidRDefault="4EF9D29C" w:rsidP="00F04EF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Microsoft Excel </w:t>
      </w:r>
      <w:proofErr w:type="spellStart"/>
      <w:proofErr w:type="gram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Tutorial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- 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Beginners</w:t>
      </w:r>
      <w:proofErr w:type="spellEnd"/>
      <w:proofErr w:type="gram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Level 1</w:t>
      </w:r>
    </w:p>
    <w:p w14:paraId="43E0F7AC" w14:textId="00CBAEC3" w:rsidR="4EF9D29C" w:rsidRPr="00524CBA" w:rsidRDefault="00F80E6A" w:rsidP="00AD1BA5">
      <w:pPr>
        <w:pStyle w:val="ListParagraph"/>
        <w:spacing w:line="276" w:lineRule="auto"/>
        <w:ind w:left="722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hyperlink r:id="rId15" w:history="1">
        <w:r w:rsidR="00AD1BA5" w:rsidRPr="00524CBA">
          <w:rPr>
            <w:rStyle w:val="Hyperlink"/>
            <w:rFonts w:ascii="Open Sans" w:eastAsia="Times New Roman" w:hAnsi="Open Sans" w:cs="Open Sans"/>
            <w:sz w:val="22"/>
            <w:szCs w:val="22"/>
          </w:rPr>
          <w:t>https://www.youtube.com/watch?v=k1VUZEVuDJ8</w:t>
        </w:r>
      </w:hyperlink>
      <w:r w:rsidR="4EF9D29C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(především vše od 18. minuty dál)</w:t>
      </w:r>
    </w:p>
    <w:p w14:paraId="1CDFF160" w14:textId="77777777" w:rsidR="00AD1BA5" w:rsidRPr="00524CBA" w:rsidRDefault="4EF9D29C" w:rsidP="00F04EF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Microsoft Excel </w:t>
      </w:r>
      <w:proofErr w:type="spellStart"/>
      <w:proofErr w:type="gramStart"/>
      <w:r w:rsidRPr="00524CBA">
        <w:rPr>
          <w:rFonts w:ascii="Open Sans" w:eastAsia="Times New Roman" w:hAnsi="Open Sans" w:cs="Open Sans"/>
          <w:sz w:val="22"/>
          <w:szCs w:val="22"/>
        </w:rPr>
        <w:t>Tutorial</w:t>
      </w:r>
      <w:proofErr w:type="spellEnd"/>
      <w:r w:rsidRPr="00524CBA">
        <w:rPr>
          <w:rFonts w:ascii="Open Sans" w:eastAsia="Times New Roman" w:hAnsi="Open Sans" w:cs="Open Sans"/>
          <w:sz w:val="22"/>
          <w:szCs w:val="22"/>
        </w:rPr>
        <w:t xml:space="preserve"> - </w:t>
      </w:r>
      <w:proofErr w:type="spellStart"/>
      <w:r w:rsidRPr="00524CBA">
        <w:rPr>
          <w:rFonts w:ascii="Open Sans" w:eastAsia="Times New Roman" w:hAnsi="Open Sans" w:cs="Open Sans"/>
          <w:sz w:val="22"/>
          <w:szCs w:val="22"/>
        </w:rPr>
        <w:t>Beginners</w:t>
      </w:r>
      <w:proofErr w:type="spellEnd"/>
      <w:proofErr w:type="gramEnd"/>
      <w:r w:rsidRPr="00524CBA">
        <w:rPr>
          <w:rFonts w:ascii="Open Sans" w:eastAsia="Times New Roman" w:hAnsi="Open Sans" w:cs="Open Sans"/>
          <w:sz w:val="22"/>
          <w:szCs w:val="22"/>
        </w:rPr>
        <w:t xml:space="preserve"> Level 2</w:t>
      </w:r>
    </w:p>
    <w:p w14:paraId="20EEB6A9" w14:textId="024E4012" w:rsidR="4EF9D29C" w:rsidRPr="00524CBA" w:rsidRDefault="00F80E6A" w:rsidP="00AD1BA5">
      <w:pPr>
        <w:pStyle w:val="ListParagraph"/>
        <w:spacing w:line="276" w:lineRule="auto"/>
        <w:ind w:left="722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hyperlink r:id="rId16" w:history="1">
        <w:r w:rsidR="00F04EFA" w:rsidRPr="00524CBA">
          <w:rPr>
            <w:rStyle w:val="Hyperlink"/>
            <w:rFonts w:ascii="Open Sans" w:eastAsia="Times New Roman" w:hAnsi="Open Sans" w:cs="Open Sans"/>
            <w:sz w:val="22"/>
            <w:szCs w:val="22"/>
          </w:rPr>
          <w:t>https://www.youtube.com/watch?v=bhZckWTLkJM&amp;t=284s</w:t>
        </w:r>
      </w:hyperlink>
      <w:r w:rsidR="4EF9D29C" w:rsidRPr="00524CBA">
        <w:rPr>
          <w:rFonts w:ascii="Open Sans" w:eastAsia="Times New Roman" w:hAnsi="Open Sans" w:cs="Open Sans"/>
          <w:sz w:val="22"/>
          <w:szCs w:val="22"/>
        </w:rPr>
        <w:t xml:space="preserve"> (především vše do 13. minuty)</w:t>
      </w:r>
    </w:p>
    <w:p w14:paraId="0000004E" w14:textId="77777777" w:rsidR="00B1434D" w:rsidRPr="00524CBA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4CABB3E1" w14:textId="7CB84EA9" w:rsidR="00C10D24" w:rsidRPr="00524CBA" w:rsidRDefault="00E116B5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4. </w:t>
      </w:r>
      <w:r w:rsidR="001B530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týden (</w:t>
      </w:r>
      <w:r w:rsidR="000212F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15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0212F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3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  <w:r w:rsidR="001B530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): </w:t>
      </w:r>
      <w:r w:rsidR="009F06AE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Základy práce v IBM SPSS </w:t>
      </w:r>
      <w:proofErr w:type="spellStart"/>
      <w:r w:rsidR="009F06AE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Statistics</w:t>
      </w:r>
      <w:proofErr w:type="spellEnd"/>
    </w:p>
    <w:p w14:paraId="7354799F" w14:textId="0B0CD1A4" w:rsidR="00C10D24" w:rsidRPr="00524CBA" w:rsidRDefault="00C10D24" w:rsidP="00BB1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prostředí IBM SPSS 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, matice dat, import a export dat, tvorba a úprava proměnných, nastavení parametrů proměnných, čištění dat, výběr případů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2. úkolu</w:t>
      </w:r>
    </w:p>
    <w:p w14:paraId="0ACAC17A" w14:textId="77777777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F6D0A6A" w14:textId="45AEB56F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lastRenderedPageBreak/>
        <w:t>Povinná literatura:</w:t>
      </w:r>
    </w:p>
    <w:p w14:paraId="2568D1E6" w14:textId="011988FB" w:rsidR="00C10D24" w:rsidRPr="00524CBA" w:rsidRDefault="00C10D24" w:rsidP="641AB931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Statistická analýza </w:t>
      </w:r>
      <w:proofErr w:type="spellStart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sociálněvědních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Brno: Masarykova univerzita. Kapitola: Práce s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hromadnými daty před analýzou (str. 51-73).</w:t>
      </w:r>
    </w:p>
    <w:p w14:paraId="6D878BD3" w14:textId="59306EE5" w:rsidR="00C10D24" w:rsidRPr="00524CBA" w:rsidRDefault="00C10D24" w:rsidP="641AB931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Doporučená literatura</w:t>
      </w:r>
    </w:p>
    <w:p w14:paraId="040C1684" w14:textId="77777777" w:rsidR="00C10D24" w:rsidRPr="00524CBA" w:rsidRDefault="00C10D24" w:rsidP="6ABD6AD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FIELD, Andy P. 2018. </w:t>
      </w:r>
      <w:proofErr w:type="spellStart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Discovering</w:t>
      </w:r>
      <w:proofErr w:type="spellEnd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using</w:t>
      </w:r>
      <w:proofErr w:type="spellEnd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 IBM SPSS </w:t>
      </w:r>
      <w:proofErr w:type="spellStart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. Los Angeles: 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Sage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. Kapitola: The IBM SPSS 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Statistic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environment (str. 136-171).</w:t>
      </w:r>
    </w:p>
    <w:p w14:paraId="3D49B0E6" w14:textId="77777777" w:rsidR="00120B76" w:rsidRPr="00524CBA" w:rsidRDefault="00120B76" w:rsidP="00120B7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593968D" w14:textId="1DB91002" w:rsidR="00C10D24" w:rsidRPr="00524CBA" w:rsidRDefault="00562B5F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ind w:right="120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5</w:t>
      </w:r>
      <w:r w:rsidR="00843A11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 týden (</w:t>
      </w: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2</w:t>
      </w:r>
      <w:r w:rsidR="00294A75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2</w:t>
      </w:r>
      <w:r w:rsidR="007514A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3</w:t>
      </w:r>
      <w:r w:rsidR="007514A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.)</w:t>
      </w:r>
      <w:r w:rsidR="00F909C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: 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Základy </w:t>
      </w:r>
      <w:proofErr w:type="spellStart"/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univariační</w:t>
      </w:r>
      <w:proofErr w:type="spellEnd"/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 analýzy</w:t>
      </w:r>
    </w:p>
    <w:p w14:paraId="1D678F12" w14:textId="6F5D60D0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right="4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rozložení kategorických a spojitých dat, míry centrální tendence a míry variability, popisné ukazatele – percentily, decily, kvartily, intervaly, modus, medián, průměr, histogram, čištění dat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3. úkolu</w:t>
      </w:r>
    </w:p>
    <w:p w14:paraId="28E86E25" w14:textId="77777777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5870A2E" w14:textId="290ED673" w:rsidR="00C10D24" w:rsidRPr="00524CBA" w:rsidRDefault="00C10D24" w:rsidP="00CF4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589E71EF" w14:textId="77777777" w:rsidR="00C10D24" w:rsidRPr="00524CBA" w:rsidRDefault="00C10D24" w:rsidP="00CF437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i/>
          <w:iCs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Statistická analýza </w:t>
      </w:r>
      <w:proofErr w:type="spellStart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sociálněvědních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Brno: Masarykova univerzita. Kapitola: Základy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jednorozměrné analýzy (str. 75-122).</w:t>
      </w:r>
    </w:p>
    <w:p w14:paraId="5185B4F7" w14:textId="77777777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68595F49" w14:textId="69F33669" w:rsidR="00C10D24" w:rsidRPr="00524CBA" w:rsidRDefault="00C10D24" w:rsidP="00833F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47A95A9F" w14:textId="77777777" w:rsidR="00C10D24" w:rsidRPr="00524CBA" w:rsidRDefault="00C10D24" w:rsidP="00833F3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FIELD, Andy P. 2018.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Discovering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using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IBM SPSS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Los Angeles: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Kapitola: Analysing data (str. 22-40)</w:t>
      </w:r>
    </w:p>
    <w:p w14:paraId="47065D34" w14:textId="77777777" w:rsidR="00C10D24" w:rsidRPr="00524CBA" w:rsidRDefault="00C10D24" w:rsidP="00833F3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BABBIE, Earl R. 2013.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The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practice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of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social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research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Australia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Wadsworth</w:t>
      </w:r>
      <w:proofErr w:type="spellEnd"/>
    </w:p>
    <w:p w14:paraId="5B831249" w14:textId="146E0A38" w:rsidR="00C10D24" w:rsidRPr="00524CBA" w:rsidRDefault="00C10D24" w:rsidP="00833F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Cengage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Learning. Kapitola: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Univariate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analysis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418-426).</w:t>
      </w:r>
    </w:p>
    <w:p w14:paraId="4E61631E" w14:textId="77777777" w:rsidR="00C10D24" w:rsidRPr="00524CBA" w:rsidRDefault="00C10D24" w:rsidP="00833F3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GIBLISCO, Stan. 2009.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bez předchozích znalostí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Brno: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Computer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press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</w:t>
      </w:r>
    </w:p>
    <w:p w14:paraId="0924659F" w14:textId="77777777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Kapitoly: Základní pojmy (str. 35-55), Popisné ukazatele (str.  81-100).</w:t>
      </w:r>
    </w:p>
    <w:p w14:paraId="545B3191" w14:textId="77777777" w:rsidR="00C10D24" w:rsidRPr="00524CBA" w:rsidRDefault="00C10D24" w:rsidP="00833F3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2015.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Přehled statistických metod: analýza a metaanalýza dat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Praha:</w:t>
      </w:r>
    </w:p>
    <w:p w14:paraId="49897957" w14:textId="77777777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Portál. Kapitoly: Organizace dat a jejich kontrola, scházející údaje (str. 81-85),</w:t>
      </w:r>
    </w:p>
    <w:p w14:paraId="3A00ED80" w14:textId="77777777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Grafický a číselný popis rozložení dat (str. 91-119). BERKMAN, Elliot T. a Steven Paul REISE. 2012.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A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conceptual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guide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to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using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SPSS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Los Angeles: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Kapitola: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Descriptive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5-18).</w:t>
      </w:r>
    </w:p>
    <w:p w14:paraId="7169003A" w14:textId="77777777" w:rsidR="00562B5F" w:rsidRPr="00524CBA" w:rsidRDefault="00562B5F" w:rsidP="00562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212EF48" w14:textId="7EA276AF" w:rsidR="00562B5F" w:rsidRPr="00524CBA" w:rsidRDefault="00562B5F" w:rsidP="00562B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b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6. týden (29. 3.): Státní svátek – není výuka</w:t>
      </w:r>
    </w:p>
    <w:p w14:paraId="7C12F981" w14:textId="77777777" w:rsidR="00C714C6" w:rsidRPr="00524CBA" w:rsidRDefault="00C714C6" w:rsidP="000639D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ind w:right="700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16144B4A" w14:textId="56248A94" w:rsidR="00C10D24" w:rsidRPr="00524CBA" w:rsidRDefault="00BA56FA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ind w:right="700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7</w:t>
      </w:r>
      <w:r w:rsidR="00C714C6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 týden (</w:t>
      </w:r>
      <w:r w:rsidR="00D7549C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5</w:t>
      </w:r>
      <w:r w:rsidR="00A53F6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D7549C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4</w:t>
      </w:r>
      <w:r w:rsidR="00A53F6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  <w:r w:rsidR="00C714C6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): 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Transformace a vytváření proměnných, práce s různými typy</w:t>
      </w:r>
      <w:r w:rsidR="005053B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 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proměnných</w:t>
      </w:r>
    </w:p>
    <w:p w14:paraId="61B036EE" w14:textId="0ABAE47E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right="10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změna kódovacího schématu proměnné, přetočení stupnice, vytváření nových proměnných ze</w:t>
      </w:r>
      <w:r w:rsidR="007D79D9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stávajících proměnných, rozdělení 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datasetu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, výběr případů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4. úkolu</w:t>
      </w:r>
    </w:p>
    <w:p w14:paraId="40383362" w14:textId="77777777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263A368" w14:textId="3A52789A" w:rsidR="00C10D24" w:rsidRPr="00524CBA" w:rsidRDefault="00C10D24" w:rsidP="00525D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43807D56" w14:textId="77777777" w:rsidR="00C10D24" w:rsidRPr="00524CBA" w:rsidRDefault="00C10D24" w:rsidP="00525DA4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i/>
          <w:iCs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Statistická analýza </w:t>
      </w:r>
      <w:proofErr w:type="spellStart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sociálněvědních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Brno: Masarykova univerzita. Kapitoly: Procedura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Recode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, Vytvoření nové proměnné (str. 177-201).</w:t>
      </w:r>
    </w:p>
    <w:p w14:paraId="62EDEFF6" w14:textId="77777777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lastRenderedPageBreak/>
        <w:t>Doporučená literatura:</w:t>
      </w:r>
    </w:p>
    <w:p w14:paraId="18982EF4" w14:textId="47CABB09" w:rsidR="00C10D24" w:rsidRPr="00524CBA" w:rsidRDefault="00C10D24" w:rsidP="00525DA4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2015.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Přehled statistických metod: analýza a metaanalýza dat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Praha:</w:t>
      </w:r>
      <w:r w:rsidR="00525DA4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Portál. Kapitola: Transformace dat, standardizace (str. 110-113).</w:t>
      </w:r>
    </w:p>
    <w:p w14:paraId="5069580C" w14:textId="77777777" w:rsidR="00D65375" w:rsidRPr="004B3D99" w:rsidRDefault="00C10D24" w:rsidP="00D6537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Analýza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sociálněvědních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Brno: Masarykova univerzita. Kapitola: Vychýlený výběr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 co s ním (str. 201-206).</w:t>
      </w:r>
    </w:p>
    <w:p w14:paraId="5A2BBCA2" w14:textId="77777777" w:rsidR="004B3D99" w:rsidRPr="00524CBA" w:rsidRDefault="004B3D99" w:rsidP="004B3D9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19C26ABD" w14:textId="1188307D" w:rsidR="00C10D24" w:rsidRPr="00524CBA" w:rsidRDefault="002F435D" w:rsidP="00D6537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8</w:t>
      </w:r>
      <w:r w:rsidR="00C714C6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 týden (</w:t>
      </w:r>
      <w:r w:rsidR="00AD338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12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AD338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4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  <w:r w:rsidR="00C714C6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): </w:t>
      </w:r>
      <w:r w:rsidR="009D262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</w:t>
      </w:r>
      <w:r w:rsidR="0051607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řídění pomocí kontingenčních tabulek</w:t>
      </w:r>
      <w:r w:rsidR="00A97F0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 I.</w:t>
      </w:r>
    </w:p>
    <w:p w14:paraId="68A1CE6D" w14:textId="6DED5C2C" w:rsidR="00C10D24" w:rsidRPr="00524CBA" w:rsidRDefault="00C10D24" w:rsidP="0002618F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srovnávání podskupin, </w:t>
      </w:r>
      <w:r w:rsidR="005E32C6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kategorická data,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kontingenční tabulka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5.</w:t>
      </w:r>
      <w:r w:rsidR="00480423" w:rsidRPr="00524CBA">
        <w:rPr>
          <w:rFonts w:ascii="Open Sans" w:eastAsia="Times New Roman" w:hAnsi="Open Sans" w:cs="Open Sans"/>
          <w:b/>
          <w:bCs/>
          <w:sz w:val="22"/>
          <w:szCs w:val="22"/>
        </w:rPr>
        <w:t> </w:t>
      </w:r>
      <w:r w:rsidR="007B3685" w:rsidRPr="00524CBA">
        <w:rPr>
          <w:rFonts w:ascii="Open Sans" w:eastAsia="Times New Roman" w:hAnsi="Open Sans" w:cs="Open Sans"/>
          <w:b/>
          <w:bCs/>
          <w:sz w:val="22"/>
          <w:szCs w:val="22"/>
        </w:rPr>
        <w:t>úkolu</w:t>
      </w:r>
    </w:p>
    <w:p w14:paraId="24D27817" w14:textId="77777777" w:rsidR="00971CCD" w:rsidRPr="00524CBA" w:rsidRDefault="00971CCD" w:rsidP="006B4A5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155F4FB0" w14:textId="29E72DBD" w:rsidR="00C10D24" w:rsidRPr="00524CBA" w:rsidRDefault="00C10D24" w:rsidP="006B4A5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0480D135" w14:textId="77777777" w:rsidR="00C10D24" w:rsidRPr="00524CBA" w:rsidRDefault="00C10D24" w:rsidP="006B4A5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BABBIE, Earl R. 2013.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The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practice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of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social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research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Australia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Wadsworth</w:t>
      </w:r>
      <w:proofErr w:type="spellEnd"/>
      <w:r w:rsidRPr="00524CBA">
        <w:rPr>
          <w:rFonts w:ascii="Open Sans" w:eastAsia="Arial" w:hAnsi="Open Sans" w:cs="Open Sans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Cengage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Learning. Kapitoly: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Subgroup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comparisons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426-427),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Bivariate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analysis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430-434).</w:t>
      </w:r>
    </w:p>
    <w:p w14:paraId="5CE68F8E" w14:textId="77777777" w:rsidR="00C10D24" w:rsidRPr="00524CBA" w:rsidRDefault="00C10D24" w:rsidP="006B4A5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Statistická a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nalýza </w:t>
      </w:r>
      <w:proofErr w:type="spellStart"/>
      <w:r w:rsidRPr="00524CBA">
        <w:rPr>
          <w:rFonts w:ascii="Open Sans" w:eastAsia="Times New Roman" w:hAnsi="Open Sans" w:cs="Open Sans"/>
          <w:sz w:val="22"/>
          <w:szCs w:val="22"/>
        </w:rPr>
        <w:t>sociálněvědních</w:t>
      </w:r>
      <w:proofErr w:type="spellEnd"/>
      <w:r w:rsidRPr="00524CBA">
        <w:rPr>
          <w:rFonts w:ascii="Open Sans" w:eastAsia="Times New Roman" w:hAnsi="Open Sans" w:cs="Open Sans"/>
          <w:sz w:val="22"/>
          <w:szCs w:val="22"/>
        </w:rPr>
        <w:t xml:space="preserve"> dat (prostřednictvím SPSS). Brno: Masarykova univerzita. Kapitola: Základy dvourozměrné analýzy kategoriálních proměnných (str. 243-252). </w:t>
      </w:r>
    </w:p>
    <w:p w14:paraId="141E285C" w14:textId="77777777" w:rsidR="00C10D24" w:rsidRPr="00524CBA" w:rsidRDefault="00C10D24" w:rsidP="000639D2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4A04165F" w14:textId="33C6946C" w:rsidR="00C10D24" w:rsidRPr="00524CBA" w:rsidRDefault="00C10D24" w:rsidP="006B4A5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19DB1FAB" w14:textId="77777777" w:rsidR="00C10D24" w:rsidRPr="00524CBA" w:rsidRDefault="00C10D24" w:rsidP="006B4A5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2015.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Přehled statistických metod: analýza a metaanalýza dat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Praha:</w:t>
      </w:r>
    </w:p>
    <w:p w14:paraId="5D8C6F07" w14:textId="2CF8DC7D" w:rsidR="00C10D24" w:rsidRPr="00524CBA" w:rsidRDefault="00C10D24" w:rsidP="006B4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Portál. Kapitola: Závislost kategoriálních proměnných (str. 315-334).</w:t>
      </w:r>
    </w:p>
    <w:p w14:paraId="6F8C3FF9" w14:textId="77777777" w:rsidR="00C10D24" w:rsidRPr="00524CBA" w:rsidRDefault="00C10D24" w:rsidP="006B4A5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BERKMAN, Elliot T. a Steven Paul REISE. 2012.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A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conceptual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guide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to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using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SPSS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Los Angeles: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Kapitola: The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Chi-Squared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Test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for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Contingency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Tables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19-32).</w:t>
      </w:r>
    </w:p>
    <w:p w14:paraId="0E9129D3" w14:textId="77777777" w:rsidR="00C714C6" w:rsidRPr="00524CBA" w:rsidRDefault="00C714C6" w:rsidP="000639D2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49ECA6AA" w14:textId="52D72D2A" w:rsidR="00AD3384" w:rsidRPr="00524CBA" w:rsidRDefault="00AD3384" w:rsidP="03A2151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9</w:t>
      </w:r>
      <w:r w:rsidR="009D2629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. týden (</w:t>
      </w:r>
      <w:r w:rsidR="006E0592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19</w:t>
      </w:r>
      <w:r w:rsidR="009D2629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. </w:t>
      </w:r>
      <w:r w:rsidR="006E0592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4</w:t>
      </w:r>
      <w:r w:rsidR="009D2629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.): </w:t>
      </w:r>
      <w:r w:rsidR="009D262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Třídění pomocí kontingenčních tabulek</w:t>
      </w:r>
      <w:r w:rsidR="009D2629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="00A97F0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II.</w:t>
      </w:r>
    </w:p>
    <w:p w14:paraId="00D26E99" w14:textId="344E28B8" w:rsidR="00A97F0D" w:rsidRPr="00524CBA" w:rsidRDefault="00A97F0D" w:rsidP="00A97F0D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třídění třetího stupně, praktická cvičení, grafické zobrazení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6. úkolu</w:t>
      </w:r>
    </w:p>
    <w:p w14:paraId="1A71B7AC" w14:textId="77777777" w:rsidR="00722BCA" w:rsidRPr="00524CBA" w:rsidRDefault="00722BCA" w:rsidP="00A97F0D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23E98587" w14:textId="1CD7B61A" w:rsidR="00A97F0D" w:rsidRPr="00524CBA" w:rsidRDefault="00A97F0D" w:rsidP="00A97F0D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50B44A62" w14:textId="77777777" w:rsidR="00A97F0D" w:rsidRPr="00524CBA" w:rsidRDefault="00A97F0D" w:rsidP="00A97F0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BABBIE, Earl R. 2013.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The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practice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of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social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research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Australia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Wadsworth</w:t>
      </w:r>
      <w:proofErr w:type="spellEnd"/>
      <w:r w:rsidRPr="00524CBA">
        <w:rPr>
          <w:rFonts w:ascii="Open Sans" w:eastAsia="Arial" w:hAnsi="Open Sans" w:cs="Open Sans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Cengage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Learning. Kapitoly: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Subgroup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comparisons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426-427),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Bivariate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analysis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430-434).</w:t>
      </w:r>
    </w:p>
    <w:p w14:paraId="2F967BBD" w14:textId="77777777" w:rsidR="00A97F0D" w:rsidRPr="00524CBA" w:rsidRDefault="00A97F0D" w:rsidP="00A97F0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Statistická a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nalýza </w:t>
      </w:r>
      <w:proofErr w:type="spellStart"/>
      <w:r w:rsidRPr="00524CBA">
        <w:rPr>
          <w:rFonts w:ascii="Open Sans" w:eastAsia="Times New Roman" w:hAnsi="Open Sans" w:cs="Open Sans"/>
          <w:sz w:val="22"/>
          <w:szCs w:val="22"/>
        </w:rPr>
        <w:t>sociálněvědních</w:t>
      </w:r>
      <w:proofErr w:type="spellEnd"/>
      <w:r w:rsidRPr="00524CBA">
        <w:rPr>
          <w:rFonts w:ascii="Open Sans" w:eastAsia="Times New Roman" w:hAnsi="Open Sans" w:cs="Open Sans"/>
          <w:sz w:val="22"/>
          <w:szCs w:val="22"/>
        </w:rPr>
        <w:t xml:space="preserve"> dat (prostřednictvím SPSS). Brno: Masarykova univerzita. Kapitola: Základy dvourozměrné analýzy kategoriálních proměnných (str. 243-252). </w:t>
      </w:r>
    </w:p>
    <w:p w14:paraId="3B15D3A2" w14:textId="77777777" w:rsidR="00A97F0D" w:rsidRPr="00524CBA" w:rsidRDefault="00A97F0D" w:rsidP="00A97F0D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4F64BCC0" w14:textId="77777777" w:rsidR="00A97F0D" w:rsidRPr="00524CBA" w:rsidRDefault="00A97F0D" w:rsidP="00A97F0D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66A9F5DA" w14:textId="77777777" w:rsidR="00A97F0D" w:rsidRPr="00524CBA" w:rsidRDefault="00A97F0D" w:rsidP="00A97F0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2015.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Přehled statistických metod: analýza a metaanalýza dat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Praha:</w:t>
      </w:r>
    </w:p>
    <w:p w14:paraId="21499FD0" w14:textId="77777777" w:rsidR="00A97F0D" w:rsidRPr="00524CBA" w:rsidRDefault="00A97F0D" w:rsidP="00A97F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Portál. Kapitola: Závislost kategoriálních proměnných (str. 315-334).</w:t>
      </w:r>
    </w:p>
    <w:p w14:paraId="2084AC75" w14:textId="77777777" w:rsidR="00A97F0D" w:rsidRPr="00524CBA" w:rsidRDefault="00A97F0D" w:rsidP="00A97F0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BERKMAN, Elliot T. a Steven Paul REISE. 2012.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A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conceptual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guide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to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using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SPSS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Los Angeles: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Kapitola: The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Chi-Squared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Test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for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Contingency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Tables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19-32).</w:t>
      </w:r>
    </w:p>
    <w:p w14:paraId="1CA0CCE8" w14:textId="59C92A3E" w:rsidR="009D2629" w:rsidRPr="00524CBA" w:rsidRDefault="009D2629" w:rsidP="009D2629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0744EA19" w14:textId="77777777" w:rsidR="00327A48" w:rsidRDefault="00327A48">
      <w:pPr>
        <w:rPr>
          <w:rFonts w:ascii="Open Sans" w:eastAsia="Arial" w:hAnsi="Open Sans" w:cs="Open Sans"/>
          <w:b/>
          <w:color w:val="0000DC"/>
          <w:sz w:val="22"/>
          <w:szCs w:val="22"/>
        </w:rPr>
      </w:pPr>
      <w:r>
        <w:rPr>
          <w:rFonts w:ascii="Open Sans" w:eastAsia="Arial" w:hAnsi="Open Sans" w:cs="Open Sans"/>
          <w:b/>
          <w:color w:val="0000DC"/>
          <w:sz w:val="22"/>
          <w:szCs w:val="22"/>
        </w:rPr>
        <w:br w:type="page"/>
      </w:r>
    </w:p>
    <w:p w14:paraId="1DAC0E6A" w14:textId="79C7F668" w:rsidR="00DD21C3" w:rsidRPr="00524CBA" w:rsidRDefault="00FD3E7B" w:rsidP="00DD21C3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Open Sans" w:eastAsia="Arial" w:hAnsi="Open Sans" w:cs="Open Sans"/>
          <w:b/>
          <w:color w:val="0000DC"/>
          <w:sz w:val="22"/>
          <w:szCs w:val="22"/>
        </w:rPr>
      </w:pP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lastRenderedPageBreak/>
        <w:t>10</w:t>
      </w:r>
      <w:r w:rsidR="00DD21C3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. týden (</w:t>
      </w:r>
      <w:r w:rsidR="00525E41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26</w:t>
      </w:r>
      <w:r w:rsidR="00DD21C3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 xml:space="preserve">. </w:t>
      </w:r>
      <w:r w:rsidR="00525E41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4</w:t>
      </w:r>
      <w:r w:rsidR="00DD21C3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.): Opakování a cvičení</w:t>
      </w:r>
    </w:p>
    <w:p w14:paraId="15667341" w14:textId="50CB723A" w:rsidR="00DD21C3" w:rsidRPr="00524CBA" w:rsidRDefault="00316B21" w:rsidP="00DD21C3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Open Sans" w:eastAsia="Arial" w:hAnsi="Open Sans" w:cs="Open Sans"/>
          <w:bCs/>
          <w:color w:val="000000"/>
          <w:sz w:val="22"/>
          <w:szCs w:val="22"/>
        </w:rPr>
      </w:pPr>
      <w:r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>p</w:t>
      </w:r>
      <w:r w:rsidR="00335C28"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>raktická cvičení na</w:t>
      </w:r>
      <w:r w:rsidR="000F562D"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> </w:t>
      </w:r>
      <w:r w:rsidR="00335C28"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>témata navržená studujícími</w:t>
      </w:r>
      <w:r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 xml:space="preserve">; </w:t>
      </w:r>
      <w:r w:rsidRPr="00524CBA">
        <w:rPr>
          <w:rFonts w:ascii="Open Sans" w:eastAsia="Arial" w:hAnsi="Open Sans" w:cs="Open Sans"/>
          <w:b/>
          <w:color w:val="000000"/>
          <w:sz w:val="22"/>
          <w:szCs w:val="22"/>
        </w:rPr>
        <w:t xml:space="preserve">zadání </w:t>
      </w:r>
      <w:r w:rsidR="006E0592" w:rsidRPr="00524CBA">
        <w:rPr>
          <w:rFonts w:ascii="Open Sans" w:eastAsia="Arial" w:hAnsi="Open Sans" w:cs="Open Sans"/>
          <w:b/>
          <w:color w:val="000000"/>
          <w:sz w:val="22"/>
          <w:szCs w:val="22"/>
        </w:rPr>
        <w:t>7</w:t>
      </w:r>
      <w:r w:rsidRPr="00524CBA">
        <w:rPr>
          <w:rFonts w:ascii="Open Sans" w:eastAsia="Arial" w:hAnsi="Open Sans" w:cs="Open Sans"/>
          <w:b/>
          <w:color w:val="000000"/>
          <w:sz w:val="22"/>
          <w:szCs w:val="22"/>
        </w:rPr>
        <w:t>. úkolu</w:t>
      </w:r>
    </w:p>
    <w:p w14:paraId="40215510" w14:textId="77777777" w:rsidR="00DD21C3" w:rsidRPr="00524CBA" w:rsidRDefault="00DD21C3" w:rsidP="009D2629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000000AE" w14:textId="3D245873" w:rsidR="00B1434D" w:rsidRPr="00524CBA" w:rsidRDefault="00C714C6" w:rsidP="000639D2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1</w:t>
      </w:r>
      <w:r w:rsidR="006E0592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1</w:t>
      </w: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. týden (</w:t>
      </w:r>
      <w:r w:rsidR="00525E41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3</w:t>
      </w:r>
      <w:r w:rsidR="00C10D24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 xml:space="preserve">. </w:t>
      </w:r>
      <w:r w:rsidR="00525E41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5</w:t>
      </w:r>
      <w:r w:rsidR="00C10D24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.</w:t>
      </w: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t xml:space="preserve">): </w:t>
      </w:r>
      <w:r w:rsidR="001B5303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Vytváření zprávy z</w:t>
      </w:r>
      <w:r w:rsidR="0095720A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 deskriptivní </w:t>
      </w:r>
      <w:r w:rsidR="001B5303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analýzy</w:t>
      </w:r>
      <w:r w:rsidR="0095720A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 dat a kontingenčních tabulek</w:t>
      </w:r>
      <w:r w:rsidR="001B5303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: </w:t>
      </w:r>
      <w:r w:rsidR="0095720A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G</w:t>
      </w:r>
      <w:r w:rsidR="001B5303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rafické výstupy, tabulky a textové reporty</w:t>
      </w:r>
    </w:p>
    <w:p w14:paraId="000000B2" w14:textId="5201FA3F" w:rsidR="00B1434D" w:rsidRPr="00524CBA" w:rsidRDefault="001B5303" w:rsidP="005172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right="301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náležitosti odborného stylu a slovního projevu ve výzkumné zprávě, náležitosti tabulek, náležitosti korektního grafického zobrazení dat</w:t>
      </w:r>
      <w:r w:rsidR="00525E41"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 xml:space="preserve">; </w:t>
      </w:r>
      <w:r w:rsidR="00525E41" w:rsidRPr="00524CBA">
        <w:rPr>
          <w:rFonts w:ascii="Open Sans" w:eastAsia="Arial" w:hAnsi="Open Sans" w:cs="Open Sans"/>
          <w:b/>
          <w:color w:val="000000"/>
          <w:sz w:val="22"/>
          <w:szCs w:val="22"/>
        </w:rPr>
        <w:t>zadání 8. úkolu</w:t>
      </w:r>
    </w:p>
    <w:p w14:paraId="000000B3" w14:textId="77777777" w:rsidR="00B1434D" w:rsidRPr="00524CBA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B5" w14:textId="1E5C3D22" w:rsidR="00B1434D" w:rsidRPr="00524CBA" w:rsidRDefault="001B5303" w:rsidP="00BC5C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000000B7" w14:textId="18A669F1" w:rsidR="00B1434D" w:rsidRPr="00524CBA" w:rsidRDefault="001B5303" w:rsidP="00BC5CA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Publication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manual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of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the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American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Psychological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Association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Washington, DC: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American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Psychological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Association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Kapitoly: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Writing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clearly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and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concisely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65-83),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Tables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128-150).</w:t>
      </w:r>
    </w:p>
    <w:p w14:paraId="000000B8" w14:textId="77777777" w:rsidR="00B1434D" w:rsidRPr="00524CBA" w:rsidRDefault="001B5303" w:rsidP="00BC5CA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FIELD, Andy P. 2018.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Discovering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using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IBM SPSS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Los Angeles: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Sage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Kapitoly: Reporting data (str. 40-44),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Exploring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data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with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graphs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178-221).</w:t>
      </w:r>
    </w:p>
    <w:p w14:paraId="000000B9" w14:textId="77777777" w:rsidR="00B1434D" w:rsidRPr="00524CBA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BA" w14:textId="77777777" w:rsidR="00B1434D" w:rsidRPr="00524CBA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Open Sans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000000BC" w14:textId="625B9408" w:rsidR="00B1434D" w:rsidRPr="00524CBA" w:rsidRDefault="001B5303" w:rsidP="00EB417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ABELSON, Robert Paul. 1995.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as </w:t>
      </w:r>
      <w:proofErr w:type="spellStart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principled</w:t>
      </w:r>
      <w:proofErr w:type="spellEnd"/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argumen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t.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Hillsdale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, N.J.: L.</w:t>
      </w:r>
    </w:p>
    <w:p w14:paraId="000000BD" w14:textId="77777777" w:rsidR="00B1434D" w:rsidRPr="00524CBA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Erlbaum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Associates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Kapitola: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Making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claims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with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statistics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(str. 1-16).</w:t>
      </w:r>
    </w:p>
    <w:p w14:paraId="000000BE" w14:textId="77777777" w:rsidR="00B1434D" w:rsidRPr="00524CBA" w:rsidRDefault="001B5303" w:rsidP="00EB417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GIBLISCO, Stan. 2009.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bez předchozích znalostí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Brno: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Computer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proofErr w:type="spellStart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press</w:t>
      </w:r>
      <w:proofErr w:type="spellEnd"/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</w:t>
      </w:r>
    </w:p>
    <w:p w14:paraId="000000C0" w14:textId="7D1470A6" w:rsidR="00B1434D" w:rsidRPr="00524CBA" w:rsidRDefault="001B5303" w:rsidP="00EB41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Kapitoly: Jednoduché grafy, Modelování, trendy, korelace (str. 26-32).</w:t>
      </w:r>
    </w:p>
    <w:p w14:paraId="000000C2" w14:textId="13076EF7" w:rsidR="00B1434D" w:rsidRPr="00524CBA" w:rsidRDefault="001B5303" w:rsidP="000639D2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2014.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v aplikacích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Portál: Praha. Kapitoly: Tabulky (str. 36-41), Statistické grafy (str. 41-52).</w:t>
      </w:r>
    </w:p>
    <w:p w14:paraId="000000CB" w14:textId="1C79BB53" w:rsidR="00B1434D" w:rsidRPr="00524CBA" w:rsidRDefault="001B5303" w:rsidP="00EB417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KALOUS, Jaroslav. 2014. „Interpretace výsledků statistiky“ (pp. 133-142) In HENDL, Jan. 2014.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v aplikacích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Portál: Praha.</w:t>
      </w:r>
    </w:p>
    <w:p w14:paraId="6F26D021" w14:textId="77777777" w:rsidR="00E116B5" w:rsidRPr="00524CBA" w:rsidRDefault="00E116B5" w:rsidP="000639D2">
      <w:pPr>
        <w:pStyle w:val="ListParagraph"/>
        <w:spacing w:line="276" w:lineRule="auto"/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000000D8" w14:textId="77ABCA8E" w:rsidR="00B1434D" w:rsidRPr="00524CBA" w:rsidRDefault="00C714C6" w:rsidP="0086451A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ind w:right="920"/>
        <w:jc w:val="both"/>
        <w:rPr>
          <w:rFonts w:ascii="Open Sans" w:eastAsia="Arial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1</w:t>
      </w:r>
      <w:r w:rsidR="003065C4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2</w:t>
      </w: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. týden (</w:t>
      </w:r>
      <w:r w:rsidR="003065C4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10</w:t>
      </w:r>
      <w:r w:rsidR="00C10D24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. </w:t>
      </w:r>
      <w:r w:rsidR="003065C4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5</w:t>
      </w:r>
      <w:r w:rsidR="00C10D24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.</w:t>
      </w: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): </w:t>
      </w:r>
      <w:r w:rsidR="00B84C21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Úvod do inferenční statistiky</w:t>
      </w:r>
    </w:p>
    <w:p w14:paraId="35BDDF2C" w14:textId="46D3834E" w:rsidR="4EF9D29C" w:rsidRPr="00524CBA" w:rsidRDefault="4EF9D29C" w:rsidP="000639D2">
      <w:pPr>
        <w:spacing w:line="276" w:lineRule="auto"/>
        <w:ind w:left="2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normální rozložení, šikmost, špičatost, </w:t>
      </w:r>
      <w:proofErr w:type="spellStart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boxplot</w:t>
      </w:r>
      <w:proofErr w:type="spellEnd"/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, inferenční statistik</w:t>
      </w:r>
      <w:r w:rsidR="00B44E2E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a </w:t>
      </w:r>
      <w:r w:rsidR="00B15880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vs.</w:t>
      </w:r>
      <w:r w:rsidR="00B44E2E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deskriptivní statistik</w:t>
      </w:r>
      <w:r w:rsidR="00B44E2E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a</w:t>
      </w:r>
    </w:p>
    <w:p w14:paraId="000000DA" w14:textId="788363A7" w:rsidR="00B1434D" w:rsidRPr="00524CBA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28EE8BA1" w14:textId="5805AF0E" w:rsidR="4EF9D29C" w:rsidRPr="00524CBA" w:rsidRDefault="009B5894" w:rsidP="00B44E2E">
      <w:pPr>
        <w:tabs>
          <w:tab w:val="left" w:pos="242"/>
        </w:tabs>
        <w:spacing w:line="276" w:lineRule="auto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Povinná literatura:</w:t>
      </w:r>
    </w:p>
    <w:p w14:paraId="000000DD" w14:textId="1FBD2ECA" w:rsidR="00B1434D" w:rsidRPr="00524CBA" w:rsidRDefault="009B5894" w:rsidP="00B76F4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MAREŠ, Petr, Ladislav RABUŠIC a Petr SOUKUP. 2019. Statistická analýza </w:t>
      </w:r>
      <w:proofErr w:type="spellStart"/>
      <w:r w:rsidRPr="00524CBA">
        <w:rPr>
          <w:rFonts w:ascii="Open Sans" w:eastAsia="Times New Roman" w:hAnsi="Open Sans" w:cs="Open Sans"/>
          <w:sz w:val="22"/>
          <w:szCs w:val="22"/>
        </w:rPr>
        <w:t>sociálněvědních</w:t>
      </w:r>
      <w:proofErr w:type="spellEnd"/>
      <w:r w:rsidRPr="00524CBA">
        <w:rPr>
          <w:rFonts w:ascii="Open Sans" w:eastAsia="Times New Roman" w:hAnsi="Open Sans" w:cs="Open Sans"/>
          <w:sz w:val="22"/>
          <w:szCs w:val="22"/>
        </w:rPr>
        <w:t xml:space="preserve"> dat (prostřednictvím SPSS). Brno: Masarykova univerzita. Kapitola: Normální a standardizované normální rozložení, od části 4.1 (Normální rozdělení) až po 4.2.2 (K čemu může z-skóre být?) včetně (str. 123-140).</w:t>
      </w:r>
    </w:p>
    <w:p w14:paraId="2425E3A3" w14:textId="77777777" w:rsidR="003065C4" w:rsidRPr="00524CBA" w:rsidRDefault="003065C4" w:rsidP="003065C4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5BCFB6C3" w14:textId="15DA0695" w:rsidR="003065C4" w:rsidRPr="00524CBA" w:rsidRDefault="003065C4" w:rsidP="003065C4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ind w:right="920"/>
        <w:jc w:val="both"/>
        <w:rPr>
          <w:rFonts w:ascii="Open Sans" w:eastAsia="Arial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13. týden (17. 5.): </w:t>
      </w:r>
      <w:r w:rsidR="00130B73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Čtecí týden – není výuka</w:t>
      </w:r>
    </w:p>
    <w:sectPr w:rsidR="003065C4" w:rsidRPr="00524CBA" w:rsidSect="00064934">
      <w:pgSz w:w="11920" w:h="16845"/>
      <w:pgMar w:top="1417" w:right="1410" w:bottom="993" w:left="1420" w:header="0" w:footer="0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9BBD" w14:textId="77777777" w:rsidR="00743023" w:rsidRDefault="00743023" w:rsidP="00802044">
      <w:r>
        <w:separator/>
      </w:r>
    </w:p>
  </w:endnote>
  <w:endnote w:type="continuationSeparator" w:id="0">
    <w:p w14:paraId="65784DA2" w14:textId="77777777" w:rsidR="00743023" w:rsidRDefault="00743023" w:rsidP="00802044">
      <w:r>
        <w:continuationSeparator/>
      </w:r>
    </w:p>
  </w:endnote>
  <w:endnote w:type="continuationNotice" w:id="1">
    <w:p w14:paraId="6EB93308" w14:textId="77777777" w:rsidR="00743023" w:rsidRDefault="00743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7AC1" w14:textId="77777777" w:rsidR="00743023" w:rsidRDefault="00743023" w:rsidP="00802044">
      <w:r>
        <w:separator/>
      </w:r>
    </w:p>
  </w:footnote>
  <w:footnote w:type="continuationSeparator" w:id="0">
    <w:p w14:paraId="79C518C9" w14:textId="77777777" w:rsidR="00743023" w:rsidRDefault="00743023" w:rsidP="00802044">
      <w:r>
        <w:continuationSeparator/>
      </w:r>
    </w:p>
  </w:footnote>
  <w:footnote w:type="continuationNotice" w:id="1">
    <w:p w14:paraId="689A82F7" w14:textId="77777777" w:rsidR="00743023" w:rsidRDefault="007430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85542A6"/>
    <w:multiLevelType w:val="multilevel"/>
    <w:tmpl w:val="456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7022C2D"/>
    <w:multiLevelType w:val="multilevel"/>
    <w:tmpl w:val="FDA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-716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</w:abstractNum>
  <w:abstractNum w:abstractNumId="14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AAD0810"/>
    <w:multiLevelType w:val="hybridMultilevel"/>
    <w:tmpl w:val="C47ECE84"/>
    <w:lvl w:ilvl="0" w:tplc="6262B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5CC23DCC"/>
    <w:multiLevelType w:val="multilevel"/>
    <w:tmpl w:val="1A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7A493E"/>
    <w:multiLevelType w:val="hybridMultilevel"/>
    <w:tmpl w:val="AF3AD2D6"/>
    <w:lvl w:ilvl="0" w:tplc="6262B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6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8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9" w15:restartNumberingAfterBreak="0">
    <w:nsid w:val="7CC01CF2"/>
    <w:multiLevelType w:val="multilevel"/>
    <w:tmpl w:val="68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7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22"/>
  </w:num>
  <w:num w:numId="15">
    <w:abstractNumId w:val="14"/>
  </w:num>
  <w:num w:numId="16">
    <w:abstractNumId w:val="28"/>
  </w:num>
  <w:num w:numId="17">
    <w:abstractNumId w:val="9"/>
  </w:num>
  <w:num w:numId="18">
    <w:abstractNumId w:val="25"/>
  </w:num>
  <w:num w:numId="19">
    <w:abstractNumId w:val="18"/>
  </w:num>
  <w:num w:numId="20">
    <w:abstractNumId w:val="26"/>
  </w:num>
  <w:num w:numId="21">
    <w:abstractNumId w:val="4"/>
  </w:num>
  <w:num w:numId="22">
    <w:abstractNumId w:val="15"/>
  </w:num>
  <w:num w:numId="23">
    <w:abstractNumId w:val="2"/>
  </w:num>
  <w:num w:numId="24">
    <w:abstractNumId w:val="6"/>
  </w:num>
  <w:num w:numId="25">
    <w:abstractNumId w:val="29"/>
  </w:num>
  <w:num w:numId="26">
    <w:abstractNumId w:val="1"/>
  </w:num>
  <w:num w:numId="27">
    <w:abstractNumId w:val="10"/>
  </w:num>
  <w:num w:numId="28">
    <w:abstractNumId w:val="21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04D3D"/>
    <w:rsid w:val="000136FB"/>
    <w:rsid w:val="00015337"/>
    <w:rsid w:val="000212F2"/>
    <w:rsid w:val="00023750"/>
    <w:rsid w:val="0002618F"/>
    <w:rsid w:val="0002705C"/>
    <w:rsid w:val="0003531E"/>
    <w:rsid w:val="00035831"/>
    <w:rsid w:val="00040788"/>
    <w:rsid w:val="00050C2B"/>
    <w:rsid w:val="00051947"/>
    <w:rsid w:val="000639D2"/>
    <w:rsid w:val="00064934"/>
    <w:rsid w:val="0007178D"/>
    <w:rsid w:val="000717D4"/>
    <w:rsid w:val="000762E3"/>
    <w:rsid w:val="0008282C"/>
    <w:rsid w:val="000850C6"/>
    <w:rsid w:val="00091D6A"/>
    <w:rsid w:val="00096128"/>
    <w:rsid w:val="000A7B3A"/>
    <w:rsid w:val="000B2ACC"/>
    <w:rsid w:val="000C2742"/>
    <w:rsid w:val="000C72E1"/>
    <w:rsid w:val="000D6D4E"/>
    <w:rsid w:val="000F562D"/>
    <w:rsid w:val="001031F5"/>
    <w:rsid w:val="0011193B"/>
    <w:rsid w:val="00116360"/>
    <w:rsid w:val="00120B76"/>
    <w:rsid w:val="00123A9B"/>
    <w:rsid w:val="00130B73"/>
    <w:rsid w:val="00131B2E"/>
    <w:rsid w:val="00151F4A"/>
    <w:rsid w:val="00153CCF"/>
    <w:rsid w:val="001574DF"/>
    <w:rsid w:val="0016032A"/>
    <w:rsid w:val="001753F2"/>
    <w:rsid w:val="00190324"/>
    <w:rsid w:val="00190F92"/>
    <w:rsid w:val="00195208"/>
    <w:rsid w:val="001A0DD7"/>
    <w:rsid w:val="001B1372"/>
    <w:rsid w:val="001B5303"/>
    <w:rsid w:val="001C25EC"/>
    <w:rsid w:val="001C2E0B"/>
    <w:rsid w:val="001C5EBF"/>
    <w:rsid w:val="001D7BEB"/>
    <w:rsid w:val="001E5C64"/>
    <w:rsid w:val="001F1379"/>
    <w:rsid w:val="001F208B"/>
    <w:rsid w:val="0020796F"/>
    <w:rsid w:val="00210512"/>
    <w:rsid w:val="002122E0"/>
    <w:rsid w:val="00212F73"/>
    <w:rsid w:val="002135B2"/>
    <w:rsid w:val="00217057"/>
    <w:rsid w:val="00217D7A"/>
    <w:rsid w:val="00227C54"/>
    <w:rsid w:val="00247033"/>
    <w:rsid w:val="002470E7"/>
    <w:rsid w:val="0025557A"/>
    <w:rsid w:val="002647B7"/>
    <w:rsid w:val="002648FD"/>
    <w:rsid w:val="00264DC9"/>
    <w:rsid w:val="00273306"/>
    <w:rsid w:val="00273943"/>
    <w:rsid w:val="00273C5E"/>
    <w:rsid w:val="002828D2"/>
    <w:rsid w:val="00294A75"/>
    <w:rsid w:val="002A10E4"/>
    <w:rsid w:val="002C2786"/>
    <w:rsid w:val="002E298F"/>
    <w:rsid w:val="002E3309"/>
    <w:rsid w:val="002F435D"/>
    <w:rsid w:val="002F71F2"/>
    <w:rsid w:val="00301805"/>
    <w:rsid w:val="00301DE9"/>
    <w:rsid w:val="00304107"/>
    <w:rsid w:val="003065C4"/>
    <w:rsid w:val="00306996"/>
    <w:rsid w:val="00306CBC"/>
    <w:rsid w:val="003153DE"/>
    <w:rsid w:val="00316B21"/>
    <w:rsid w:val="003237CF"/>
    <w:rsid w:val="00325C88"/>
    <w:rsid w:val="00327A48"/>
    <w:rsid w:val="003327D7"/>
    <w:rsid w:val="00335C28"/>
    <w:rsid w:val="00344E4C"/>
    <w:rsid w:val="00344F5D"/>
    <w:rsid w:val="00345998"/>
    <w:rsid w:val="0034707E"/>
    <w:rsid w:val="0035176E"/>
    <w:rsid w:val="00355EC4"/>
    <w:rsid w:val="00357933"/>
    <w:rsid w:val="00360552"/>
    <w:rsid w:val="00366609"/>
    <w:rsid w:val="00367197"/>
    <w:rsid w:val="003759FE"/>
    <w:rsid w:val="00377839"/>
    <w:rsid w:val="0038476C"/>
    <w:rsid w:val="00393513"/>
    <w:rsid w:val="003938CC"/>
    <w:rsid w:val="003940E1"/>
    <w:rsid w:val="003B2103"/>
    <w:rsid w:val="003D336E"/>
    <w:rsid w:val="003D38EB"/>
    <w:rsid w:val="003E238D"/>
    <w:rsid w:val="003F1CC2"/>
    <w:rsid w:val="003F2D0C"/>
    <w:rsid w:val="003F571A"/>
    <w:rsid w:val="003F5C60"/>
    <w:rsid w:val="003F6560"/>
    <w:rsid w:val="00403CA9"/>
    <w:rsid w:val="00404341"/>
    <w:rsid w:val="00425613"/>
    <w:rsid w:val="00433E50"/>
    <w:rsid w:val="00434CD9"/>
    <w:rsid w:val="004354D9"/>
    <w:rsid w:val="00463330"/>
    <w:rsid w:val="00464C96"/>
    <w:rsid w:val="00480423"/>
    <w:rsid w:val="004810BF"/>
    <w:rsid w:val="00483B82"/>
    <w:rsid w:val="00487663"/>
    <w:rsid w:val="00487F75"/>
    <w:rsid w:val="004A08B0"/>
    <w:rsid w:val="004A1FD2"/>
    <w:rsid w:val="004B3D82"/>
    <w:rsid w:val="004B3D99"/>
    <w:rsid w:val="004B4E32"/>
    <w:rsid w:val="004C3CFC"/>
    <w:rsid w:val="004C5F0A"/>
    <w:rsid w:val="004E36EE"/>
    <w:rsid w:val="004E4C93"/>
    <w:rsid w:val="004E5532"/>
    <w:rsid w:val="004F1228"/>
    <w:rsid w:val="00503315"/>
    <w:rsid w:val="00503FFA"/>
    <w:rsid w:val="005053B0"/>
    <w:rsid w:val="00505740"/>
    <w:rsid w:val="005129A5"/>
    <w:rsid w:val="0051607D"/>
    <w:rsid w:val="00517294"/>
    <w:rsid w:val="005211C2"/>
    <w:rsid w:val="005226F9"/>
    <w:rsid w:val="00524CBA"/>
    <w:rsid w:val="00525DA4"/>
    <w:rsid w:val="00525E41"/>
    <w:rsid w:val="00526735"/>
    <w:rsid w:val="00546D6F"/>
    <w:rsid w:val="00551978"/>
    <w:rsid w:val="00551B87"/>
    <w:rsid w:val="00552FA0"/>
    <w:rsid w:val="00553A1D"/>
    <w:rsid w:val="00562B5F"/>
    <w:rsid w:val="00581DEE"/>
    <w:rsid w:val="00595870"/>
    <w:rsid w:val="0059748C"/>
    <w:rsid w:val="005A10DB"/>
    <w:rsid w:val="005A27F5"/>
    <w:rsid w:val="005A2D24"/>
    <w:rsid w:val="005B080C"/>
    <w:rsid w:val="005B27B5"/>
    <w:rsid w:val="005B3A0C"/>
    <w:rsid w:val="005C1E83"/>
    <w:rsid w:val="005E32C6"/>
    <w:rsid w:val="005E3AEB"/>
    <w:rsid w:val="005F07F7"/>
    <w:rsid w:val="005F7636"/>
    <w:rsid w:val="006032A5"/>
    <w:rsid w:val="00604426"/>
    <w:rsid w:val="00610AF3"/>
    <w:rsid w:val="0063454F"/>
    <w:rsid w:val="0063792C"/>
    <w:rsid w:val="0067050F"/>
    <w:rsid w:val="00677E68"/>
    <w:rsid w:val="00683230"/>
    <w:rsid w:val="00684BD1"/>
    <w:rsid w:val="006864B8"/>
    <w:rsid w:val="0068779F"/>
    <w:rsid w:val="006965EE"/>
    <w:rsid w:val="006A049A"/>
    <w:rsid w:val="006A1BCB"/>
    <w:rsid w:val="006A2B16"/>
    <w:rsid w:val="006A317E"/>
    <w:rsid w:val="006A4011"/>
    <w:rsid w:val="006B3A5C"/>
    <w:rsid w:val="006B4A5C"/>
    <w:rsid w:val="006B7658"/>
    <w:rsid w:val="006C1297"/>
    <w:rsid w:val="006D7720"/>
    <w:rsid w:val="006E0592"/>
    <w:rsid w:val="00703111"/>
    <w:rsid w:val="007033E7"/>
    <w:rsid w:val="007156BF"/>
    <w:rsid w:val="00722BCA"/>
    <w:rsid w:val="00723972"/>
    <w:rsid w:val="0072494E"/>
    <w:rsid w:val="0073240D"/>
    <w:rsid w:val="007325AF"/>
    <w:rsid w:val="00741FB6"/>
    <w:rsid w:val="00743023"/>
    <w:rsid w:val="007514A2"/>
    <w:rsid w:val="00764EF2"/>
    <w:rsid w:val="00775AA8"/>
    <w:rsid w:val="0077616B"/>
    <w:rsid w:val="007876A5"/>
    <w:rsid w:val="007978B6"/>
    <w:rsid w:val="007A4F84"/>
    <w:rsid w:val="007A73D3"/>
    <w:rsid w:val="007B3685"/>
    <w:rsid w:val="007C5B61"/>
    <w:rsid w:val="007D79D9"/>
    <w:rsid w:val="007E1AB1"/>
    <w:rsid w:val="007F77B0"/>
    <w:rsid w:val="007F7F5F"/>
    <w:rsid w:val="00802044"/>
    <w:rsid w:val="00804FD8"/>
    <w:rsid w:val="008071F7"/>
    <w:rsid w:val="00823359"/>
    <w:rsid w:val="00824424"/>
    <w:rsid w:val="00826865"/>
    <w:rsid w:val="00833F36"/>
    <w:rsid w:val="00843A11"/>
    <w:rsid w:val="00853396"/>
    <w:rsid w:val="0085421D"/>
    <w:rsid w:val="00855AD2"/>
    <w:rsid w:val="0086451A"/>
    <w:rsid w:val="0086562E"/>
    <w:rsid w:val="008778DF"/>
    <w:rsid w:val="008861D8"/>
    <w:rsid w:val="008A3C17"/>
    <w:rsid w:val="008B0798"/>
    <w:rsid w:val="008C375D"/>
    <w:rsid w:val="008C5C5D"/>
    <w:rsid w:val="008D3074"/>
    <w:rsid w:val="008D32E6"/>
    <w:rsid w:val="008D359D"/>
    <w:rsid w:val="008E7DB4"/>
    <w:rsid w:val="008E7E63"/>
    <w:rsid w:val="008F068F"/>
    <w:rsid w:val="008F4803"/>
    <w:rsid w:val="008F7E68"/>
    <w:rsid w:val="00901A5E"/>
    <w:rsid w:val="009039AA"/>
    <w:rsid w:val="009050BB"/>
    <w:rsid w:val="0091562A"/>
    <w:rsid w:val="00915D61"/>
    <w:rsid w:val="00922F8F"/>
    <w:rsid w:val="00947BC6"/>
    <w:rsid w:val="00951570"/>
    <w:rsid w:val="00953E06"/>
    <w:rsid w:val="00954AF7"/>
    <w:rsid w:val="0095720A"/>
    <w:rsid w:val="00971CCD"/>
    <w:rsid w:val="00971EC3"/>
    <w:rsid w:val="00972253"/>
    <w:rsid w:val="00973CBB"/>
    <w:rsid w:val="0097764D"/>
    <w:rsid w:val="00977781"/>
    <w:rsid w:val="00977DBF"/>
    <w:rsid w:val="00986099"/>
    <w:rsid w:val="00997D44"/>
    <w:rsid w:val="009A10FE"/>
    <w:rsid w:val="009A14EC"/>
    <w:rsid w:val="009A3A5F"/>
    <w:rsid w:val="009B03AA"/>
    <w:rsid w:val="009B168C"/>
    <w:rsid w:val="009B3EA5"/>
    <w:rsid w:val="009B5894"/>
    <w:rsid w:val="009C4CC0"/>
    <w:rsid w:val="009D14E8"/>
    <w:rsid w:val="009D2629"/>
    <w:rsid w:val="009D2A4E"/>
    <w:rsid w:val="009D4FA5"/>
    <w:rsid w:val="009D70DE"/>
    <w:rsid w:val="009E15CB"/>
    <w:rsid w:val="009E2730"/>
    <w:rsid w:val="009E2BDD"/>
    <w:rsid w:val="009E7884"/>
    <w:rsid w:val="009F06AE"/>
    <w:rsid w:val="009F5265"/>
    <w:rsid w:val="00A25B8E"/>
    <w:rsid w:val="00A26F0F"/>
    <w:rsid w:val="00A27985"/>
    <w:rsid w:val="00A35EF8"/>
    <w:rsid w:val="00A44F46"/>
    <w:rsid w:val="00A53F6D"/>
    <w:rsid w:val="00A60EC5"/>
    <w:rsid w:val="00A61354"/>
    <w:rsid w:val="00A65676"/>
    <w:rsid w:val="00A669AC"/>
    <w:rsid w:val="00A67FE7"/>
    <w:rsid w:val="00A7016B"/>
    <w:rsid w:val="00A70529"/>
    <w:rsid w:val="00A74A5F"/>
    <w:rsid w:val="00A97F0D"/>
    <w:rsid w:val="00AB797A"/>
    <w:rsid w:val="00AC2018"/>
    <w:rsid w:val="00AC5D0F"/>
    <w:rsid w:val="00AD1BA5"/>
    <w:rsid w:val="00AD3384"/>
    <w:rsid w:val="00B04393"/>
    <w:rsid w:val="00B0576E"/>
    <w:rsid w:val="00B05EE6"/>
    <w:rsid w:val="00B1246B"/>
    <w:rsid w:val="00B1434D"/>
    <w:rsid w:val="00B15880"/>
    <w:rsid w:val="00B15EE5"/>
    <w:rsid w:val="00B27203"/>
    <w:rsid w:val="00B27BD2"/>
    <w:rsid w:val="00B3044B"/>
    <w:rsid w:val="00B3769B"/>
    <w:rsid w:val="00B40AB6"/>
    <w:rsid w:val="00B41085"/>
    <w:rsid w:val="00B44E2E"/>
    <w:rsid w:val="00B601F3"/>
    <w:rsid w:val="00B621AA"/>
    <w:rsid w:val="00B67D51"/>
    <w:rsid w:val="00B717E0"/>
    <w:rsid w:val="00B76F4B"/>
    <w:rsid w:val="00B84C21"/>
    <w:rsid w:val="00B903EC"/>
    <w:rsid w:val="00BA3658"/>
    <w:rsid w:val="00BA56FA"/>
    <w:rsid w:val="00BA59B4"/>
    <w:rsid w:val="00BA6ABC"/>
    <w:rsid w:val="00BB1010"/>
    <w:rsid w:val="00BB27D1"/>
    <w:rsid w:val="00BC187D"/>
    <w:rsid w:val="00BC4F4F"/>
    <w:rsid w:val="00BC5CAF"/>
    <w:rsid w:val="00BC67C4"/>
    <w:rsid w:val="00BD56F7"/>
    <w:rsid w:val="00BD6590"/>
    <w:rsid w:val="00BF732A"/>
    <w:rsid w:val="00C02F94"/>
    <w:rsid w:val="00C03A39"/>
    <w:rsid w:val="00C10D24"/>
    <w:rsid w:val="00C131F6"/>
    <w:rsid w:val="00C1718F"/>
    <w:rsid w:val="00C203AC"/>
    <w:rsid w:val="00C24837"/>
    <w:rsid w:val="00C2532C"/>
    <w:rsid w:val="00C25D23"/>
    <w:rsid w:val="00C32C23"/>
    <w:rsid w:val="00C47345"/>
    <w:rsid w:val="00C5207B"/>
    <w:rsid w:val="00C5582E"/>
    <w:rsid w:val="00C5737F"/>
    <w:rsid w:val="00C714C6"/>
    <w:rsid w:val="00C75E8F"/>
    <w:rsid w:val="00C77DF1"/>
    <w:rsid w:val="00C801D7"/>
    <w:rsid w:val="00C80F12"/>
    <w:rsid w:val="00C80F83"/>
    <w:rsid w:val="00C854F8"/>
    <w:rsid w:val="00C856D5"/>
    <w:rsid w:val="00C9160A"/>
    <w:rsid w:val="00CA42EF"/>
    <w:rsid w:val="00CD0C73"/>
    <w:rsid w:val="00CD5287"/>
    <w:rsid w:val="00CE4956"/>
    <w:rsid w:val="00CF0549"/>
    <w:rsid w:val="00CF4373"/>
    <w:rsid w:val="00D03968"/>
    <w:rsid w:val="00D17B97"/>
    <w:rsid w:val="00D27B0A"/>
    <w:rsid w:val="00D27DF4"/>
    <w:rsid w:val="00D34921"/>
    <w:rsid w:val="00D417DB"/>
    <w:rsid w:val="00D41E02"/>
    <w:rsid w:val="00D42188"/>
    <w:rsid w:val="00D4333A"/>
    <w:rsid w:val="00D61450"/>
    <w:rsid w:val="00D64765"/>
    <w:rsid w:val="00D65375"/>
    <w:rsid w:val="00D70BA5"/>
    <w:rsid w:val="00D7384F"/>
    <w:rsid w:val="00D7549C"/>
    <w:rsid w:val="00D77A7D"/>
    <w:rsid w:val="00D77E99"/>
    <w:rsid w:val="00D842C4"/>
    <w:rsid w:val="00D93A4F"/>
    <w:rsid w:val="00DA1902"/>
    <w:rsid w:val="00DA1F15"/>
    <w:rsid w:val="00DB7499"/>
    <w:rsid w:val="00DC374D"/>
    <w:rsid w:val="00DC793E"/>
    <w:rsid w:val="00DD21C3"/>
    <w:rsid w:val="00DD3E50"/>
    <w:rsid w:val="00DD69C9"/>
    <w:rsid w:val="00DF18BC"/>
    <w:rsid w:val="00DF1F2E"/>
    <w:rsid w:val="00E03E5A"/>
    <w:rsid w:val="00E059DC"/>
    <w:rsid w:val="00E07048"/>
    <w:rsid w:val="00E10E79"/>
    <w:rsid w:val="00E116B5"/>
    <w:rsid w:val="00E15637"/>
    <w:rsid w:val="00E26B18"/>
    <w:rsid w:val="00E34395"/>
    <w:rsid w:val="00E37B4A"/>
    <w:rsid w:val="00E50296"/>
    <w:rsid w:val="00E50BD9"/>
    <w:rsid w:val="00E52031"/>
    <w:rsid w:val="00E5303E"/>
    <w:rsid w:val="00E53DA6"/>
    <w:rsid w:val="00E558F8"/>
    <w:rsid w:val="00E56CA7"/>
    <w:rsid w:val="00E6625A"/>
    <w:rsid w:val="00E76C34"/>
    <w:rsid w:val="00E923D4"/>
    <w:rsid w:val="00E94A40"/>
    <w:rsid w:val="00EA3629"/>
    <w:rsid w:val="00EA3FE9"/>
    <w:rsid w:val="00EA439E"/>
    <w:rsid w:val="00EB4173"/>
    <w:rsid w:val="00EB6E43"/>
    <w:rsid w:val="00EC6170"/>
    <w:rsid w:val="00EC67C0"/>
    <w:rsid w:val="00EC7DCC"/>
    <w:rsid w:val="00ED23DE"/>
    <w:rsid w:val="00EE6744"/>
    <w:rsid w:val="00F04EFA"/>
    <w:rsid w:val="00F10738"/>
    <w:rsid w:val="00F4363E"/>
    <w:rsid w:val="00F456E3"/>
    <w:rsid w:val="00F5344E"/>
    <w:rsid w:val="00F65DA7"/>
    <w:rsid w:val="00F7257E"/>
    <w:rsid w:val="00F7355D"/>
    <w:rsid w:val="00F80E6A"/>
    <w:rsid w:val="00F83099"/>
    <w:rsid w:val="00F84634"/>
    <w:rsid w:val="00F86EA9"/>
    <w:rsid w:val="00F909C3"/>
    <w:rsid w:val="00F92794"/>
    <w:rsid w:val="00F96317"/>
    <w:rsid w:val="00FA1505"/>
    <w:rsid w:val="00FA4A27"/>
    <w:rsid w:val="00FB3596"/>
    <w:rsid w:val="00FB5650"/>
    <w:rsid w:val="00FC250D"/>
    <w:rsid w:val="00FD2102"/>
    <w:rsid w:val="00FD3E7B"/>
    <w:rsid w:val="00FE179A"/>
    <w:rsid w:val="00FF0BC4"/>
    <w:rsid w:val="00FF2400"/>
    <w:rsid w:val="0144783F"/>
    <w:rsid w:val="03578F4E"/>
    <w:rsid w:val="03A21517"/>
    <w:rsid w:val="041BF6DF"/>
    <w:rsid w:val="05BE5354"/>
    <w:rsid w:val="091B1D98"/>
    <w:rsid w:val="12076B56"/>
    <w:rsid w:val="1339384A"/>
    <w:rsid w:val="13F8723D"/>
    <w:rsid w:val="1525DD9C"/>
    <w:rsid w:val="16C1ADFD"/>
    <w:rsid w:val="1717D186"/>
    <w:rsid w:val="19A991C7"/>
    <w:rsid w:val="1AEF1D2A"/>
    <w:rsid w:val="1B68F312"/>
    <w:rsid w:val="1C649A6A"/>
    <w:rsid w:val="20CEBF8C"/>
    <w:rsid w:val="2265B534"/>
    <w:rsid w:val="2623D125"/>
    <w:rsid w:val="2818DCDB"/>
    <w:rsid w:val="2918BA3E"/>
    <w:rsid w:val="29B4AD3C"/>
    <w:rsid w:val="2AB48A9F"/>
    <w:rsid w:val="2BC63161"/>
    <w:rsid w:val="2C505B00"/>
    <w:rsid w:val="31F72D80"/>
    <w:rsid w:val="31FE0321"/>
    <w:rsid w:val="35BB3475"/>
    <w:rsid w:val="367A07E7"/>
    <w:rsid w:val="37A15421"/>
    <w:rsid w:val="3839F39B"/>
    <w:rsid w:val="3ABE93F9"/>
    <w:rsid w:val="3C93F129"/>
    <w:rsid w:val="40199FB2"/>
    <w:rsid w:val="49068DB8"/>
    <w:rsid w:val="49E6ED96"/>
    <w:rsid w:val="4CB03351"/>
    <w:rsid w:val="4EF9D29C"/>
    <w:rsid w:val="50DDB34F"/>
    <w:rsid w:val="59ACA434"/>
    <w:rsid w:val="5E0D89FD"/>
    <w:rsid w:val="60A3DA3C"/>
    <w:rsid w:val="61AD8CFD"/>
    <w:rsid w:val="63413D55"/>
    <w:rsid w:val="641AB931"/>
    <w:rsid w:val="643022F0"/>
    <w:rsid w:val="659CBA82"/>
    <w:rsid w:val="68D13416"/>
    <w:rsid w:val="6A745CB1"/>
    <w:rsid w:val="6ABD6AD6"/>
    <w:rsid w:val="6AEAA892"/>
    <w:rsid w:val="6D6A25A2"/>
    <w:rsid w:val="6E110A04"/>
    <w:rsid w:val="6F2DD902"/>
    <w:rsid w:val="70818729"/>
    <w:rsid w:val="7658F9F7"/>
    <w:rsid w:val="7882C6A4"/>
    <w:rsid w:val="7A081ED0"/>
    <w:rsid w:val="7E25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D8AFF"/>
  <w15:docId w15:val="{CAB2794E-5ECA-4F0B-B4EB-9185C0E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2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6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A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20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44"/>
  </w:style>
  <w:style w:type="paragraph" w:styleId="Footer">
    <w:name w:val="footer"/>
    <w:basedOn w:val="Normal"/>
    <w:link w:val="FooterChar"/>
    <w:uiPriority w:val="99"/>
    <w:unhideWhenUsed/>
    <w:rsid w:val="008020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44"/>
  </w:style>
  <w:style w:type="character" w:styleId="CommentReference">
    <w:name w:val="annotation reference"/>
    <w:basedOn w:val="DefaultParagraphFont"/>
    <w:uiPriority w:val="99"/>
    <w:semiHidden/>
    <w:unhideWhenUsed/>
    <w:rsid w:val="00951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570"/>
  </w:style>
  <w:style w:type="character" w:customStyle="1" w:styleId="CommentTextChar">
    <w:name w:val="Comment Text Char"/>
    <w:basedOn w:val="DefaultParagraphFont"/>
    <w:link w:val="CommentText"/>
    <w:uiPriority w:val="99"/>
    <w:rsid w:val="009515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muni.cz/sluzby/software/ibm-spss-statistic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bielikova@mail.m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hZckWTLkJM&amp;t=284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ara.smejkal@mail.m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k1VUZEVuDJ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muni.cz/sluzby/microsof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E67C5EBE5EC4E92F91ACDB95ED51E" ma:contentTypeVersion="14" ma:contentTypeDescription="Vytvoří nový dokument" ma:contentTypeScope="" ma:versionID="4ee5d3cf4ebaa47ce2898ffe91ab6b6f">
  <xsd:schema xmlns:xsd="http://www.w3.org/2001/XMLSchema" xmlns:xs="http://www.w3.org/2001/XMLSchema" xmlns:p="http://schemas.microsoft.com/office/2006/metadata/properties" xmlns:ns3="1099ea8a-9cf7-4a59-9a65-427adb4d03e3" xmlns:ns4="0cf14308-77e4-4f1d-b3eb-93b2bda9a9b2" targetNamespace="http://schemas.microsoft.com/office/2006/metadata/properties" ma:root="true" ma:fieldsID="6fe68b07c88cdbd19a217f9d7fdc965d" ns3:_="" ns4:_="">
    <xsd:import namespace="1099ea8a-9cf7-4a59-9a65-427adb4d03e3"/>
    <xsd:import namespace="0cf14308-77e4-4f1d-b3eb-93b2bda9a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a8a-9cf7-4a59-9a65-427adb4d0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4308-77e4-4f1d-b3eb-93b2bda9a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68D9-9603-4A81-872B-9FCD48D037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D7320-DAED-4BED-A289-6B764F5F6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46B5D-2AF9-4AB9-AC60-E39F92111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9ea8a-9cf7-4a59-9a65-427adb4d03e3"/>
    <ds:schemaRef ds:uri="0cf14308-77e4-4f1d-b3eb-93b2bda9a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FB9B3-8765-4C05-B3C4-E695F757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2188</Words>
  <Characters>12473</Characters>
  <Application>Microsoft Office Word</Application>
  <DocSecurity>0</DocSecurity>
  <Lines>103</Lines>
  <Paragraphs>29</Paragraphs>
  <ScaleCrop>false</ScaleCrop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Procházková</dc:creator>
  <cp:keywords/>
  <dc:description/>
  <cp:lastModifiedBy>Lucie Čejková</cp:lastModifiedBy>
  <cp:revision>429</cp:revision>
  <dcterms:created xsi:type="dcterms:W3CDTF">2023-02-14T12:00:00Z</dcterms:created>
  <dcterms:modified xsi:type="dcterms:W3CDTF">2024-02-19T12:50:00Z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0x010100736E67C5EBE5EC4E92F91ACDB95ED51E</vt:lpwstr>
  </property>
  <property fmtid="{D5CDD505-2E9C-101B-9397-08002B2CF9AE}" pid="23" name="GrammarlyDocumentId">
    <vt:lpwstr>566d226d699c4cdac427b474b774de0a04a41249120736d8e067da79eda403e5</vt:lpwstr>
  </property>
</Properties>
</file>