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7DE90" w14:textId="77777777" w:rsidR="008C159F" w:rsidRDefault="008C159F" w:rsidP="008C159F">
      <w:pPr>
        <w:pStyle w:val="Nadpis1"/>
      </w:pPr>
      <w:r>
        <w:t>Seminární úkol č. 3</w:t>
      </w:r>
    </w:p>
    <w:p w14:paraId="24C2399E" w14:textId="77777777" w:rsidR="008C159F" w:rsidRDefault="008C159F" w:rsidP="008C159F">
      <w:pPr>
        <w:rPr>
          <w:rFonts w:ascii="Arial" w:hAnsi="Arial" w:cs="Arial"/>
          <w:color w:val="000000"/>
          <w:sz w:val="20"/>
          <w:szCs w:val="20"/>
          <w:shd w:val="clear" w:color="auto" w:fill="F7F8FC"/>
        </w:rPr>
      </w:pPr>
      <w:r>
        <w:t xml:space="preserve">Autoři: Klára Čapková (406803), Markéta </w:t>
      </w:r>
      <w:proofErr w:type="spellStart"/>
      <w:r>
        <w:t>Peschková</w:t>
      </w:r>
      <w:proofErr w:type="spellEnd"/>
      <w:r>
        <w:t xml:space="preserve"> (</w:t>
      </w:r>
      <w:r>
        <w:rPr>
          <w:rFonts w:ascii="Arial" w:hAnsi="Arial" w:cs="Arial"/>
          <w:color w:val="000000"/>
          <w:sz w:val="20"/>
          <w:szCs w:val="20"/>
          <w:shd w:val="clear" w:color="auto" w:fill="F7F8FC"/>
        </w:rPr>
        <w:t>414906)</w:t>
      </w:r>
    </w:p>
    <w:p w14:paraId="4A292D40" w14:textId="77777777" w:rsidR="008C159F" w:rsidRPr="008C159F" w:rsidRDefault="008C159F" w:rsidP="008C159F">
      <w:r w:rsidRPr="008C159F">
        <w:t>Z</w:t>
      </w:r>
      <w:r>
        <w:t xml:space="preserve">droj dat: EU </w:t>
      </w:r>
      <w:proofErr w:type="spellStart"/>
      <w:r>
        <w:t>Kids</w:t>
      </w:r>
      <w:proofErr w:type="spellEnd"/>
      <w:r>
        <w:t xml:space="preserve"> Online </w:t>
      </w:r>
      <w:proofErr w:type="spellStart"/>
      <w:r>
        <w:t>Survey</w:t>
      </w:r>
      <w:proofErr w:type="spellEnd"/>
    </w:p>
    <w:p w14:paraId="28B9DBB3" w14:textId="77777777" w:rsidR="00A13000" w:rsidRDefault="00A13000" w:rsidP="000341E8">
      <w:pPr>
        <w:jc w:val="both"/>
        <w:rPr>
          <w:b/>
        </w:rPr>
      </w:pPr>
      <w:r w:rsidRPr="00A13000">
        <w:rPr>
          <w:b/>
        </w:rPr>
        <w:t>Popis dat</w:t>
      </w:r>
    </w:p>
    <w:p w14:paraId="7D2E27A2" w14:textId="77777777" w:rsidR="008C159F" w:rsidRDefault="0087063E" w:rsidP="000341E8">
      <w:pPr>
        <w:jc w:val="both"/>
      </w:pPr>
      <w:r w:rsidRPr="0087063E">
        <w:t xml:space="preserve">Analyzovaná data pocházejí z výzkumu online chování </w:t>
      </w:r>
      <w:commentRangeStart w:id="0"/>
      <w:r w:rsidRPr="0087063E">
        <w:t>dětí Evropské unie</w:t>
      </w:r>
      <w:commentRangeEnd w:id="0"/>
      <w:r w:rsidR="00A83979">
        <w:rPr>
          <w:rStyle w:val="Odkaznakoment"/>
        </w:rPr>
        <w:commentReference w:id="0"/>
      </w:r>
      <w:r w:rsidRPr="0087063E">
        <w:t>. Data shrnují údaje o 18709 respondentech ve věku 11 – 16 let, z nichž 9352 bylo mužského a 9</w:t>
      </w:r>
      <w:r w:rsidR="004E2E74">
        <w:t>357 ženského</w:t>
      </w:r>
      <w:r w:rsidR="00C130F3">
        <w:t xml:space="preserve"> pohlaví</w:t>
      </w:r>
      <w:r w:rsidR="004E2E74">
        <w:t xml:space="preserve">. Analýza z důvodu chybějících dat </w:t>
      </w:r>
      <w:r w:rsidR="00C130F3">
        <w:t xml:space="preserve">u některých položek </w:t>
      </w:r>
      <w:r w:rsidR="004E2E74">
        <w:t xml:space="preserve">pracuje </w:t>
      </w:r>
      <w:r w:rsidR="00C130F3">
        <w:t xml:space="preserve">pouze </w:t>
      </w:r>
      <w:r w:rsidR="004E2E74">
        <w:t>s</w:t>
      </w:r>
      <w:r w:rsidRPr="0087063E">
        <w:t xml:space="preserve"> </w:t>
      </w:r>
      <w:r w:rsidR="004E2E74">
        <w:t>16003</w:t>
      </w:r>
      <w:r w:rsidRPr="0087063E">
        <w:t xml:space="preserve"> případy.</w:t>
      </w:r>
    </w:p>
    <w:p w14:paraId="6EB3683C" w14:textId="77777777" w:rsidR="005C52C7" w:rsidRDefault="005C52C7" w:rsidP="005C52C7">
      <w:pPr>
        <w:jc w:val="both"/>
        <w:rPr>
          <w:b/>
        </w:rPr>
      </w:pPr>
      <w:r w:rsidRPr="00A13000">
        <w:rPr>
          <w:b/>
        </w:rPr>
        <w:t>Popis modelu</w:t>
      </w:r>
    </w:p>
    <w:p w14:paraId="73B2C5B2" w14:textId="77777777" w:rsidR="005C52C7" w:rsidRDefault="005C52C7" w:rsidP="005C52C7">
      <w:pPr>
        <w:jc w:val="both"/>
      </w:pPr>
      <w:r>
        <w:t>Logistická regrese byla provedena za účelem predikování pravděpodobnosti</w:t>
      </w:r>
      <w:r w:rsidR="004C4A42">
        <w:t xml:space="preserve"> toho</w:t>
      </w:r>
      <w:r>
        <w:t xml:space="preserve">, že sledovaný jedinec v posledním měsíci hrál </w:t>
      </w:r>
      <w:commentRangeStart w:id="1"/>
      <w:r>
        <w:t>online hry přes internet</w:t>
      </w:r>
      <w:r w:rsidR="00C130F3">
        <w:t xml:space="preserve"> </w:t>
      </w:r>
      <w:commentRangeEnd w:id="1"/>
      <w:r w:rsidR="0078319A">
        <w:rPr>
          <w:rStyle w:val="Odkaznakoment"/>
        </w:rPr>
        <w:commentReference w:id="1"/>
      </w:r>
      <w:r w:rsidR="00C130F3">
        <w:t>s jinými lidmi</w:t>
      </w:r>
      <w:r>
        <w:t xml:space="preserve">. Tato proměnná byla predikována pomocí sedmi </w:t>
      </w:r>
      <w:r w:rsidRPr="0078319A">
        <w:rPr>
          <w:highlight w:val="yellow"/>
        </w:rPr>
        <w:t xml:space="preserve">nezávislých </w:t>
      </w:r>
      <w:commentRangeStart w:id="2"/>
      <w:r w:rsidRPr="0078319A">
        <w:rPr>
          <w:highlight w:val="yellow"/>
        </w:rPr>
        <w:t>proměnných</w:t>
      </w:r>
      <w:commentRangeEnd w:id="2"/>
      <w:r w:rsidR="0078319A">
        <w:rPr>
          <w:rStyle w:val="Odkaznakoment"/>
        </w:rPr>
        <w:commentReference w:id="2"/>
      </w:r>
      <w:r>
        <w:t>.</w:t>
      </w:r>
    </w:p>
    <w:p w14:paraId="2C574044" w14:textId="77777777" w:rsidR="005C52C7" w:rsidRDefault="005C52C7" w:rsidP="005C52C7">
      <w:pPr>
        <w:jc w:val="both"/>
      </w:pPr>
      <w:r>
        <w:t>První z proměnných, které jsme do analýzy zahrnuly, je pohlaví dítěte. Předpokládáme, že u chlapců je větší pravděpodobnost hraní online počítačových her než u dívek. Chlapci a dívk</w:t>
      </w:r>
      <w:r w:rsidR="005E1CCC">
        <w:t>y byli v naší analýze zastoupeni</w:t>
      </w:r>
      <w:r>
        <w:t xml:space="preserve"> </w:t>
      </w:r>
      <w:r w:rsidR="008D5790">
        <w:t xml:space="preserve">téměř zcela rovnoměrně, </w:t>
      </w:r>
      <w:commentRangeStart w:id="3"/>
      <w:r w:rsidR="008D5790">
        <w:t xml:space="preserve">chlapců bylo 8006 a dívek 7997. </w:t>
      </w:r>
      <w:commentRangeEnd w:id="3"/>
      <w:r w:rsidR="00A83979">
        <w:rPr>
          <w:rStyle w:val="Odkaznakoment"/>
        </w:rPr>
        <w:commentReference w:id="3"/>
      </w:r>
    </w:p>
    <w:p w14:paraId="2A493B42" w14:textId="77777777" w:rsidR="004C4A42" w:rsidRPr="003915FC" w:rsidRDefault="004C4A42" w:rsidP="004C4A42">
      <w:pPr>
        <w:jc w:val="both"/>
        <w:rPr>
          <w:color w:val="000000"/>
        </w:rPr>
      </w:pPr>
      <w:r w:rsidRPr="003915FC">
        <w:rPr>
          <w:color w:val="000000"/>
        </w:rPr>
        <w:t xml:space="preserve">Další proměnná </w:t>
      </w:r>
      <w:r w:rsidR="005E1CCC" w:rsidRPr="003915FC">
        <w:rPr>
          <w:color w:val="000000"/>
        </w:rPr>
        <w:t>„</w:t>
      </w:r>
      <w:proofErr w:type="spellStart"/>
      <w:r w:rsidR="005C52C7" w:rsidRPr="003915FC">
        <w:rPr>
          <w:color w:val="000000"/>
        </w:rPr>
        <w:t>Different</w:t>
      </w:r>
      <w:proofErr w:type="spellEnd"/>
      <w:r w:rsidR="005C52C7" w:rsidRPr="003915FC">
        <w:rPr>
          <w:color w:val="000000"/>
        </w:rPr>
        <w:t xml:space="preserve"> online persona</w:t>
      </w:r>
      <w:r w:rsidR="005E1CCC" w:rsidRPr="003915FC">
        <w:rPr>
          <w:color w:val="000000"/>
        </w:rPr>
        <w:t>“</w:t>
      </w:r>
      <w:r w:rsidR="005C52C7" w:rsidRPr="003915FC">
        <w:rPr>
          <w:color w:val="000000"/>
        </w:rPr>
        <w:t xml:space="preserve"> udává, do jaké míry si jedinec vytváří na internetu novou identitu, odlišnou od té, která je pro něj typická ve skutečném svět</w:t>
      </w:r>
      <w:r w:rsidR="005E1CCC" w:rsidRPr="003915FC">
        <w:rPr>
          <w:color w:val="000000"/>
        </w:rPr>
        <w:t>ě</w:t>
      </w:r>
      <w:r w:rsidR="005C52C7" w:rsidRPr="003915FC">
        <w:rPr>
          <w:color w:val="000000"/>
        </w:rPr>
        <w:t>. Jedinci, kteří spíše inklinují k vytváření nové identity, budou mít dle našeho názoru vyšší schopnost imaginace, a tudíž budou rádi trávit čas hraním online her, kde je hráči často přiřazena určitá role, kterou má naplnit, a to navíc v nereálném svět</w:t>
      </w:r>
      <w:r w:rsidR="005E1CCC" w:rsidRPr="003915FC">
        <w:rPr>
          <w:color w:val="000000"/>
        </w:rPr>
        <w:t>ě</w:t>
      </w:r>
      <w:r w:rsidR="005C52C7" w:rsidRPr="003915FC">
        <w:rPr>
          <w:color w:val="000000"/>
        </w:rPr>
        <w:t xml:space="preserve">. </w:t>
      </w:r>
    </w:p>
    <w:p w14:paraId="5673228D" w14:textId="77777777" w:rsidR="004C4A42" w:rsidRPr="003915FC" w:rsidRDefault="004C4A42" w:rsidP="004C4A42">
      <w:pPr>
        <w:jc w:val="both"/>
        <w:rPr>
          <w:color w:val="000000"/>
        </w:rPr>
      </w:pPr>
      <w:r>
        <w:t>Dále jsme do modelu zahrnuly i proměnnou „online aktivity povoleny kdykoli“, u níž předpokládáme, že rodičovské svolení k neomezenému užívání internetu bude dítěti umožňovat častější hraní online her.</w:t>
      </w:r>
    </w:p>
    <w:p w14:paraId="1A015151" w14:textId="77777777" w:rsidR="004C4A42" w:rsidRDefault="004C4A42" w:rsidP="004C4A42">
      <w:pPr>
        <w:jc w:val="both"/>
      </w:pPr>
      <w:r>
        <w:t>U proměnné „celkový počet online aktivit“, která udává, jak moc se sledovaný jedinec věnuje činnostem na internetu, předpokládáme, že hraní počítačových online her bude zaznamenáno spíše u jedinců s vyšším počtem online aktivit. Popisné statistiky těchto 3 spojitých proměnných zobrazuje Tabulka 1.</w:t>
      </w:r>
      <w:r w:rsidRPr="004C4A42">
        <w:t xml:space="preserve"> </w:t>
      </w:r>
    </w:p>
    <w:p w14:paraId="3F995EF3" w14:textId="77777777" w:rsidR="004C4A42" w:rsidRPr="003612CC" w:rsidRDefault="004C4A42" w:rsidP="004C4A42">
      <w:pPr>
        <w:jc w:val="both"/>
        <w:rPr>
          <w:color w:val="CC0066"/>
        </w:rPr>
      </w:pPr>
      <w:r>
        <w:t xml:space="preserve">Proměnnou </w:t>
      </w:r>
      <w:r w:rsidR="005E1CCC">
        <w:t>„</w:t>
      </w:r>
      <w:r>
        <w:t>stahování hudby a filmu</w:t>
      </w:r>
      <w:r w:rsidR="005E1CCC">
        <w:t>“</w:t>
      </w:r>
      <w:r>
        <w:t xml:space="preserve">, která udává, jestli si dítě v posledním měsíci z internetu stáhlo hudební nebo filmový materiál, jsme mezi prediktory zařadily, jelikož předpokládáme, že vyšší frekvence stahování by opět mohla ukazovat na častější </w:t>
      </w:r>
      <w:r w:rsidR="005E1CCC">
        <w:t xml:space="preserve">hraní </w:t>
      </w:r>
      <w:r>
        <w:t xml:space="preserve">online her. </w:t>
      </w:r>
    </w:p>
    <w:p w14:paraId="79DC77E6" w14:textId="77777777" w:rsidR="004C4A42" w:rsidRDefault="004C4A42" w:rsidP="004C4A42">
      <w:pPr>
        <w:jc w:val="both"/>
      </w:pPr>
      <w:r>
        <w:t xml:space="preserve">Stejně tomu je i u proměnné </w:t>
      </w:r>
      <w:r w:rsidR="005E1CCC">
        <w:t>„</w:t>
      </w:r>
      <w:r>
        <w:t>trávení času ve virtuálním světě</w:t>
      </w:r>
      <w:r w:rsidR="005E1CCC">
        <w:t>“</w:t>
      </w:r>
      <w:r>
        <w:t>, která podává informaci o tom, zda se jedinec v posledním měsíci této aktivitě věnoval.</w:t>
      </w:r>
      <w:r w:rsidRPr="004C4A42">
        <w:t xml:space="preserve"> </w:t>
      </w:r>
    </w:p>
    <w:p w14:paraId="19F0BAC7" w14:textId="77777777" w:rsidR="004C4A42" w:rsidRPr="004C4A42" w:rsidRDefault="004C4A42" w:rsidP="004C4A42">
      <w:pPr>
        <w:jc w:val="both"/>
        <w:rPr>
          <w:color w:val="FF0000"/>
        </w:rPr>
      </w:pPr>
      <w:r w:rsidRPr="00ED1CD2">
        <w:t xml:space="preserve">To, zda dítě v posledním roce navštívilo chatovací místnost, by také mohlo </w:t>
      </w:r>
      <w:r>
        <w:t>být dobrým prediktorem hraní her na internetu.</w:t>
      </w:r>
      <w:r>
        <w:rPr>
          <w:color w:val="FF0000"/>
        </w:rPr>
        <w:t xml:space="preserve"> </w:t>
      </w:r>
      <w:r>
        <w:t xml:space="preserve">Četnosti těchto 3 kategorických proměnných zobrazuje Tabulka 2 a Graf 1. </w:t>
      </w:r>
    </w:p>
    <w:p w14:paraId="433A2076" w14:textId="77777777" w:rsidR="004C4A42" w:rsidRDefault="004C4A42" w:rsidP="005C52C7">
      <w:pPr>
        <w:spacing w:after="0"/>
        <w:jc w:val="both"/>
      </w:pPr>
    </w:p>
    <w:p w14:paraId="27FC233D" w14:textId="77777777" w:rsidR="004C4A42" w:rsidRDefault="004C4A42" w:rsidP="005C52C7">
      <w:pPr>
        <w:spacing w:after="0"/>
        <w:jc w:val="both"/>
      </w:pPr>
    </w:p>
    <w:p w14:paraId="0EE0A2DF" w14:textId="77777777" w:rsidR="004C4A42" w:rsidRDefault="004C4A42" w:rsidP="005C52C7">
      <w:pPr>
        <w:spacing w:after="0"/>
        <w:jc w:val="both"/>
      </w:pPr>
    </w:p>
    <w:p w14:paraId="5AD4F1F8" w14:textId="77777777" w:rsidR="004C4A42" w:rsidRDefault="004C4A42" w:rsidP="005C52C7">
      <w:pPr>
        <w:spacing w:after="0"/>
        <w:jc w:val="both"/>
      </w:pPr>
    </w:p>
    <w:p w14:paraId="36539056" w14:textId="77777777" w:rsidR="004C4A42" w:rsidRDefault="004C4A42" w:rsidP="005C52C7">
      <w:pPr>
        <w:spacing w:after="0"/>
        <w:jc w:val="both"/>
      </w:pPr>
    </w:p>
    <w:p w14:paraId="3ED4F388" w14:textId="77777777" w:rsidR="004C4A42" w:rsidRDefault="004C4A42" w:rsidP="005C52C7">
      <w:pPr>
        <w:spacing w:after="0"/>
        <w:jc w:val="both"/>
      </w:pPr>
    </w:p>
    <w:p w14:paraId="0A8F7C68" w14:textId="77777777" w:rsidR="00752990" w:rsidRPr="003915FC" w:rsidRDefault="00752990" w:rsidP="005C52C7">
      <w:pPr>
        <w:spacing w:after="0"/>
        <w:jc w:val="both"/>
        <w:rPr>
          <w:color w:val="808080"/>
        </w:rPr>
      </w:pPr>
      <w:r w:rsidRPr="003915FC">
        <w:rPr>
          <w:color w:val="808080"/>
        </w:rPr>
        <w:lastRenderedPageBreak/>
        <w:t>Tabulka 1</w:t>
      </w:r>
    </w:p>
    <w:p w14:paraId="3DA446A5" w14:textId="77777777" w:rsidR="007C53DF" w:rsidRPr="003612CC" w:rsidRDefault="00B74B41" w:rsidP="000341E8">
      <w:pPr>
        <w:jc w:val="both"/>
        <w:rPr>
          <w:color w:val="CC0066"/>
        </w:rPr>
      </w:pPr>
      <w:r w:rsidRPr="003915FC">
        <w:rPr>
          <w:i/>
          <w:color w:val="808080"/>
        </w:rPr>
        <w:t xml:space="preserve">Popisné statistiky spojitých proměnných </w:t>
      </w:r>
      <w:r w:rsidR="004C4A42" w:rsidRPr="003915FC">
        <w:rPr>
          <w:i/>
          <w:color w:val="808080"/>
        </w:rPr>
        <w:t xml:space="preserve">Online aktivity povoleny kdykoli, </w:t>
      </w:r>
      <w:proofErr w:type="spellStart"/>
      <w:r w:rsidR="004C4A42" w:rsidRPr="003915FC">
        <w:rPr>
          <w:i/>
          <w:color w:val="808080"/>
        </w:rPr>
        <w:t>Different</w:t>
      </w:r>
      <w:proofErr w:type="spellEnd"/>
      <w:r w:rsidR="004C4A42" w:rsidRPr="003915FC">
        <w:rPr>
          <w:i/>
          <w:color w:val="808080"/>
        </w:rPr>
        <w:t xml:space="preserve"> online persona a Celkový počet online aktivit</w:t>
      </w:r>
    </w:p>
    <w:tbl>
      <w:tblPr>
        <w:tblW w:w="8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1009"/>
        <w:gridCol w:w="1008"/>
        <w:gridCol w:w="841"/>
        <w:gridCol w:w="1406"/>
      </w:tblGrid>
      <w:tr w:rsidR="001F6952" w:rsidRPr="003915FC" w14:paraId="46E70776" w14:textId="77777777" w:rsidTr="003915FC">
        <w:trPr>
          <w:trHeight w:val="454"/>
          <w:jc w:val="center"/>
        </w:trPr>
        <w:tc>
          <w:tcPr>
            <w:tcW w:w="386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2370FDD" w14:textId="77777777" w:rsidR="001F6952" w:rsidRPr="003915FC" w:rsidRDefault="001F6952" w:rsidP="003915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Cs w:val="24"/>
              </w:rPr>
            </w:pPr>
            <w:r w:rsidRPr="003915FC">
              <w:rPr>
                <w:rFonts w:cs="Calibri"/>
                <w:szCs w:val="24"/>
              </w:rPr>
              <w:t>Proměnná</w:t>
            </w:r>
          </w:p>
        </w:tc>
        <w:tc>
          <w:tcPr>
            <w:tcW w:w="10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688F03" w14:textId="77777777" w:rsidR="001F6952" w:rsidRPr="003915FC" w:rsidRDefault="001F6952" w:rsidP="00391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3915FC">
              <w:rPr>
                <w:rFonts w:cs="Calibri"/>
                <w:szCs w:val="24"/>
              </w:rPr>
              <w:t>M</w:t>
            </w:r>
          </w:p>
        </w:tc>
        <w:tc>
          <w:tcPr>
            <w:tcW w:w="10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7435E5A" w14:textId="77777777" w:rsidR="001F6952" w:rsidRPr="003915FC" w:rsidRDefault="001F6952" w:rsidP="00391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3915FC">
              <w:rPr>
                <w:rFonts w:cs="Calibri"/>
                <w:szCs w:val="24"/>
              </w:rPr>
              <w:t>SD</w:t>
            </w:r>
          </w:p>
        </w:tc>
        <w:tc>
          <w:tcPr>
            <w:tcW w:w="8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E876AB3" w14:textId="77777777" w:rsidR="001F6952" w:rsidRPr="003915FC" w:rsidRDefault="001F6952" w:rsidP="00391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3915FC">
              <w:rPr>
                <w:rFonts w:cs="Calibri"/>
                <w:szCs w:val="24"/>
              </w:rPr>
              <w:t>Min</w:t>
            </w:r>
          </w:p>
        </w:tc>
        <w:tc>
          <w:tcPr>
            <w:tcW w:w="140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C154439" w14:textId="77777777" w:rsidR="001F6952" w:rsidRPr="003915FC" w:rsidRDefault="001F6952" w:rsidP="00391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3915FC">
              <w:rPr>
                <w:rFonts w:cs="Calibri"/>
                <w:szCs w:val="24"/>
              </w:rPr>
              <w:t>Max</w:t>
            </w:r>
          </w:p>
        </w:tc>
      </w:tr>
      <w:tr w:rsidR="001F6952" w:rsidRPr="003915FC" w14:paraId="0E970AB4" w14:textId="77777777" w:rsidTr="003915FC">
        <w:trPr>
          <w:trHeight w:val="454"/>
          <w:jc w:val="center"/>
        </w:trPr>
        <w:tc>
          <w:tcPr>
            <w:tcW w:w="38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8162205" w14:textId="77777777" w:rsidR="001F6952" w:rsidRPr="003915FC" w:rsidRDefault="001F6952" w:rsidP="003915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Cs w:val="24"/>
              </w:rPr>
            </w:pPr>
            <w:r w:rsidRPr="003915FC">
              <w:rPr>
                <w:rFonts w:cs="Calibri"/>
                <w:szCs w:val="24"/>
              </w:rPr>
              <w:t>Online aktivity povoleny kdykoli</w:t>
            </w:r>
          </w:p>
        </w:tc>
        <w:tc>
          <w:tcPr>
            <w:tcW w:w="10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423DFB9" w14:textId="77777777" w:rsidR="001F6952" w:rsidRPr="003915FC" w:rsidRDefault="001F6952" w:rsidP="003915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cs="Calibri"/>
                <w:szCs w:val="24"/>
              </w:rPr>
            </w:pPr>
            <w:r w:rsidRPr="003915FC">
              <w:rPr>
                <w:rFonts w:cs="Calibri"/>
                <w:szCs w:val="24"/>
              </w:rPr>
              <w:t>3,36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F4AA81B" w14:textId="77777777" w:rsidR="001F6952" w:rsidRPr="003915FC" w:rsidRDefault="001F6952" w:rsidP="003915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cs="Calibri"/>
                <w:szCs w:val="24"/>
              </w:rPr>
            </w:pPr>
            <w:r w:rsidRPr="003915FC">
              <w:rPr>
                <w:rFonts w:cs="Calibri"/>
                <w:szCs w:val="24"/>
              </w:rPr>
              <w:t>3,31</w:t>
            </w:r>
          </w:p>
        </w:tc>
        <w:tc>
          <w:tcPr>
            <w:tcW w:w="8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E1FDCDE" w14:textId="77777777" w:rsidR="001F6952" w:rsidRPr="003915FC" w:rsidRDefault="001F6952" w:rsidP="003915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cs="Calibri"/>
                <w:szCs w:val="24"/>
              </w:rPr>
            </w:pPr>
            <w:r w:rsidRPr="003915FC">
              <w:rPr>
                <w:rFonts w:cs="Calibri"/>
                <w:szCs w:val="24"/>
              </w:rPr>
              <w:t>-2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768E7F1" w14:textId="77777777" w:rsidR="001F6952" w:rsidRPr="003915FC" w:rsidRDefault="001F6952" w:rsidP="003915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cs="Calibri"/>
                <w:szCs w:val="24"/>
              </w:rPr>
            </w:pPr>
            <w:r w:rsidRPr="003915FC">
              <w:rPr>
                <w:rFonts w:cs="Calibri"/>
                <w:szCs w:val="24"/>
              </w:rPr>
              <w:t>12</w:t>
            </w:r>
          </w:p>
        </w:tc>
      </w:tr>
      <w:tr w:rsidR="001F6952" w:rsidRPr="003915FC" w14:paraId="70767A03" w14:textId="77777777" w:rsidTr="003915FC">
        <w:trPr>
          <w:trHeight w:val="454"/>
          <w:jc w:val="center"/>
        </w:trPr>
        <w:tc>
          <w:tcPr>
            <w:tcW w:w="38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382627F" w14:textId="77777777" w:rsidR="001F6952" w:rsidRPr="003915FC" w:rsidRDefault="001F6952" w:rsidP="003915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Cs w:val="24"/>
              </w:rPr>
            </w:pPr>
            <w:proofErr w:type="spellStart"/>
            <w:r w:rsidRPr="003915FC">
              <w:rPr>
                <w:rFonts w:cs="Calibri"/>
                <w:szCs w:val="24"/>
              </w:rPr>
              <w:t>Different</w:t>
            </w:r>
            <w:proofErr w:type="spellEnd"/>
            <w:r w:rsidRPr="003915FC">
              <w:rPr>
                <w:rFonts w:cs="Calibri"/>
                <w:szCs w:val="24"/>
              </w:rPr>
              <w:t xml:space="preserve"> online persona</w:t>
            </w:r>
          </w:p>
        </w:tc>
        <w:tc>
          <w:tcPr>
            <w:tcW w:w="10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C098A70" w14:textId="77777777" w:rsidR="001F6952" w:rsidRPr="003915FC" w:rsidRDefault="001F6952" w:rsidP="003915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cs="Calibri"/>
                <w:szCs w:val="24"/>
              </w:rPr>
            </w:pPr>
            <w:r w:rsidRPr="003915FC">
              <w:rPr>
                <w:rFonts w:cs="Calibri"/>
                <w:szCs w:val="24"/>
              </w:rPr>
              <w:t>1,59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510BE89" w14:textId="77777777" w:rsidR="001F6952" w:rsidRPr="003915FC" w:rsidRDefault="001F6952" w:rsidP="003915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cs="Calibri"/>
                <w:szCs w:val="24"/>
              </w:rPr>
            </w:pPr>
            <w:r w:rsidRPr="003915FC">
              <w:rPr>
                <w:rFonts w:cs="Calibri"/>
                <w:szCs w:val="24"/>
              </w:rPr>
              <w:t>1,56</w:t>
            </w:r>
          </w:p>
        </w:tc>
        <w:tc>
          <w:tcPr>
            <w:tcW w:w="8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E6A4B10" w14:textId="77777777" w:rsidR="001F6952" w:rsidRPr="003915FC" w:rsidRDefault="001F6952" w:rsidP="003915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cs="Calibri"/>
                <w:szCs w:val="24"/>
              </w:rPr>
            </w:pPr>
            <w:r w:rsidRPr="003915FC">
              <w:rPr>
                <w:rFonts w:cs="Calibri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ECE6E9F" w14:textId="77777777" w:rsidR="001F6952" w:rsidRPr="003915FC" w:rsidRDefault="001F6952" w:rsidP="003915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cs="Calibri"/>
                <w:szCs w:val="24"/>
              </w:rPr>
            </w:pPr>
            <w:r w:rsidRPr="003915FC">
              <w:rPr>
                <w:rFonts w:cs="Calibri"/>
                <w:szCs w:val="24"/>
              </w:rPr>
              <w:t>6</w:t>
            </w:r>
          </w:p>
        </w:tc>
      </w:tr>
      <w:tr w:rsidR="001F6952" w:rsidRPr="003915FC" w14:paraId="73FC63ED" w14:textId="77777777" w:rsidTr="003915FC">
        <w:trPr>
          <w:trHeight w:val="454"/>
          <w:jc w:val="center"/>
        </w:trPr>
        <w:tc>
          <w:tcPr>
            <w:tcW w:w="386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C33C466" w14:textId="77777777" w:rsidR="001F6952" w:rsidRPr="003915FC" w:rsidRDefault="001F6952" w:rsidP="003915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Calibri"/>
                <w:szCs w:val="24"/>
              </w:rPr>
            </w:pPr>
            <w:r w:rsidRPr="003915FC">
              <w:rPr>
                <w:rFonts w:cs="Calibri"/>
                <w:szCs w:val="24"/>
              </w:rPr>
              <w:t>Celkový počet online aktivit</w:t>
            </w:r>
          </w:p>
        </w:tc>
        <w:tc>
          <w:tcPr>
            <w:tcW w:w="10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02218C" w14:textId="77777777" w:rsidR="001F6952" w:rsidRPr="003915FC" w:rsidRDefault="001F6952" w:rsidP="003915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cs="Calibri"/>
                <w:szCs w:val="24"/>
              </w:rPr>
            </w:pPr>
            <w:r w:rsidRPr="003915FC">
              <w:rPr>
                <w:rFonts w:cs="Calibri"/>
                <w:szCs w:val="24"/>
              </w:rPr>
              <w:t>8,13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1CDBCF2" w14:textId="77777777" w:rsidR="001F6952" w:rsidRPr="003915FC" w:rsidRDefault="001F6952" w:rsidP="003915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cs="Calibri"/>
                <w:szCs w:val="24"/>
              </w:rPr>
            </w:pPr>
            <w:r w:rsidRPr="003915FC">
              <w:rPr>
                <w:rFonts w:cs="Calibri"/>
                <w:szCs w:val="24"/>
              </w:rPr>
              <w:t>3,47</w:t>
            </w:r>
          </w:p>
        </w:tc>
        <w:tc>
          <w:tcPr>
            <w:tcW w:w="84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CD65585" w14:textId="77777777" w:rsidR="001F6952" w:rsidRPr="003915FC" w:rsidRDefault="001F6952" w:rsidP="003915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cs="Calibri"/>
                <w:szCs w:val="24"/>
              </w:rPr>
            </w:pPr>
            <w:r w:rsidRPr="003915FC">
              <w:rPr>
                <w:rFonts w:cs="Calibri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9BC5B3" w14:textId="77777777" w:rsidR="001F6952" w:rsidRPr="003915FC" w:rsidRDefault="001F6952" w:rsidP="003915F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cs="Calibri"/>
                <w:szCs w:val="24"/>
              </w:rPr>
            </w:pPr>
            <w:r w:rsidRPr="003915FC">
              <w:rPr>
                <w:rFonts w:cs="Calibri"/>
                <w:szCs w:val="24"/>
              </w:rPr>
              <w:t>17</w:t>
            </w:r>
          </w:p>
        </w:tc>
      </w:tr>
    </w:tbl>
    <w:p w14:paraId="34927DB3" w14:textId="77777777" w:rsidR="00752990" w:rsidRDefault="00752990" w:rsidP="000341E8">
      <w:pPr>
        <w:jc w:val="both"/>
      </w:pPr>
    </w:p>
    <w:p w14:paraId="72ED0694" w14:textId="77777777" w:rsidR="00A02475" w:rsidRPr="003915FC" w:rsidRDefault="005C52C7" w:rsidP="004C4A42">
      <w:pPr>
        <w:spacing w:after="0"/>
        <w:jc w:val="both"/>
        <w:rPr>
          <w:color w:val="808080"/>
        </w:rPr>
      </w:pPr>
      <w:r w:rsidRPr="003915FC">
        <w:rPr>
          <w:color w:val="808080"/>
        </w:rPr>
        <w:t>Tabulka 2</w:t>
      </w:r>
    </w:p>
    <w:p w14:paraId="0A2251B5" w14:textId="77777777" w:rsidR="00A02475" w:rsidRPr="003915FC" w:rsidRDefault="00A02475" w:rsidP="00A02475">
      <w:pPr>
        <w:rPr>
          <w:i/>
          <w:color w:val="808080"/>
        </w:rPr>
      </w:pPr>
      <w:r w:rsidRPr="003915FC">
        <w:rPr>
          <w:i/>
          <w:color w:val="808080"/>
        </w:rPr>
        <w:t xml:space="preserve">Tabulka četností pro </w:t>
      </w:r>
      <w:r w:rsidR="004C4A42" w:rsidRPr="003915FC">
        <w:rPr>
          <w:i/>
          <w:color w:val="808080"/>
        </w:rPr>
        <w:t xml:space="preserve">kategorické </w:t>
      </w:r>
      <w:r w:rsidRPr="003915FC">
        <w:rPr>
          <w:i/>
          <w:color w:val="808080"/>
        </w:rPr>
        <w:t>proměnné Stahování hudby a filmu, Trávení času ve virtuálním světě a Návštěva chatovací místnosti</w:t>
      </w:r>
    </w:p>
    <w:tbl>
      <w:tblPr>
        <w:tblW w:w="8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7"/>
        <w:gridCol w:w="845"/>
        <w:gridCol w:w="375"/>
        <w:gridCol w:w="1219"/>
        <w:gridCol w:w="1219"/>
        <w:gridCol w:w="1220"/>
      </w:tblGrid>
      <w:tr w:rsidR="001F6952" w:rsidRPr="003915FC" w14:paraId="66D0AF72" w14:textId="77777777" w:rsidTr="003915FC">
        <w:trPr>
          <w:trHeight w:val="420"/>
          <w:jc w:val="center"/>
        </w:trPr>
        <w:tc>
          <w:tcPr>
            <w:tcW w:w="4032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1A53CA2" w14:textId="77777777" w:rsidR="001F6952" w:rsidRPr="003915FC" w:rsidRDefault="001F6952" w:rsidP="003915FC">
            <w:pPr>
              <w:spacing w:after="0" w:line="240" w:lineRule="auto"/>
            </w:pPr>
            <w:r w:rsidRPr="003915FC">
              <w:t>Proměnná</w:t>
            </w:r>
          </w:p>
        </w:tc>
        <w:tc>
          <w:tcPr>
            <w:tcW w:w="4033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B13EF51" w14:textId="77777777" w:rsidR="001F6952" w:rsidRPr="003915FC" w:rsidRDefault="001F6952" w:rsidP="003915FC">
            <w:pPr>
              <w:spacing w:after="0" w:line="240" w:lineRule="auto"/>
              <w:jc w:val="center"/>
            </w:pPr>
            <w:r w:rsidRPr="003915FC">
              <w:t>Procenta</w:t>
            </w:r>
          </w:p>
        </w:tc>
      </w:tr>
      <w:tr w:rsidR="001F6952" w:rsidRPr="003915FC" w14:paraId="308E2B70" w14:textId="77777777" w:rsidTr="003915FC">
        <w:trPr>
          <w:trHeight w:val="4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EE78B04" w14:textId="77777777" w:rsidR="001F6952" w:rsidRPr="003915FC" w:rsidRDefault="001F6952" w:rsidP="003915FC">
            <w:pPr>
              <w:spacing w:after="0" w:line="240" w:lineRule="auto"/>
              <w:jc w:val="center"/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3CD1A27" w14:textId="77777777" w:rsidR="001F6952" w:rsidRPr="003915FC" w:rsidRDefault="001F6952" w:rsidP="003915FC">
            <w:pPr>
              <w:spacing w:after="0" w:line="240" w:lineRule="auto"/>
              <w:jc w:val="center"/>
            </w:pPr>
          </w:p>
        </w:tc>
        <w:tc>
          <w:tcPr>
            <w:tcW w:w="121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713431" w14:textId="77777777" w:rsidR="001F6952" w:rsidRPr="003915FC" w:rsidRDefault="001F6952" w:rsidP="003915FC">
            <w:pPr>
              <w:spacing w:after="0" w:line="240" w:lineRule="auto"/>
              <w:jc w:val="center"/>
            </w:pPr>
            <w:r w:rsidRPr="003915FC">
              <w:t>Ano</w:t>
            </w:r>
          </w:p>
        </w:tc>
        <w:tc>
          <w:tcPr>
            <w:tcW w:w="121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7EC1677" w14:textId="77777777" w:rsidR="001F6952" w:rsidRPr="003915FC" w:rsidRDefault="001F6952" w:rsidP="003915FC">
            <w:pPr>
              <w:spacing w:after="0" w:line="240" w:lineRule="auto"/>
              <w:jc w:val="center"/>
            </w:pPr>
          </w:p>
        </w:tc>
        <w:tc>
          <w:tcPr>
            <w:tcW w:w="12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726A4D4" w14:textId="77777777" w:rsidR="001F6952" w:rsidRPr="003915FC" w:rsidRDefault="001F6952" w:rsidP="003915FC">
            <w:pPr>
              <w:spacing w:after="0" w:line="240" w:lineRule="auto"/>
              <w:jc w:val="center"/>
            </w:pPr>
            <w:r w:rsidRPr="003915FC">
              <w:t>Ne</w:t>
            </w:r>
          </w:p>
        </w:tc>
      </w:tr>
      <w:tr w:rsidR="001F6952" w:rsidRPr="003915FC" w14:paraId="49C8A057" w14:textId="77777777" w:rsidTr="003915FC">
        <w:trPr>
          <w:trHeight w:val="420"/>
          <w:jc w:val="center"/>
        </w:trPr>
        <w:tc>
          <w:tcPr>
            <w:tcW w:w="31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9253A08" w14:textId="77777777" w:rsidR="001F6952" w:rsidRPr="003915FC" w:rsidRDefault="001F6952" w:rsidP="003915FC">
            <w:pPr>
              <w:spacing w:after="0" w:line="240" w:lineRule="auto"/>
            </w:pPr>
            <w:r w:rsidRPr="003915FC">
              <w:t>Stahování hudby a filmu</w:t>
            </w:r>
          </w:p>
        </w:tc>
        <w:tc>
          <w:tcPr>
            <w:tcW w:w="12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3036A7" w14:textId="77777777" w:rsidR="001F6952" w:rsidRPr="003915FC" w:rsidRDefault="001F6952" w:rsidP="003915FC">
            <w:pPr>
              <w:spacing w:after="0" w:line="240" w:lineRule="auto"/>
              <w:jc w:val="center"/>
            </w:pPr>
          </w:p>
        </w:tc>
        <w:tc>
          <w:tcPr>
            <w:tcW w:w="121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AD4DCE" w14:textId="77777777" w:rsidR="001F6952" w:rsidRPr="003915FC" w:rsidRDefault="001F6952" w:rsidP="003915FC">
            <w:pPr>
              <w:spacing w:after="0" w:line="240" w:lineRule="auto"/>
              <w:jc w:val="center"/>
            </w:pPr>
            <w:r w:rsidRPr="003915FC">
              <w:t>53,30</w:t>
            </w:r>
          </w:p>
        </w:tc>
        <w:tc>
          <w:tcPr>
            <w:tcW w:w="1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B8EA6F6" w14:textId="77777777" w:rsidR="001F6952" w:rsidRPr="003915FC" w:rsidRDefault="001F6952" w:rsidP="003915FC">
            <w:pPr>
              <w:spacing w:after="0" w:line="240" w:lineRule="auto"/>
              <w:jc w:val="center"/>
            </w:pPr>
          </w:p>
        </w:tc>
        <w:tc>
          <w:tcPr>
            <w:tcW w:w="122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AA7FE03" w14:textId="77777777" w:rsidR="001F6952" w:rsidRPr="003915FC" w:rsidRDefault="001F6952" w:rsidP="003915FC">
            <w:pPr>
              <w:spacing w:after="0" w:line="240" w:lineRule="auto"/>
              <w:jc w:val="center"/>
            </w:pPr>
            <w:r w:rsidRPr="003915FC">
              <w:t>46,</w:t>
            </w:r>
            <w:commentRangeStart w:id="4"/>
            <w:r w:rsidRPr="003915FC">
              <w:t>70</w:t>
            </w:r>
            <w:commentRangeEnd w:id="4"/>
            <w:r w:rsidR="0078319A">
              <w:rPr>
                <w:rStyle w:val="Odkaznakoment"/>
              </w:rPr>
              <w:commentReference w:id="4"/>
            </w:r>
          </w:p>
        </w:tc>
      </w:tr>
      <w:tr w:rsidR="001F6952" w:rsidRPr="003915FC" w14:paraId="64F31D22" w14:textId="77777777" w:rsidTr="003915FC">
        <w:trPr>
          <w:trHeight w:val="420"/>
          <w:jc w:val="center"/>
        </w:trPr>
        <w:tc>
          <w:tcPr>
            <w:tcW w:w="31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BC0EFC" w14:textId="77777777" w:rsidR="001F6952" w:rsidRPr="003915FC" w:rsidRDefault="001F6952" w:rsidP="003915FC">
            <w:pPr>
              <w:spacing w:after="0" w:line="240" w:lineRule="auto"/>
            </w:pPr>
            <w:r w:rsidRPr="003915FC">
              <w:t>Trávení času ve virtuálním světě</w:t>
            </w:r>
          </w:p>
        </w:tc>
        <w:tc>
          <w:tcPr>
            <w:tcW w:w="12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7AA2C" w14:textId="77777777" w:rsidR="001F6952" w:rsidRPr="003915FC" w:rsidRDefault="001F6952" w:rsidP="003915FC">
            <w:pPr>
              <w:spacing w:after="0" w:line="240" w:lineRule="auto"/>
              <w:jc w:val="center"/>
            </w:pPr>
          </w:p>
        </w:tc>
        <w:tc>
          <w:tcPr>
            <w:tcW w:w="1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A681E8C" w14:textId="77777777" w:rsidR="001F6952" w:rsidRPr="003915FC" w:rsidRDefault="001F6952" w:rsidP="003915FC">
            <w:pPr>
              <w:spacing w:after="0" w:line="240" w:lineRule="auto"/>
              <w:jc w:val="center"/>
            </w:pPr>
            <w:r w:rsidRPr="003915FC">
              <w:t>17,9</w:t>
            </w:r>
          </w:p>
        </w:tc>
        <w:tc>
          <w:tcPr>
            <w:tcW w:w="1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7689C0D" w14:textId="77777777" w:rsidR="001F6952" w:rsidRPr="003915FC" w:rsidRDefault="001F6952" w:rsidP="003915FC">
            <w:pPr>
              <w:spacing w:after="0" w:line="240" w:lineRule="auto"/>
              <w:jc w:val="center"/>
            </w:pPr>
          </w:p>
        </w:tc>
        <w:tc>
          <w:tcPr>
            <w:tcW w:w="1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3378B97" w14:textId="77777777" w:rsidR="001F6952" w:rsidRPr="003915FC" w:rsidRDefault="001F6952" w:rsidP="003915FC">
            <w:pPr>
              <w:spacing w:after="0" w:line="240" w:lineRule="auto"/>
              <w:jc w:val="center"/>
            </w:pPr>
            <w:r w:rsidRPr="003915FC">
              <w:t>79,80</w:t>
            </w:r>
          </w:p>
        </w:tc>
      </w:tr>
      <w:tr w:rsidR="001F6952" w:rsidRPr="003915FC" w14:paraId="6EF6DFE6" w14:textId="77777777" w:rsidTr="003915FC">
        <w:trPr>
          <w:trHeight w:val="420"/>
          <w:jc w:val="center"/>
        </w:trPr>
        <w:tc>
          <w:tcPr>
            <w:tcW w:w="318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DB1962A" w14:textId="77777777" w:rsidR="001F6952" w:rsidRPr="003915FC" w:rsidRDefault="001F6952" w:rsidP="003915FC">
            <w:pPr>
              <w:spacing w:after="0" w:line="240" w:lineRule="auto"/>
            </w:pPr>
            <w:r w:rsidRPr="003915FC">
              <w:t>Návštěva chatovací místnosti</w:t>
            </w:r>
          </w:p>
        </w:tc>
        <w:tc>
          <w:tcPr>
            <w:tcW w:w="122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0DAA9EB" w14:textId="77777777" w:rsidR="001F6952" w:rsidRPr="003915FC" w:rsidRDefault="001F6952" w:rsidP="003915FC">
            <w:pPr>
              <w:spacing w:after="0" w:line="240" w:lineRule="auto"/>
              <w:jc w:val="center"/>
            </w:pPr>
          </w:p>
        </w:tc>
        <w:tc>
          <w:tcPr>
            <w:tcW w:w="12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B55BFC" w14:textId="77777777" w:rsidR="001F6952" w:rsidRPr="003915FC" w:rsidRDefault="001F6952" w:rsidP="003915FC">
            <w:pPr>
              <w:spacing w:after="0" w:line="240" w:lineRule="auto"/>
              <w:jc w:val="center"/>
            </w:pPr>
            <w:r w:rsidRPr="003915FC">
              <w:t>35,10</w:t>
            </w:r>
          </w:p>
        </w:tc>
        <w:tc>
          <w:tcPr>
            <w:tcW w:w="12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96B48E" w14:textId="77777777" w:rsidR="001F6952" w:rsidRPr="003915FC" w:rsidRDefault="001F6952" w:rsidP="003915FC">
            <w:pPr>
              <w:spacing w:after="0" w:line="240" w:lineRule="auto"/>
              <w:jc w:val="center"/>
            </w:pPr>
          </w:p>
        </w:tc>
        <w:tc>
          <w:tcPr>
            <w:tcW w:w="12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F998100" w14:textId="77777777" w:rsidR="001F6952" w:rsidRPr="003915FC" w:rsidRDefault="001F6952" w:rsidP="003915FC">
            <w:pPr>
              <w:spacing w:after="0" w:line="240" w:lineRule="auto"/>
              <w:jc w:val="center"/>
            </w:pPr>
            <w:r w:rsidRPr="003915FC">
              <w:t>64,90</w:t>
            </w:r>
          </w:p>
        </w:tc>
      </w:tr>
    </w:tbl>
    <w:p w14:paraId="0FF860FC" w14:textId="77777777" w:rsidR="00232162" w:rsidRDefault="00232162" w:rsidP="00232162">
      <w:pPr>
        <w:rPr>
          <w:b/>
        </w:rPr>
      </w:pPr>
    </w:p>
    <w:p w14:paraId="46AD62B6" w14:textId="77777777" w:rsidR="00F4138F" w:rsidRPr="003915FC" w:rsidRDefault="00F4138F" w:rsidP="004C4A42">
      <w:pPr>
        <w:spacing w:after="0"/>
        <w:rPr>
          <w:color w:val="808080"/>
        </w:rPr>
      </w:pPr>
      <w:r w:rsidRPr="003915FC">
        <w:rPr>
          <w:color w:val="808080"/>
        </w:rPr>
        <w:t>Graf 1</w:t>
      </w:r>
    </w:p>
    <w:p w14:paraId="04B0BEAE" w14:textId="77777777" w:rsidR="00F4138F" w:rsidRPr="003915FC" w:rsidRDefault="00F4138F" w:rsidP="00232162">
      <w:pPr>
        <w:rPr>
          <w:i/>
          <w:color w:val="808080"/>
        </w:rPr>
      </w:pPr>
      <w:r w:rsidRPr="003915FC">
        <w:rPr>
          <w:i/>
          <w:color w:val="808080"/>
        </w:rPr>
        <w:t xml:space="preserve">Graf četností </w:t>
      </w:r>
      <w:r w:rsidR="009A3A92" w:rsidRPr="003915FC">
        <w:rPr>
          <w:i/>
          <w:color w:val="808080"/>
        </w:rPr>
        <w:t xml:space="preserve">(%) </w:t>
      </w:r>
      <w:r w:rsidRPr="003915FC">
        <w:rPr>
          <w:i/>
          <w:color w:val="808080"/>
        </w:rPr>
        <w:t xml:space="preserve">pro proměnné Stahování hudby a filmu, Trávení času ve virtuálním světě a </w:t>
      </w:r>
      <w:commentRangeStart w:id="5"/>
      <w:r w:rsidRPr="003915FC">
        <w:rPr>
          <w:i/>
          <w:color w:val="808080"/>
        </w:rPr>
        <w:t>Návštěva</w:t>
      </w:r>
      <w:commentRangeEnd w:id="5"/>
      <w:r w:rsidR="00A83979">
        <w:rPr>
          <w:rStyle w:val="Odkaznakoment"/>
        </w:rPr>
        <w:commentReference w:id="5"/>
      </w:r>
      <w:r w:rsidRPr="003915FC">
        <w:rPr>
          <w:i/>
          <w:color w:val="808080"/>
        </w:rPr>
        <w:t xml:space="preserve"> chatovací místnosti</w:t>
      </w:r>
    </w:p>
    <w:p w14:paraId="0B8FD588" w14:textId="77777777" w:rsidR="00F4138F" w:rsidRDefault="004806AF" w:rsidP="005C52C7">
      <w:pPr>
        <w:jc w:val="center"/>
        <w:rPr>
          <w:b/>
        </w:rPr>
      </w:pPr>
      <w:r w:rsidRPr="003915FC">
        <w:rPr>
          <w:b/>
          <w:noProof/>
          <w:lang w:eastAsia="cs-CZ"/>
        </w:rPr>
        <w:drawing>
          <wp:inline distT="0" distB="0" distL="0" distR="0" wp14:anchorId="3D764902" wp14:editId="7DDBA1E5">
            <wp:extent cx="4572000" cy="2743200"/>
            <wp:effectExtent l="0" t="0" r="0" b="0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7FF7E5A" w14:textId="77777777" w:rsidR="00A13000" w:rsidRPr="00A13000" w:rsidRDefault="00A13000" w:rsidP="000341E8">
      <w:pPr>
        <w:jc w:val="both"/>
        <w:rPr>
          <w:b/>
        </w:rPr>
      </w:pPr>
      <w:r w:rsidRPr="00A13000">
        <w:rPr>
          <w:b/>
        </w:rPr>
        <w:t>Logistická regrese</w:t>
      </w:r>
    </w:p>
    <w:p w14:paraId="0F9F022A" w14:textId="77777777" w:rsidR="000341E8" w:rsidRDefault="00834344" w:rsidP="000341E8">
      <w:pPr>
        <w:jc w:val="both"/>
      </w:pPr>
      <w:proofErr w:type="spellStart"/>
      <w:r w:rsidRPr="00894147">
        <w:rPr>
          <w:highlight w:val="yellow"/>
        </w:rPr>
        <w:t>Wald</w:t>
      </w:r>
      <w:proofErr w:type="spellEnd"/>
      <w:r w:rsidRPr="00894147">
        <w:rPr>
          <w:highlight w:val="yellow"/>
        </w:rPr>
        <w:t xml:space="preserve"> test na α=0,05 </w:t>
      </w:r>
      <w:r w:rsidR="008D664E" w:rsidRPr="00894147">
        <w:rPr>
          <w:highlight w:val="yellow"/>
        </w:rPr>
        <w:t>byl pr</w:t>
      </w:r>
      <w:r w:rsidR="008D664E">
        <w:t xml:space="preserve">o všechny nezávislé proměnné signifikantní, můžeme tedy říci, že každý z prediktorů přispívá ke zlepšení modelu. </w:t>
      </w:r>
      <w:r w:rsidR="00857DE3">
        <w:t xml:space="preserve">Nejvýznamnějším prediktorem modelu je proměnná </w:t>
      </w:r>
      <w:r w:rsidR="00857DE3" w:rsidRPr="0040530B">
        <w:rPr>
          <w:i/>
        </w:rPr>
        <w:t>stahování hudby a filmů</w:t>
      </w:r>
      <w:r w:rsidR="00857DE3">
        <w:t xml:space="preserve">, která sama o sobě </w:t>
      </w:r>
      <w:r w:rsidR="00857DE3" w:rsidRPr="00894147">
        <w:rPr>
          <w:highlight w:val="yellow"/>
        </w:rPr>
        <w:t>napomáhá ke správnému klasifikování 9,</w:t>
      </w:r>
      <w:commentRangeStart w:id="6"/>
      <w:r w:rsidR="00857DE3" w:rsidRPr="00894147">
        <w:rPr>
          <w:highlight w:val="yellow"/>
        </w:rPr>
        <w:t>1</w:t>
      </w:r>
      <w:commentRangeEnd w:id="6"/>
      <w:r w:rsidR="0078319A">
        <w:rPr>
          <w:rStyle w:val="Odkaznakoment"/>
        </w:rPr>
        <w:commentReference w:id="6"/>
      </w:r>
      <w:r w:rsidR="00857DE3" w:rsidRPr="00894147">
        <w:rPr>
          <w:highlight w:val="yellow"/>
        </w:rPr>
        <w:t xml:space="preserve"> %.</w:t>
      </w:r>
      <w:r w:rsidR="00857DE3">
        <w:t xml:space="preserve"> Dalšími </w:t>
      </w:r>
      <w:r w:rsidR="00857DE3">
        <w:lastRenderedPageBreak/>
        <w:t xml:space="preserve">dobrými prediktory jsou proměnné </w:t>
      </w:r>
      <w:r w:rsidR="00857DE3" w:rsidRPr="0040530B">
        <w:rPr>
          <w:i/>
        </w:rPr>
        <w:t>pohlaví</w:t>
      </w:r>
      <w:r w:rsidR="00857DE3">
        <w:t xml:space="preserve"> a </w:t>
      </w:r>
      <w:r w:rsidR="00857DE3" w:rsidRPr="0040530B">
        <w:rPr>
          <w:i/>
        </w:rPr>
        <w:t>celkový počet aktivit online</w:t>
      </w:r>
      <w:r w:rsidR="00857DE3">
        <w:t xml:space="preserve">. Každá z nich zlepšuje kvalitu modelu o cca 5 %. Nejméně přispívají zlepšení modelu proměnné </w:t>
      </w:r>
      <w:proofErr w:type="spellStart"/>
      <w:r w:rsidR="00857DE3" w:rsidRPr="0040530B">
        <w:rPr>
          <w:i/>
        </w:rPr>
        <w:t>Different</w:t>
      </w:r>
      <w:proofErr w:type="spellEnd"/>
      <w:r w:rsidR="00857DE3" w:rsidRPr="0040530B">
        <w:rPr>
          <w:i/>
        </w:rPr>
        <w:t xml:space="preserve"> Online Persona</w:t>
      </w:r>
      <w:r w:rsidR="00857DE3">
        <w:t xml:space="preserve"> a </w:t>
      </w:r>
      <w:r w:rsidR="0040530B" w:rsidRPr="0040530B">
        <w:rPr>
          <w:i/>
        </w:rPr>
        <w:t>návštěva chatovací místnosti</w:t>
      </w:r>
      <w:r w:rsidR="0040530B">
        <w:t xml:space="preserve">. </w:t>
      </w:r>
    </w:p>
    <w:p w14:paraId="6222B2F6" w14:textId="77777777" w:rsidR="00857DE3" w:rsidRPr="00C0174C" w:rsidRDefault="009D22EA" w:rsidP="000341E8">
      <w:pPr>
        <w:jc w:val="both"/>
        <w:rPr>
          <w:i/>
          <w:color w:val="FF0000"/>
        </w:rPr>
      </w:pPr>
      <w:r>
        <w:t xml:space="preserve">Test </w:t>
      </w:r>
      <w:r w:rsidRPr="003915FC">
        <w:rPr>
          <w:color w:val="000000"/>
        </w:rPr>
        <w:t xml:space="preserve">celkového modelu </w:t>
      </w:r>
      <w:r w:rsidR="00053317" w:rsidRPr="003915FC">
        <w:rPr>
          <w:color w:val="000000"/>
        </w:rPr>
        <w:t>o</w:t>
      </w:r>
      <w:r w:rsidRPr="003915FC">
        <w:rPr>
          <w:color w:val="000000"/>
        </w:rPr>
        <w:t>proti modelu pouze s průs</w:t>
      </w:r>
      <w:r w:rsidR="00F2411F" w:rsidRPr="003915FC">
        <w:rPr>
          <w:color w:val="000000"/>
        </w:rPr>
        <w:t>ečíkem byl signifikantní, χ2= (6</w:t>
      </w:r>
      <w:r w:rsidRPr="003915FC">
        <w:rPr>
          <w:color w:val="000000"/>
        </w:rPr>
        <w:t>, 16003) = 5534,06</w:t>
      </w:r>
      <w:r w:rsidR="003D7D52" w:rsidRPr="003915FC">
        <w:rPr>
          <w:color w:val="000000"/>
        </w:rPr>
        <w:t xml:space="preserve">, p&lt;0,05. </w:t>
      </w:r>
      <w:proofErr w:type="spellStart"/>
      <w:r w:rsidR="00834344" w:rsidRPr="003915FC">
        <w:rPr>
          <w:color w:val="000000"/>
        </w:rPr>
        <w:t>Nagelkerke</w:t>
      </w:r>
      <w:proofErr w:type="spellEnd"/>
      <w:r w:rsidR="00834344" w:rsidRPr="003915FC">
        <w:rPr>
          <w:color w:val="000000"/>
        </w:rPr>
        <w:t xml:space="preserve"> R</w:t>
      </w:r>
      <w:r w:rsidR="00834344" w:rsidRPr="003915FC">
        <w:rPr>
          <w:color w:val="000000"/>
          <w:vertAlign w:val="superscript"/>
        </w:rPr>
        <w:t>2</w:t>
      </w:r>
      <w:r w:rsidR="00834344" w:rsidRPr="003915FC">
        <w:rPr>
          <w:color w:val="000000"/>
        </w:rPr>
        <w:t xml:space="preserve">=0,39, </w:t>
      </w:r>
      <w:proofErr w:type="spellStart"/>
      <w:r w:rsidR="00834344" w:rsidRPr="003915FC">
        <w:rPr>
          <w:color w:val="000000"/>
        </w:rPr>
        <w:t>Cox</w:t>
      </w:r>
      <w:proofErr w:type="spellEnd"/>
      <w:r w:rsidR="00834344" w:rsidRPr="003915FC">
        <w:rPr>
          <w:color w:val="000000"/>
        </w:rPr>
        <w:t xml:space="preserve"> &amp; </w:t>
      </w:r>
      <w:proofErr w:type="spellStart"/>
      <w:r w:rsidR="00834344" w:rsidRPr="003915FC">
        <w:rPr>
          <w:color w:val="000000"/>
        </w:rPr>
        <w:t>Snell</w:t>
      </w:r>
      <w:proofErr w:type="spellEnd"/>
      <w:r w:rsidR="00834344" w:rsidRPr="003915FC">
        <w:rPr>
          <w:color w:val="000000"/>
        </w:rPr>
        <w:t xml:space="preserve"> R</w:t>
      </w:r>
      <w:r w:rsidR="00834344" w:rsidRPr="003915FC">
        <w:rPr>
          <w:color w:val="000000"/>
          <w:vertAlign w:val="superscript"/>
        </w:rPr>
        <w:t>2</w:t>
      </w:r>
      <w:r w:rsidR="00834344" w:rsidRPr="003915FC">
        <w:rPr>
          <w:color w:val="000000"/>
        </w:rPr>
        <w:t xml:space="preserve">=0,29. </w:t>
      </w:r>
      <w:r w:rsidR="003D7D52" w:rsidRPr="003915FC">
        <w:rPr>
          <w:color w:val="000000"/>
        </w:rPr>
        <w:t xml:space="preserve">Model správně klasifikoval 75,6 % těch, kteří v minulém měsíci nehráli na internetu online hry a 72,5 % jedinců, kteří v minulém měsíci hráli na internetu online hry, tj. celkově byl model úspěšný v 74,1 %. </w:t>
      </w:r>
      <w:r w:rsidR="00CE7A67" w:rsidRPr="003915FC">
        <w:rPr>
          <w:color w:val="000000"/>
        </w:rPr>
        <w:t>Blok 0, který klasifikoval jedince před zahrnutím vybraných prediktorů do analýzy, tedy pouze pomocí kons</w:t>
      </w:r>
      <w:r w:rsidR="00857DE3" w:rsidRPr="003915FC">
        <w:rPr>
          <w:color w:val="000000"/>
        </w:rPr>
        <w:t>tanty, klasifikoval správně 50,3</w:t>
      </w:r>
      <w:r w:rsidR="00CE7A67" w:rsidRPr="003915FC">
        <w:rPr>
          <w:color w:val="000000"/>
        </w:rPr>
        <w:t xml:space="preserve"> % jedinců. Celkově náš</w:t>
      </w:r>
      <w:r w:rsidR="00CE7A67">
        <w:t xml:space="preserve"> model logistické regrese </w:t>
      </w:r>
      <w:r w:rsidR="00857DE3">
        <w:t xml:space="preserve">tedy </w:t>
      </w:r>
      <w:r w:rsidR="00CE7A67">
        <w:t>z</w:t>
      </w:r>
      <w:r w:rsidR="00857DE3">
        <w:t>výšil efektivitu predikce o 23,8</w:t>
      </w:r>
      <w:r w:rsidR="00CE7A67">
        <w:t xml:space="preserve"> %. </w:t>
      </w:r>
    </w:p>
    <w:p w14:paraId="68387FED" w14:textId="77777777" w:rsidR="003D7D52" w:rsidRDefault="000341E8" w:rsidP="000341E8">
      <w:pPr>
        <w:jc w:val="both"/>
      </w:pPr>
      <w:r>
        <w:t xml:space="preserve">Výsledky logistické regrese pro jednotlivé prediktory shrnuje </w:t>
      </w:r>
      <w:r w:rsidR="000D6C6F">
        <w:t>T</w:t>
      </w:r>
      <w:r>
        <w:t>abulka</w:t>
      </w:r>
      <w:r w:rsidR="004C4A42">
        <w:t xml:space="preserve"> 3</w:t>
      </w:r>
      <w:r>
        <w:t xml:space="preserve">. </w:t>
      </w:r>
    </w:p>
    <w:p w14:paraId="5A908AE7" w14:textId="77777777" w:rsidR="00885E69" w:rsidRPr="003915FC" w:rsidRDefault="00885E69" w:rsidP="00885E69">
      <w:pPr>
        <w:pStyle w:val="Titulek"/>
        <w:keepNext/>
        <w:spacing w:after="0"/>
        <w:rPr>
          <w:i w:val="0"/>
          <w:color w:val="808080"/>
          <w:sz w:val="22"/>
        </w:rPr>
      </w:pPr>
      <w:r w:rsidRPr="003915FC">
        <w:rPr>
          <w:i w:val="0"/>
          <w:color w:val="808080"/>
          <w:sz w:val="22"/>
        </w:rPr>
        <w:t xml:space="preserve">Tabulka </w:t>
      </w:r>
      <w:r w:rsidR="004C4A42" w:rsidRPr="003915FC">
        <w:rPr>
          <w:i w:val="0"/>
          <w:color w:val="808080"/>
          <w:sz w:val="22"/>
        </w:rPr>
        <w:t>3</w:t>
      </w:r>
    </w:p>
    <w:p w14:paraId="762D97A8" w14:textId="77777777" w:rsidR="00885E69" w:rsidRPr="003915FC" w:rsidRDefault="00885E69" w:rsidP="00885E69">
      <w:pPr>
        <w:pStyle w:val="Titulek"/>
        <w:keepNext/>
        <w:rPr>
          <w:color w:val="808080"/>
          <w:sz w:val="22"/>
        </w:rPr>
      </w:pPr>
      <w:r w:rsidRPr="003915FC">
        <w:rPr>
          <w:color w:val="808080"/>
          <w:sz w:val="22"/>
        </w:rPr>
        <w:t>Logistická regrese predikující hraní online her přes internet ze zvolených nezávislých proměnných</w:t>
      </w: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1474"/>
        <w:gridCol w:w="1237"/>
        <w:gridCol w:w="1391"/>
        <w:gridCol w:w="1392"/>
      </w:tblGrid>
      <w:tr w:rsidR="005C52C7" w:rsidRPr="003915FC" w14:paraId="53FB569A" w14:textId="77777777" w:rsidTr="003915FC">
        <w:trPr>
          <w:trHeight w:val="227"/>
          <w:jc w:val="center"/>
        </w:trPr>
        <w:tc>
          <w:tcPr>
            <w:tcW w:w="33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1FFCC5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Prediktor</w:t>
            </w: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30EB68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commentRangeStart w:id="7"/>
            <w:r w:rsidRPr="003915FC">
              <w:t>β</w:t>
            </w:r>
            <w:commentRangeEnd w:id="7"/>
            <w:r w:rsidR="0078319A">
              <w:rPr>
                <w:rStyle w:val="Odkaznakoment"/>
              </w:rPr>
              <w:commentReference w:id="7"/>
            </w:r>
          </w:p>
        </w:tc>
        <w:tc>
          <w:tcPr>
            <w:tcW w:w="12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C3C674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SE</w:t>
            </w:r>
          </w:p>
        </w:tc>
        <w:tc>
          <w:tcPr>
            <w:tcW w:w="13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A12987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Exp(B)</w:t>
            </w:r>
          </w:p>
        </w:tc>
        <w:tc>
          <w:tcPr>
            <w:tcW w:w="1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314A2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proofErr w:type="spellStart"/>
            <w:r w:rsidRPr="003915FC">
              <w:t>Wald</w:t>
            </w:r>
            <w:proofErr w:type="spellEnd"/>
            <w:r w:rsidRPr="003915FC">
              <w:t xml:space="preserve"> test</w:t>
            </w:r>
          </w:p>
        </w:tc>
      </w:tr>
      <w:tr w:rsidR="005C52C7" w:rsidRPr="003915FC" w14:paraId="0B7A4A97" w14:textId="77777777" w:rsidTr="003915FC">
        <w:trPr>
          <w:trHeight w:val="227"/>
          <w:jc w:val="center"/>
        </w:trPr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364449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Konstanta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E68566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-2,78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989503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0,08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9970C6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commentRangeStart w:id="8"/>
            <w:r w:rsidRPr="003915FC">
              <w:t>0,06</w:t>
            </w:r>
            <w:commentRangeEnd w:id="8"/>
            <w:r w:rsidR="0078319A">
              <w:rPr>
                <w:rStyle w:val="Odkaznakoment"/>
              </w:rPr>
              <w:commentReference w:id="8"/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885037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1132,87</w:t>
            </w:r>
          </w:p>
        </w:tc>
      </w:tr>
      <w:tr w:rsidR="005C52C7" w:rsidRPr="003915FC" w14:paraId="2C1E23A0" w14:textId="77777777" w:rsidTr="003915FC">
        <w:trPr>
          <w:trHeight w:val="227"/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C38F4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Pohlaví dítěte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1C806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-1,39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70DD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0,04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D8A3A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0,25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CB8E6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1267,04</w:t>
            </w:r>
          </w:p>
        </w:tc>
      </w:tr>
      <w:tr w:rsidR="005C52C7" w:rsidRPr="003915FC" w14:paraId="62E8C11B" w14:textId="77777777" w:rsidTr="003915FC">
        <w:trPr>
          <w:trHeight w:val="227"/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98353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Stahování hudby a filmu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FC497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-0,36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5D2F6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0,04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AF5D2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0,70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53395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65,58</w:t>
            </w:r>
          </w:p>
        </w:tc>
      </w:tr>
      <w:tr w:rsidR="005C52C7" w:rsidRPr="003915FC" w14:paraId="4C1F8123" w14:textId="77777777" w:rsidTr="003915FC">
        <w:trPr>
          <w:trHeight w:val="227"/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50AD1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Trávení času ve virtuálním svět</w:t>
            </w:r>
            <w:r w:rsidR="000D6AB5" w:rsidRPr="003915FC">
              <w:t>ě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CBDE1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0,56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D454A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0,06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81F19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commentRangeStart w:id="9"/>
            <w:r w:rsidRPr="003915FC">
              <w:t>1,75</w:t>
            </w:r>
            <w:commentRangeEnd w:id="9"/>
            <w:r w:rsidR="00223953">
              <w:rPr>
                <w:rStyle w:val="Odkaznakoment"/>
              </w:rPr>
              <w:commentReference w:id="9"/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DB543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99,</w:t>
            </w:r>
            <w:commentRangeStart w:id="10"/>
            <w:r w:rsidRPr="003915FC">
              <w:t>40</w:t>
            </w:r>
            <w:commentRangeEnd w:id="10"/>
            <w:r w:rsidR="00223953">
              <w:rPr>
                <w:rStyle w:val="Odkaznakoment"/>
              </w:rPr>
              <w:commentReference w:id="10"/>
            </w:r>
          </w:p>
        </w:tc>
      </w:tr>
      <w:tr w:rsidR="005C52C7" w:rsidRPr="003915FC" w14:paraId="08087F73" w14:textId="77777777" w:rsidTr="003915FC">
        <w:trPr>
          <w:trHeight w:val="227"/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A0596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Online aktivity povoleny kdykoli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53E94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0,06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EB3F8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0,01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B02C5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1,06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5F297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66,60</w:t>
            </w:r>
          </w:p>
        </w:tc>
      </w:tr>
      <w:tr w:rsidR="005C52C7" w:rsidRPr="003915FC" w14:paraId="12DF74D9" w14:textId="77777777" w:rsidTr="003915FC">
        <w:trPr>
          <w:trHeight w:val="227"/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E042B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 xml:space="preserve">Index </w:t>
            </w:r>
            <w:proofErr w:type="spellStart"/>
            <w:r w:rsidRPr="003915FC">
              <w:t>Different</w:t>
            </w:r>
            <w:proofErr w:type="spellEnd"/>
            <w:r w:rsidRPr="003915FC">
              <w:t xml:space="preserve"> Online Persona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2B199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0,04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41B76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0,01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E78BF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1,04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B3365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8,31</w:t>
            </w:r>
          </w:p>
        </w:tc>
      </w:tr>
      <w:tr w:rsidR="005C52C7" w:rsidRPr="003915FC" w14:paraId="184A4242" w14:textId="77777777" w:rsidTr="003915FC">
        <w:trPr>
          <w:trHeight w:val="227"/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2636E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Návštěva chatovací místnosti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D2817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-0,21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7A584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0,04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58468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0,82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5603F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21,31</w:t>
            </w:r>
          </w:p>
        </w:tc>
      </w:tr>
      <w:tr w:rsidR="005C52C7" w:rsidRPr="003915FC" w14:paraId="668AB1B4" w14:textId="77777777" w:rsidTr="003915FC">
        <w:trPr>
          <w:trHeight w:val="227"/>
          <w:jc w:val="center"/>
        </w:trPr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C8AB5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Celkový počet online aktivit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22C73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0,41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02ACB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0,01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E680B2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1,50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E3E30F" w14:textId="77777777" w:rsidR="005C52C7" w:rsidRPr="003915FC" w:rsidRDefault="005C52C7" w:rsidP="003915FC">
            <w:pPr>
              <w:spacing w:before="120" w:after="120" w:line="240" w:lineRule="auto"/>
              <w:jc w:val="both"/>
            </w:pPr>
            <w:r w:rsidRPr="003915FC">
              <w:t>1797,34</w:t>
            </w:r>
          </w:p>
        </w:tc>
      </w:tr>
    </w:tbl>
    <w:p w14:paraId="71D03EDF" w14:textId="77777777" w:rsidR="0044652E" w:rsidRDefault="0044652E" w:rsidP="000341E8">
      <w:pPr>
        <w:jc w:val="both"/>
        <w:rPr>
          <w:color w:val="FF0000"/>
        </w:rPr>
      </w:pPr>
    </w:p>
    <w:p w14:paraId="5D08F436" w14:textId="77777777" w:rsidR="0044652E" w:rsidRPr="0044652E" w:rsidRDefault="0044652E" w:rsidP="000341E8">
      <w:pPr>
        <w:jc w:val="both"/>
      </w:pPr>
      <w:r w:rsidRPr="0044652E">
        <w:t xml:space="preserve">Níže naleznete rovnici logistické regrese s hodnotami prototypického jedince, tj. jedince, který vykazuje průměrné hodnoty spojitých proměnných a častější hodnoty dichotomických proměnných. Takovým prototypickým jedincem je tedy chlapec, který stahuje filmy a hudbu, netráví čas ve virtuálním světě, nenavštěvuje chatovací místnost, dosahuje skóru 3,36 na škále zobrazující, do jaké míry mu jsou povoleny online aktivity kdykoli, dále skóru 1,60 na škále </w:t>
      </w:r>
      <w:proofErr w:type="spellStart"/>
      <w:r w:rsidRPr="0044652E">
        <w:t>Different</w:t>
      </w:r>
      <w:proofErr w:type="spellEnd"/>
      <w:r w:rsidRPr="0044652E">
        <w:t xml:space="preserve"> online persony a oddává se celkem cca 8 online aktivitám. </w:t>
      </w:r>
      <w:commentRangeStart w:id="11"/>
      <w:r w:rsidRPr="0044652E">
        <w:t>Pravděpodobnost</w:t>
      </w:r>
      <w:commentRangeEnd w:id="11"/>
      <w:r w:rsidR="0078319A">
        <w:rPr>
          <w:rStyle w:val="Odkaznakoment"/>
        </w:rPr>
        <w:commentReference w:id="11"/>
      </w:r>
      <w:r w:rsidRPr="0044652E">
        <w:t>, že takový jedinec hrál v minulém měsíci online hry je 0,61.</w:t>
      </w:r>
    </w:p>
    <w:p w14:paraId="3B8D978E" w14:textId="77777777" w:rsidR="0090382B" w:rsidRPr="004806AF" w:rsidRDefault="00223953" w:rsidP="000B15DE">
      <w:pPr>
        <w:spacing w:before="100" w:beforeAutospacing="1" w:after="100" w:afterAutospacing="1" w:line="270" w:lineRule="atLeast"/>
        <w:rPr>
          <w:rFonts w:eastAsia="Times New Roman" w:cs="Arial"/>
          <w:i/>
          <w:color w:val="000000"/>
          <w:sz w:val="24"/>
          <w:szCs w:val="24"/>
          <w:lang w:eastAsia="cs-CZ"/>
        </w:rPr>
      </w:pPr>
      <m:oMathPara>
        <m:oMath>
          <m:func>
            <m:funcPr>
              <m:ctrl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cs-C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cs-CZ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eastAsia="cs-CZ"/>
                    </w:rPr>
                    <m:t>O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eastAsia="cs-CZ"/>
                    </w:rPr>
                    <m:t>y=hraní online her</m:t>
                  </m:r>
                </m:sub>
              </m:sSub>
            </m:e>
          </m:func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cs-CZ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lang w:eastAsia="cs-CZ"/>
            </w:rPr>
            <m:t xml:space="preserve"> -2,78-1,39 </m:t>
          </m:r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cs-CZ"/>
            </w:rPr>
            <m:t xml:space="preserve">pohlaví-0,36 stahování filmů a hudby+0,56 čas ve virtuálním světě+0,06 online aktivity kdykoli+0,04 Online different persona-0,21 chatovací místnost+0,41 celkem online aktivit </m:t>
          </m:r>
        </m:oMath>
      </m:oMathPara>
    </w:p>
    <w:p w14:paraId="41FBF78E" w14:textId="77777777" w:rsidR="00233CFF" w:rsidRPr="004806AF" w:rsidRDefault="00223953" w:rsidP="002E2313">
      <w:pPr>
        <w:spacing w:before="100" w:beforeAutospacing="1" w:after="100" w:afterAutospacing="1" w:line="270" w:lineRule="atLeast"/>
        <w:ind w:left="600"/>
        <w:rPr>
          <w:rFonts w:eastAsia="Times New Roman" w:cs="Arial"/>
          <w:i/>
          <w:color w:val="000000"/>
          <w:sz w:val="24"/>
          <w:szCs w:val="24"/>
          <w:lang w:eastAsia="cs-CZ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cs-C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cs-CZ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4"/>
                      <w:szCs w:val="24"/>
                      <w:lang w:eastAsia="cs-CZ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eastAsia="cs-CZ"/>
                    </w:rPr>
                    <m:t>O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eastAsia="cs-CZ"/>
                    </w:rPr>
                    <m:t>y=hraníonline her</m:t>
                  </m:r>
                </m:sub>
              </m:sSub>
            </m:e>
          </m:func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cs-CZ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lang w:eastAsia="cs-CZ"/>
            </w:rPr>
            <m:t xml:space="preserve"> -2,78-1,39*0</m:t>
          </m:r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cs-CZ"/>
            </w:rPr>
            <m:t xml:space="preserve">-0,36*1+0,56* 0+0,06*3,36+0,04*1,60-0,21*0+0,41*8,13=0,46 </m:t>
          </m:r>
        </m:oMath>
      </m:oMathPara>
    </w:p>
    <w:p w14:paraId="7A54DBAC" w14:textId="77777777" w:rsidR="000B15DE" w:rsidRPr="004806AF" w:rsidRDefault="00223953" w:rsidP="00D967BE">
      <w:pPr>
        <w:spacing w:before="100" w:beforeAutospacing="1" w:after="100" w:afterAutospacing="1" w:line="270" w:lineRule="atLeast"/>
        <w:ind w:left="600"/>
        <w:rPr>
          <w:rFonts w:eastAsia="Times New Roman" w:cs="Arial"/>
          <w:i/>
          <w:color w:val="000000"/>
          <w:sz w:val="24"/>
          <w:szCs w:val="24"/>
          <w:lang w:eastAsia="cs-C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"/>
                  <w:i/>
                  <w:color w:val="000000"/>
                  <w:sz w:val="24"/>
                  <w:szCs w:val="24"/>
                  <w:lang w:eastAsia="cs-CZ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cs-CZ"/>
                </w:rPr>
                <m:t>P</m:t>
              </m:r>
            </m:e>
            <m:sub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cs-CZ"/>
                </w:rPr>
                <m:t>Y=hraníonlineher</m:t>
              </m:r>
            </m:sub>
          </m:sSub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cs-CZ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cs-C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cs-CZ"/>
                </w:rPr>
                <m:t>1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cs-CZ"/>
                </w:rPr>
                <m:t>1+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4"/>
                      <w:szCs w:val="24"/>
                      <w:lang w:eastAsia="cs-CZ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</w:rPr>
                    <m:t>-0,46</m:t>
                  </m:r>
                </m:sup>
              </m:sSup>
            </m:den>
          </m:f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cs-CZ"/>
            </w:rPr>
            <m:t>=0,61</m:t>
          </m:r>
        </m:oMath>
      </m:oMathPara>
    </w:p>
    <w:p w14:paraId="247C5491" w14:textId="77777777" w:rsidR="0044652E" w:rsidRDefault="0044652E" w:rsidP="0044652E">
      <w:pPr>
        <w:jc w:val="both"/>
        <w:rPr>
          <w:b/>
        </w:rPr>
      </w:pPr>
      <w:r>
        <w:rPr>
          <w:b/>
        </w:rPr>
        <w:t>Interpretace výsledků</w:t>
      </w:r>
    </w:p>
    <w:p w14:paraId="50C4F48C" w14:textId="77777777" w:rsidR="0044652E" w:rsidRDefault="0044652E" w:rsidP="0044652E">
      <w:pPr>
        <w:jc w:val="both"/>
        <w:rPr>
          <w:color w:val="FF0000"/>
        </w:rPr>
      </w:pPr>
      <w:r w:rsidRPr="000C3C09">
        <w:t xml:space="preserve">U proměnných Trávení času ve virtuálním světě, Online aktivity povoleny kdykoli, Index </w:t>
      </w:r>
      <w:proofErr w:type="spellStart"/>
      <w:r w:rsidRPr="000C3C09">
        <w:t>Different</w:t>
      </w:r>
      <w:proofErr w:type="spellEnd"/>
      <w:r w:rsidRPr="000C3C09">
        <w:t xml:space="preserve"> Online Persona a Celkový počet online aktivit se</w:t>
      </w:r>
      <w:r>
        <w:t xml:space="preserve"> tedy</w:t>
      </w:r>
      <w:r w:rsidRPr="000C3C09">
        <w:t xml:space="preserve"> naplnily naše předpoklady, že vyšší skóry (případně kladné odpovědi) v těchto proměnných zvyšují pravděpodobnost, že jedinec hraje online hry, avšak toto zvýšení nebylo tak výrazné, jak jsme očekávaly. </w:t>
      </w:r>
    </w:p>
    <w:p w14:paraId="2EE68FB4" w14:textId="77777777" w:rsidR="0044652E" w:rsidRDefault="0044652E" w:rsidP="0044652E">
      <w:pPr>
        <w:jc w:val="both"/>
      </w:pPr>
      <w:r w:rsidRPr="0042087D">
        <w:t xml:space="preserve">Našim předpokladům odpovídá také zjištění, že je-li jedinec mužského pohlaví, je šance, že hraje online hry </w:t>
      </w:r>
      <w:commentRangeStart w:id="12"/>
      <w:r w:rsidRPr="0042087D">
        <w:t xml:space="preserve">čtyřnásobná </w:t>
      </w:r>
      <w:commentRangeEnd w:id="12"/>
      <w:r w:rsidR="00223953">
        <w:rPr>
          <w:rStyle w:val="Odkaznakoment"/>
        </w:rPr>
        <w:commentReference w:id="12"/>
      </w:r>
      <w:r w:rsidRPr="0042087D">
        <w:t xml:space="preserve">oproti případu, kdy se jedná o dívku. </w:t>
      </w:r>
    </w:p>
    <w:p w14:paraId="5E23B4FF" w14:textId="77777777" w:rsidR="0044652E" w:rsidRDefault="0044652E" w:rsidP="0044652E">
      <w:pPr>
        <w:jc w:val="both"/>
      </w:pPr>
      <w:r>
        <w:t xml:space="preserve">U následujících dvou proměnných se však naše předpoklady nepotvrdily. V případě, kdy respondent uvedl, že v posledních dvanácti měsících navštívil chatovací místnost, šance na to, že je online hráčem, jsou </w:t>
      </w:r>
      <w:r w:rsidRPr="005E1CCC">
        <w:t>1,22krát</w:t>
      </w:r>
      <w:r>
        <w:t xml:space="preserve"> menší, což je pro nás poměrně překvapivé.</w:t>
      </w:r>
    </w:p>
    <w:p w14:paraId="1AE374DA" w14:textId="77777777" w:rsidR="0044652E" w:rsidRDefault="0044652E" w:rsidP="0044652E">
      <w:pPr>
        <w:jc w:val="both"/>
      </w:pPr>
      <w:r>
        <w:t>Stejně je tomu i u proměnné Stahování hudby a filmu, jejíž kladná hodnota snižuje šance na to, že jedinec hraje hry přes internet,</w:t>
      </w:r>
      <w:r w:rsidR="00C130F3">
        <w:t xml:space="preserve"> </w:t>
      </w:r>
      <w:commentRangeStart w:id="13"/>
      <w:r w:rsidR="00C130F3">
        <w:t>a to</w:t>
      </w:r>
      <w:r>
        <w:t xml:space="preserve"> </w:t>
      </w:r>
      <w:r w:rsidRPr="005E1CCC">
        <w:t>1,43krát.</w:t>
      </w:r>
      <w:commentRangeEnd w:id="13"/>
      <w:r w:rsidR="00894147">
        <w:rPr>
          <w:rStyle w:val="Odkaznakoment"/>
        </w:rPr>
        <w:commentReference w:id="13"/>
      </w:r>
    </w:p>
    <w:p w14:paraId="23069D59" w14:textId="77777777" w:rsidR="00337642" w:rsidRDefault="0044652E" w:rsidP="0044652E">
      <w:pPr>
        <w:jc w:val="both"/>
      </w:pPr>
      <w:r w:rsidRPr="001C22CA">
        <w:t xml:space="preserve">Tuto skutečnost lze vysvětlit například tak, </w:t>
      </w:r>
      <w:r w:rsidR="00337642">
        <w:t xml:space="preserve">že dítě, které navštěvuje chatovací místnosti, může být spíše orientované na sociální komunikaci s jinými osobami. Hraní online her by možná nenaplňovalo dostatečně jeho potřebu sociální interakce, protože při hře je komunikace s ostatními hráči upozaděna, není hlavní náplní hry. V případě stahování hudby a filmů si můžeme překvapivé výsledky vysvětlit tak, že jedinec, který tato multimédia stahuje, pravděpodobně vyhledává takovou náplň volného času, při níž není nutné navazovat kontakt s jiným jedincem. Je také možné, že pro takového jedince je internet pouze prostředkem k získání těchto souborů. </w:t>
      </w:r>
    </w:p>
    <w:p w14:paraId="4FCF241E" w14:textId="77777777" w:rsidR="00500937" w:rsidRDefault="00500937" w:rsidP="0044652E">
      <w:pPr>
        <w:jc w:val="both"/>
      </w:pPr>
      <w:r>
        <w:t xml:space="preserve">Závěrem je třeba kriticky pohlédnout na námi navrhnutý model a zhodnotit jeho kvalitu. Vezmeme-li v úvahu, že jsme do modelu zahrnuly vedle pohlaví pouze proměnné, které přímo souvisí s užíváním internetu (s typem a rozsahem činností, které jedinec na internetu vykonává), můžeme nárůst správně klasifikovaných jedinců o 23,8 % považovat za uspokojivý. Ke správnému klasifikování zbylých 26 % jedinců, které náš model nepokrývá, by pravděpodobně mohly přispět nezávislé proměnné, které by se soustředily na osobnostní rysy jedince, jeho zaměření apod. </w:t>
      </w:r>
    </w:p>
    <w:p w14:paraId="58A962FF" w14:textId="77777777" w:rsidR="0044652E" w:rsidRDefault="0044652E" w:rsidP="0044652E">
      <w:pPr>
        <w:jc w:val="both"/>
      </w:pPr>
    </w:p>
    <w:p w14:paraId="4E9B766F" w14:textId="77777777" w:rsidR="00223953" w:rsidRDefault="00223953" w:rsidP="0044652E">
      <w:pPr>
        <w:jc w:val="both"/>
      </w:pPr>
    </w:p>
    <w:p w14:paraId="3D1B50DF" w14:textId="77777777" w:rsidR="00223953" w:rsidRDefault="00223953" w:rsidP="0044652E">
      <w:pPr>
        <w:jc w:val="both"/>
      </w:pPr>
    </w:p>
    <w:p w14:paraId="5BFA5EF7" w14:textId="185EF615" w:rsidR="00223953" w:rsidRPr="00223953" w:rsidRDefault="00223953" w:rsidP="0044652E">
      <w:pPr>
        <w:jc w:val="both"/>
        <w:rPr>
          <w:i/>
        </w:rPr>
      </w:pPr>
      <w:r>
        <w:rPr>
          <w:i/>
        </w:rPr>
        <w:t>Dobrý první pokus, včetně úvodního zdůvodnění a závěrečné interpretace. Chybí jen vztahy se závislou v deskriptivách a nějaká zmínka o předpokladech.</w:t>
      </w:r>
      <w:bookmarkStart w:id="14" w:name="_GoBack"/>
      <w:bookmarkEnd w:id="14"/>
      <w:r>
        <w:rPr>
          <w:i/>
        </w:rPr>
        <w:t xml:space="preserve"> </w:t>
      </w:r>
    </w:p>
    <w:p w14:paraId="7547B124" w14:textId="77777777" w:rsidR="0044652E" w:rsidRDefault="0044652E" w:rsidP="0044652E">
      <w:pPr>
        <w:jc w:val="both"/>
      </w:pPr>
    </w:p>
    <w:p w14:paraId="5A63B07B" w14:textId="77777777" w:rsidR="000341E8" w:rsidRDefault="000341E8" w:rsidP="000341E8">
      <w:pPr>
        <w:jc w:val="both"/>
      </w:pPr>
    </w:p>
    <w:sectPr w:rsidR="000341E8" w:rsidSect="00D07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0-29T09:33:00Z" w:initials="SJ">
    <w:p w14:paraId="19ABF2E7" w14:textId="4428CF66" w:rsidR="00A83979" w:rsidRDefault="00A83979">
      <w:pPr>
        <w:pStyle w:val="Textkomente"/>
      </w:pPr>
      <w:r>
        <w:rPr>
          <w:rStyle w:val="Odkaznakoment"/>
        </w:rPr>
        <w:annotationRef/>
      </w:r>
      <w:r>
        <w:t>děti matičky Rusi</w:t>
      </w:r>
      <w:r w:rsidR="0078319A">
        <w:t>…</w:t>
      </w:r>
    </w:p>
  </w:comment>
  <w:comment w:id="1" w:author="Standa Ježek" w:date="2013-11-01T16:42:00Z" w:initials="SJ">
    <w:p w14:paraId="2BFBE7F1" w14:textId="357EA685" w:rsidR="0078319A" w:rsidRDefault="0078319A">
      <w:pPr>
        <w:pStyle w:val="Textkomente"/>
      </w:pPr>
      <w:r>
        <w:rPr>
          <w:rStyle w:val="Odkaznakoment"/>
        </w:rPr>
        <w:annotationRef/>
      </w:r>
      <w:r>
        <w:t>Její četnosti bychom taky chtěli znát.</w:t>
      </w:r>
    </w:p>
  </w:comment>
  <w:comment w:id="2" w:author="Standa Ježek" w:date="2013-11-01T16:37:00Z" w:initials="SJ">
    <w:p w14:paraId="6CA956F1" w14:textId="41E7D925" w:rsidR="0078319A" w:rsidRDefault="0078319A">
      <w:pPr>
        <w:pStyle w:val="Textkomente"/>
      </w:pPr>
      <w:r>
        <w:rPr>
          <w:rStyle w:val="Odkaznakoment"/>
        </w:rPr>
        <w:annotationRef/>
      </w:r>
      <w:r>
        <w:t>raději prediktorů</w:t>
      </w:r>
    </w:p>
  </w:comment>
  <w:comment w:id="3" w:author="Standa Ježek" w:date="2013-10-29T09:35:00Z" w:initials="SJ">
    <w:p w14:paraId="74925338" w14:textId="77777777" w:rsidR="00A83979" w:rsidRDefault="00A83979">
      <w:pPr>
        <w:pStyle w:val="Textkomente"/>
      </w:pPr>
      <w:r>
        <w:rPr>
          <w:rStyle w:val="Odkaznakoment"/>
        </w:rPr>
        <w:annotationRef/>
      </w:r>
      <w:r>
        <w:t>Pro velká N jsou asi lepší %.</w:t>
      </w:r>
    </w:p>
  </w:comment>
  <w:comment w:id="4" w:author="Standa Ježek" w:date="2013-11-01T16:38:00Z" w:initials="SJ">
    <w:p w14:paraId="768233E9" w14:textId="2DFAA2E1" w:rsidR="0078319A" w:rsidRDefault="0078319A">
      <w:pPr>
        <w:pStyle w:val="Textkomente"/>
      </w:pPr>
      <w:r>
        <w:rPr>
          <w:rStyle w:val="Odkaznakoment"/>
        </w:rPr>
        <w:annotationRef/>
      </w:r>
      <w:r>
        <w:t>Obvykle stačí jen procenta v textu.</w:t>
      </w:r>
    </w:p>
  </w:comment>
  <w:comment w:id="5" w:author="Standa Ježek" w:date="2013-10-29T09:39:00Z" w:initials="SJ">
    <w:p w14:paraId="2C8F7A3D" w14:textId="77777777" w:rsidR="00A83979" w:rsidRDefault="00A83979">
      <w:pPr>
        <w:pStyle w:val="Textkomente"/>
      </w:pPr>
      <w:r>
        <w:rPr>
          <w:rStyle w:val="Odkaznakoment"/>
        </w:rPr>
        <w:annotationRef/>
      </w:r>
      <w:r>
        <w:t xml:space="preserve">Když ta procenta dávají 100%, jsou lepší </w:t>
      </w:r>
      <w:proofErr w:type="spellStart"/>
      <w:r>
        <w:t>stacked</w:t>
      </w:r>
      <w:proofErr w:type="spellEnd"/>
      <w:r>
        <w:t xml:space="preserve"> sloupce. Pak by tam šlo zobrazit i </w:t>
      </w:r>
      <w:r w:rsidR="00894147">
        <w:t>rozdělení podle závislé.</w:t>
      </w:r>
    </w:p>
  </w:comment>
  <w:comment w:id="6" w:author="Standa Ježek" w:date="2013-11-01T16:40:00Z" w:initials="SJ">
    <w:p w14:paraId="28965957" w14:textId="114C022B" w:rsidR="0078319A" w:rsidRDefault="0078319A">
      <w:pPr>
        <w:pStyle w:val="Textkomente"/>
      </w:pPr>
      <w:r>
        <w:rPr>
          <w:rStyle w:val="Odkaznakoment"/>
        </w:rPr>
        <w:annotationRef/>
      </w:r>
      <w:r>
        <w:t xml:space="preserve">Teď už vín, že jste to po jednotlivých prediktorech krokovaly. Pak je to pořadí vkládání třeba popsat a zdůvodnit. </w:t>
      </w:r>
    </w:p>
  </w:comment>
  <w:comment w:id="7" w:author="Standa Ježek" w:date="2013-11-01T16:43:00Z" w:initials="SJ">
    <w:p w14:paraId="56C71C00" w14:textId="292C334A" w:rsidR="0078319A" w:rsidRDefault="0078319A">
      <w:pPr>
        <w:pStyle w:val="Textkomente"/>
      </w:pPr>
      <w:r>
        <w:rPr>
          <w:rStyle w:val="Odkaznakoment"/>
        </w:rPr>
        <w:annotationRef/>
      </w:r>
      <w:r>
        <w:t>Tohle je nestandardizovaný koeficient – B.</w:t>
      </w:r>
    </w:p>
  </w:comment>
  <w:comment w:id="8" w:author="Standa Ježek" w:date="2013-11-01T16:46:00Z" w:initials="SJ">
    <w:p w14:paraId="0F3F1FB9" w14:textId="2F95189D" w:rsidR="0078319A" w:rsidRDefault="0078319A">
      <w:pPr>
        <w:pStyle w:val="Textkomente"/>
      </w:pPr>
      <w:r>
        <w:rPr>
          <w:rStyle w:val="Odkaznakoment"/>
        </w:rPr>
        <w:annotationRef/>
      </w:r>
      <w:r>
        <w:t>Jaký význam má tohle číslo?</w:t>
      </w:r>
    </w:p>
  </w:comment>
  <w:comment w:id="9" w:author="Standa Ježek" w:date="2013-11-01T16:48:00Z" w:initials="SJ">
    <w:p w14:paraId="454EE95D" w14:textId="0CA2BDB7" w:rsidR="00223953" w:rsidRDefault="00223953">
      <w:pPr>
        <w:pStyle w:val="Textkomente"/>
      </w:pPr>
      <w:r>
        <w:rPr>
          <w:rStyle w:val="Odkaznakoment"/>
        </w:rPr>
        <w:annotationRef/>
      </w:r>
      <w:r>
        <w:t>Oproti interpretaci níže se mi nezdá, že by tohle byl malý efekt – téměř dvojnásobná šance.</w:t>
      </w:r>
    </w:p>
  </w:comment>
  <w:comment w:id="10" w:author="Standa Ježek" w:date="2013-11-01T16:48:00Z" w:initials="SJ">
    <w:p w14:paraId="5EFA0841" w14:textId="3F373DE9" w:rsidR="00223953" w:rsidRDefault="00223953">
      <w:pPr>
        <w:pStyle w:val="Textkomente"/>
      </w:pPr>
      <w:r>
        <w:rPr>
          <w:rStyle w:val="Odkaznakoment"/>
        </w:rPr>
        <w:annotationRef/>
      </w:r>
      <w:r>
        <w:t xml:space="preserve">Když </w:t>
      </w:r>
      <w:proofErr w:type="spellStart"/>
      <w:r>
        <w:t>Wald</w:t>
      </w:r>
      <w:proofErr w:type="spellEnd"/>
      <w:r>
        <w:t>, tak aspoň s </w:t>
      </w:r>
      <w:proofErr w:type="spellStart"/>
      <w:r>
        <w:t>hvězdičkama</w:t>
      </w:r>
      <w:proofErr w:type="spellEnd"/>
      <w:r>
        <w:t xml:space="preserve"> nebo s p.</w:t>
      </w:r>
    </w:p>
  </w:comment>
  <w:comment w:id="11" w:author="Standa Ježek" w:date="2013-11-01T16:44:00Z" w:initials="SJ">
    <w:p w14:paraId="1FB877B9" w14:textId="69B992BC" w:rsidR="0078319A" w:rsidRDefault="0078319A">
      <w:pPr>
        <w:pStyle w:val="Textkomente"/>
      </w:pPr>
      <w:r>
        <w:rPr>
          <w:rStyle w:val="Odkaznakoment"/>
        </w:rPr>
        <w:annotationRef/>
      </w:r>
      <w:r>
        <w:t>Účel počítání těch pravděpodobností jsme si vyjasnili na  semináři..</w:t>
      </w:r>
    </w:p>
  </w:comment>
  <w:comment w:id="12" w:author="Standa Ježek" w:date="2013-11-01T16:50:00Z" w:initials="SJ">
    <w:p w14:paraId="5A54BF5D" w14:textId="6F59443B" w:rsidR="00223953" w:rsidRDefault="00223953">
      <w:pPr>
        <w:pStyle w:val="Textkomente"/>
      </w:pPr>
      <w:r>
        <w:rPr>
          <w:rStyle w:val="Odkaznakoment"/>
        </w:rPr>
        <w:annotationRef/>
      </w:r>
      <w:r>
        <w:t>+!</w:t>
      </w:r>
    </w:p>
  </w:comment>
  <w:comment w:id="13" w:author="Standa Ježek" w:date="2013-10-29T09:49:00Z" w:initials="SJ">
    <w:p w14:paraId="17514969" w14:textId="77777777" w:rsidR="00894147" w:rsidRDefault="00894147">
      <w:pPr>
        <w:pStyle w:val="Textkomente"/>
      </w:pPr>
      <w:r>
        <w:rPr>
          <w:rStyle w:val="Odkaznakoment"/>
        </w:rPr>
        <w:annotationRef/>
      </w:r>
      <w:r>
        <w:t>Bravo, dobře převrátily!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ABF2E7" w15:done="0"/>
  <w15:commentEx w15:paraId="2BFBE7F1" w15:done="0"/>
  <w15:commentEx w15:paraId="6CA956F1" w15:done="0"/>
  <w15:commentEx w15:paraId="74925338" w15:done="0"/>
  <w15:commentEx w15:paraId="768233E9" w15:done="0"/>
  <w15:commentEx w15:paraId="2C8F7A3D" w15:done="0"/>
  <w15:commentEx w15:paraId="28965957" w15:done="0"/>
  <w15:commentEx w15:paraId="56C71C00" w15:done="0"/>
  <w15:commentEx w15:paraId="0F3F1FB9" w15:done="0"/>
  <w15:commentEx w15:paraId="454EE95D" w15:done="0"/>
  <w15:commentEx w15:paraId="5EFA0841" w15:done="0"/>
  <w15:commentEx w15:paraId="1FB877B9" w15:done="0"/>
  <w15:commentEx w15:paraId="5A54BF5D" w15:done="0"/>
  <w15:commentEx w15:paraId="1751496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02B49"/>
    <w:multiLevelType w:val="hybridMultilevel"/>
    <w:tmpl w:val="1D2EB60E"/>
    <w:lvl w:ilvl="0" w:tplc="CF021724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D7DCB"/>
    <w:multiLevelType w:val="multilevel"/>
    <w:tmpl w:val="57D8897C"/>
    <w:lvl w:ilvl="0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</w:abstractNum>
  <w:abstractNum w:abstractNumId="3">
    <w:nsid w:val="6614546D"/>
    <w:multiLevelType w:val="hybridMultilevel"/>
    <w:tmpl w:val="0B5E845E"/>
    <w:lvl w:ilvl="0" w:tplc="ADDC4330">
      <w:start w:val="9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EA"/>
    <w:rsid w:val="000341E8"/>
    <w:rsid w:val="00053317"/>
    <w:rsid w:val="000A0FC0"/>
    <w:rsid w:val="000B15DE"/>
    <w:rsid w:val="000B7F8B"/>
    <w:rsid w:val="000C3C09"/>
    <w:rsid w:val="000D6AB5"/>
    <w:rsid w:val="000D6C6F"/>
    <w:rsid w:val="000E3AE8"/>
    <w:rsid w:val="00124689"/>
    <w:rsid w:val="001541DD"/>
    <w:rsid w:val="001566FA"/>
    <w:rsid w:val="00193770"/>
    <w:rsid w:val="001C22CA"/>
    <w:rsid w:val="001F6952"/>
    <w:rsid w:val="00223953"/>
    <w:rsid w:val="00232162"/>
    <w:rsid w:val="00233CFF"/>
    <w:rsid w:val="002E2313"/>
    <w:rsid w:val="002F1D15"/>
    <w:rsid w:val="003044F8"/>
    <w:rsid w:val="00321C31"/>
    <w:rsid w:val="00337642"/>
    <w:rsid w:val="003612CC"/>
    <w:rsid w:val="003915FC"/>
    <w:rsid w:val="003B417D"/>
    <w:rsid w:val="003D7D52"/>
    <w:rsid w:val="0040530B"/>
    <w:rsid w:val="00405A54"/>
    <w:rsid w:val="0042087D"/>
    <w:rsid w:val="0044652E"/>
    <w:rsid w:val="00465646"/>
    <w:rsid w:val="004806AF"/>
    <w:rsid w:val="004B5A68"/>
    <w:rsid w:val="004C4A42"/>
    <w:rsid w:val="004E2E74"/>
    <w:rsid w:val="00500937"/>
    <w:rsid w:val="005C52C7"/>
    <w:rsid w:val="005C6B31"/>
    <w:rsid w:val="005D05D2"/>
    <w:rsid w:val="005E1CCC"/>
    <w:rsid w:val="005F6B91"/>
    <w:rsid w:val="00663C83"/>
    <w:rsid w:val="006750BF"/>
    <w:rsid w:val="0069229A"/>
    <w:rsid w:val="00752990"/>
    <w:rsid w:val="00760A6C"/>
    <w:rsid w:val="0078319A"/>
    <w:rsid w:val="00795309"/>
    <w:rsid w:val="007C53DF"/>
    <w:rsid w:val="007F2859"/>
    <w:rsid w:val="00822B1C"/>
    <w:rsid w:val="00834344"/>
    <w:rsid w:val="00844B57"/>
    <w:rsid w:val="00857DE3"/>
    <w:rsid w:val="0087063E"/>
    <w:rsid w:val="00885E69"/>
    <w:rsid w:val="00894147"/>
    <w:rsid w:val="008975F7"/>
    <w:rsid w:val="008C159F"/>
    <w:rsid w:val="008D5790"/>
    <w:rsid w:val="008D664E"/>
    <w:rsid w:val="0090382B"/>
    <w:rsid w:val="00925725"/>
    <w:rsid w:val="00940A6E"/>
    <w:rsid w:val="00950AA5"/>
    <w:rsid w:val="009A3A92"/>
    <w:rsid w:val="009C273B"/>
    <w:rsid w:val="009D22EA"/>
    <w:rsid w:val="009F4FB5"/>
    <w:rsid w:val="00A0196A"/>
    <w:rsid w:val="00A02475"/>
    <w:rsid w:val="00A13000"/>
    <w:rsid w:val="00A83979"/>
    <w:rsid w:val="00B74B41"/>
    <w:rsid w:val="00C0174C"/>
    <w:rsid w:val="00C130F3"/>
    <w:rsid w:val="00C17086"/>
    <w:rsid w:val="00C34993"/>
    <w:rsid w:val="00CA2BDB"/>
    <w:rsid w:val="00CC62E0"/>
    <w:rsid w:val="00CE7A67"/>
    <w:rsid w:val="00D076F4"/>
    <w:rsid w:val="00D73845"/>
    <w:rsid w:val="00D81D4A"/>
    <w:rsid w:val="00D967BE"/>
    <w:rsid w:val="00DC0559"/>
    <w:rsid w:val="00E00725"/>
    <w:rsid w:val="00E00F13"/>
    <w:rsid w:val="00E35DAD"/>
    <w:rsid w:val="00EC5739"/>
    <w:rsid w:val="00ED1CD2"/>
    <w:rsid w:val="00F079E8"/>
    <w:rsid w:val="00F2411F"/>
    <w:rsid w:val="00F4138F"/>
    <w:rsid w:val="00FB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39C2"/>
  <w15:docId w15:val="{3D6001B5-1AC6-4C60-B8C8-F1C35318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2475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C159F"/>
    <w:pPr>
      <w:keepNext/>
      <w:keepLines/>
      <w:spacing w:before="240" w:after="0" w:line="360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4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A0FC0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8C159F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ulek">
    <w:name w:val="caption"/>
    <w:basedOn w:val="Normln"/>
    <w:next w:val="Normln"/>
    <w:uiPriority w:val="35"/>
    <w:unhideWhenUsed/>
    <w:qFormat/>
    <w:rsid w:val="00885E69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F6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B5A6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A2BDB"/>
    <w:rPr>
      <w:color w:val="0563C1"/>
      <w:u w:val="single"/>
    </w:rPr>
  </w:style>
  <w:style w:type="character" w:customStyle="1" w:styleId="apple-converted-space">
    <w:name w:val="apple-converted-space"/>
    <w:basedOn w:val="Standardnpsmoodstavce"/>
    <w:rsid w:val="00CA2BDB"/>
  </w:style>
  <w:style w:type="character" w:styleId="Siln">
    <w:name w:val="Strong"/>
    <w:uiPriority w:val="22"/>
    <w:qFormat/>
    <w:rsid w:val="00CA2BDB"/>
    <w:rPr>
      <w:b/>
      <w:bCs/>
    </w:rPr>
  </w:style>
  <w:style w:type="character" w:styleId="Zstupntext">
    <w:name w:val="Placeholder Text"/>
    <w:uiPriority w:val="99"/>
    <w:semiHidden/>
    <w:rsid w:val="000B15D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A839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9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97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9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97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Graf%202%20v%20aplikaci%20Microsoft%20Office%20Word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 2 v aplikaci Microsoft Office Word]List1'!$N$9</c:f>
              <c:strCache>
                <c:ptCount val="1"/>
                <c:pt idx="0">
                  <c:v>Ano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'[Graf 2 v aplikaci Microsoft Office Word]List1'!$M$10:$M$12</c:f>
              <c:strCache>
                <c:ptCount val="3"/>
                <c:pt idx="0">
                  <c:v>Stahování hudby a filmu</c:v>
                </c:pt>
                <c:pt idx="1">
                  <c:v>Trávení času ve virtuálním světě</c:v>
                </c:pt>
                <c:pt idx="2">
                  <c:v>Návštěva chatovací místnosti</c:v>
                </c:pt>
              </c:strCache>
            </c:strRef>
          </c:cat>
          <c:val>
            <c:numRef>
              <c:f>'[Graf 2 v aplikaci Microsoft Office Word]List1'!$N$10:$N$12</c:f>
              <c:numCache>
                <c:formatCode>General</c:formatCode>
                <c:ptCount val="3"/>
                <c:pt idx="0">
                  <c:v>53.3</c:v>
                </c:pt>
                <c:pt idx="1">
                  <c:v>17.899999999999999</c:v>
                </c:pt>
                <c:pt idx="2">
                  <c:v>35.1</c:v>
                </c:pt>
              </c:numCache>
            </c:numRef>
          </c:val>
        </c:ser>
        <c:ser>
          <c:idx val="1"/>
          <c:order val="1"/>
          <c:tx>
            <c:strRef>
              <c:f>'[Graf 2 v aplikaci Microsoft Office Word]List1'!$O$9</c:f>
              <c:strCache>
                <c:ptCount val="1"/>
                <c:pt idx="0">
                  <c:v>Ne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'[Graf 2 v aplikaci Microsoft Office Word]List1'!$M$10:$M$12</c:f>
              <c:strCache>
                <c:ptCount val="3"/>
                <c:pt idx="0">
                  <c:v>Stahování hudby a filmu</c:v>
                </c:pt>
                <c:pt idx="1">
                  <c:v>Trávení času ve virtuálním světě</c:v>
                </c:pt>
                <c:pt idx="2">
                  <c:v>Návštěva chatovací místnosti</c:v>
                </c:pt>
              </c:strCache>
            </c:strRef>
          </c:cat>
          <c:val>
            <c:numRef>
              <c:f>'[Graf 2 v aplikaci Microsoft Office Word]List1'!$O$10:$O$12</c:f>
              <c:numCache>
                <c:formatCode>General</c:formatCode>
                <c:ptCount val="3"/>
                <c:pt idx="0">
                  <c:v>46.7</c:v>
                </c:pt>
                <c:pt idx="1">
                  <c:v>79.8</c:v>
                </c:pt>
                <c:pt idx="2">
                  <c:v>64.900000000000006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5434008"/>
        <c:axId val="285434400"/>
      </c:barChart>
      <c:catAx>
        <c:axId val="285434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5434400"/>
        <c:crosses val="autoZero"/>
        <c:auto val="1"/>
        <c:lblAlgn val="ctr"/>
        <c:lblOffset val="100"/>
        <c:noMultiLvlLbl val="0"/>
      </c:catAx>
      <c:valAx>
        <c:axId val="285434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5434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1206</Words>
  <Characters>7117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Čapková</dc:creator>
  <cp:keywords/>
  <dc:description/>
  <cp:lastModifiedBy>Standa Ježek</cp:lastModifiedBy>
  <cp:revision>4</cp:revision>
  <dcterms:created xsi:type="dcterms:W3CDTF">2013-10-28T15:06:00Z</dcterms:created>
  <dcterms:modified xsi:type="dcterms:W3CDTF">2013-11-01T15:55:00Z</dcterms:modified>
</cp:coreProperties>
</file>