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B05D" w14:textId="1B0EFB7F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 xml:space="preserve">POL256 Základy politického marketingu </w:t>
      </w:r>
    </w:p>
    <w:p w14:paraId="0E58B19C" w14:textId="77777777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 xml:space="preserve">Přednášející: </w:t>
      </w:r>
    </w:p>
    <w:p w14:paraId="7BA26EA2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>Mgr. Otto Eibl, Ph.D. (</w:t>
      </w:r>
      <w:hyperlink r:id="rId5" w:history="1">
        <w:r w:rsidRPr="00923E35">
          <w:rPr>
            <w:rStyle w:val="Hyperlink"/>
            <w:rFonts w:ascii="Times New Roman" w:eastAsia="Times New Roman" w:hAnsi="Times New Roman"/>
          </w:rPr>
          <w:t>eibl@fss.muni.cz</w:t>
        </w:r>
      </w:hyperlink>
      <w:r w:rsidRPr="00923E35">
        <w:rPr>
          <w:rFonts w:ascii="Times New Roman" w:eastAsia="Times New Roman" w:hAnsi="Times New Roman"/>
          <w:lang w:val="cs-CZ"/>
        </w:rPr>
        <w:t>)</w:t>
      </w:r>
    </w:p>
    <w:p w14:paraId="217B2933" w14:textId="77777777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>Mgr. Anna Matušková, Ph.D. (</w:t>
      </w:r>
      <w:hyperlink r:id="rId6">
        <w:r w:rsidRPr="00923E35">
          <w:rPr>
            <w:rStyle w:val="Hyperlink"/>
            <w:rFonts w:ascii="Times New Roman" w:eastAsia="Times New Roman" w:hAnsi="Times New Roman"/>
            <w:lang w:val="cs-CZ"/>
          </w:rPr>
          <w:t>matuskov@fss.muni.cz</w:t>
        </w:r>
      </w:hyperlink>
      <w:r w:rsidRPr="00923E35">
        <w:rPr>
          <w:rFonts w:ascii="Times New Roman" w:eastAsia="Times New Roman" w:hAnsi="Times New Roman"/>
          <w:lang w:val="cs-CZ"/>
        </w:rPr>
        <w:t>)</w:t>
      </w:r>
    </w:p>
    <w:p w14:paraId="7C380ED3" w14:textId="03F4D07C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r w:rsidRPr="00923E35">
        <w:rPr>
          <w:rFonts w:ascii="Times New Roman" w:eastAsia="Times New Roman" w:hAnsi="Times New Roman"/>
          <w:lang w:val="cs-CZ"/>
        </w:rPr>
        <w:t>Mgr. Alena Macková (</w:t>
      </w:r>
      <w:hyperlink r:id="rId7">
        <w:r w:rsidR="270AABA9" w:rsidRPr="00923E35">
          <w:rPr>
            <w:rStyle w:val="Hyperlink"/>
            <w:rFonts w:ascii="Times New Roman" w:eastAsia="Times New Roman" w:hAnsi="Times New Roman"/>
            <w:lang w:val="cs-CZ"/>
          </w:rPr>
          <w:t>aja.mackova@gmail.com</w:t>
        </w:r>
      </w:hyperlink>
      <w:r w:rsidRPr="00923E35">
        <w:rPr>
          <w:rFonts w:ascii="Times New Roman" w:eastAsia="Times New Roman" w:hAnsi="Times New Roman"/>
          <w:lang w:val="cs-CZ"/>
        </w:rPr>
        <w:t>)</w:t>
      </w:r>
    </w:p>
    <w:p w14:paraId="2E5B78C0" w14:textId="40E2392A" w:rsidR="00E32487" w:rsidRPr="00923E35" w:rsidRDefault="270AABA9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>Mgr. Miloš Gregor (</w:t>
      </w:r>
      <w:hyperlink r:id="rId8">
        <w:r w:rsidRPr="00923E35">
          <w:rPr>
            <w:rStyle w:val="Hyperlink"/>
            <w:rFonts w:ascii="Times New Roman" w:eastAsia="Times New Roman" w:hAnsi="Times New Roman"/>
            <w:lang w:val="cs-CZ"/>
          </w:rPr>
          <w:t>mgregor@fss.muni.cz</w:t>
        </w:r>
      </w:hyperlink>
      <w:r w:rsidRPr="00923E35">
        <w:rPr>
          <w:rFonts w:ascii="Times New Roman" w:eastAsia="Times New Roman" w:hAnsi="Times New Roman"/>
          <w:lang w:val="cs-CZ"/>
        </w:rPr>
        <w:t xml:space="preserve">) </w:t>
      </w:r>
    </w:p>
    <w:p w14:paraId="19B68841" w14:textId="77777777" w:rsidR="00E32487" w:rsidRPr="00923E35" w:rsidRDefault="00E32487" w:rsidP="004A41A7">
      <w:pPr>
        <w:textAlignment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CC9154F" w14:textId="77777777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 xml:space="preserve">Výuka: </w:t>
      </w:r>
      <w:r w:rsidRPr="00923E35">
        <w:rPr>
          <w:rFonts w:ascii="Times New Roman" w:eastAsia="Times New Roman" w:hAnsi="Times New Roman"/>
          <w:lang w:val="cs-CZ"/>
        </w:rPr>
        <w:t>Pondělí, 9.45 – 11.15</w:t>
      </w:r>
    </w:p>
    <w:p w14:paraId="49436219" w14:textId="61D0E01B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 xml:space="preserve">Učebna: </w:t>
      </w:r>
      <w:r w:rsidRPr="00923E35">
        <w:rPr>
          <w:rFonts w:ascii="Times New Roman" w:eastAsia="Times New Roman" w:hAnsi="Times New Roman"/>
          <w:lang w:val="cs-CZ"/>
        </w:rPr>
        <w:t>U24</w:t>
      </w:r>
    </w:p>
    <w:p w14:paraId="0E4FB533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618F427" w14:textId="77777777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>Anotace:</w:t>
      </w:r>
    </w:p>
    <w:p w14:paraId="63DC73AF" w14:textId="2C17063C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Cílem kurzu </w:t>
      </w:r>
      <w:r w:rsidRPr="00923E35">
        <w:rPr>
          <w:rFonts w:ascii="Times New Roman" w:eastAsia="Times New Roman" w:hAnsi="Times New Roman"/>
          <w:i/>
          <w:iCs/>
          <w:lang w:val="cs-CZ"/>
        </w:rPr>
        <w:t>Základy politického marketingu</w:t>
      </w:r>
      <w:r w:rsidRPr="00923E35">
        <w:rPr>
          <w:rFonts w:ascii="Times New Roman" w:eastAsia="Times New Roman" w:hAnsi="Times New Roman"/>
          <w:lang w:val="cs-CZ"/>
        </w:rPr>
        <w:t xml:space="preserve"> je obeznámit studenty se základy dynamicky se rozvíjející se disciplíny politické komunikace a politického marketingu. Kurz je rozdělen do dvou tematických bloků. První z nich studenty seznámí se základními marketingovými pojmy a vymezí rozdíly mezi politickým a ekonomickým marketingem. Dále budou studenti seznámeni s vybranými teoretickými přístupy k politickému marketingu. Druhý blok pak bude diskutovat otázky spojené s politickou komunikací – opět půjde o seznámení se základními pojmy a psychologickými efekty, které jsou pro konzumaci mediálních obsahů typické. Závěr kurzu patří diskusi o novinkách v oboru.</w:t>
      </w:r>
    </w:p>
    <w:p w14:paraId="02A74579" w14:textId="43A11753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>Veškerá požadovaná literatura nutná k absolvování kurzu bude dostupná v knihovně, nebo elektronicky ve studijních materiálech v ISu.</w:t>
      </w:r>
    </w:p>
    <w:p w14:paraId="6620DA38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5607715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</w:rPr>
      </w:pPr>
      <w:bookmarkStart w:id="0" w:name="OLE_LINK17"/>
      <w:bookmarkStart w:id="1" w:name="OLE_LINK18"/>
      <w:r w:rsidRPr="00923E35">
        <w:rPr>
          <w:rFonts w:ascii="Times New Roman" w:eastAsia="Times New Roman" w:hAnsi="Times New Roman"/>
          <w:b/>
          <w:bCs/>
          <w:lang w:val="cs-CZ"/>
        </w:rPr>
        <w:t xml:space="preserve">Typ výuky a zkoušky, požadavky na ukončení předmětu: </w:t>
      </w:r>
    </w:p>
    <w:bookmarkEnd w:id="0"/>
    <w:bookmarkEnd w:id="1"/>
    <w:p w14:paraId="6CEF85BF" w14:textId="1477C50A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Pro ukončení kurzu je nutné odevzdat čtyři </w:t>
      </w:r>
      <w:r w:rsidR="00C26300">
        <w:rPr>
          <w:rFonts w:ascii="Times New Roman" w:eastAsia="Times New Roman" w:hAnsi="Times New Roman"/>
          <w:lang w:val="cs-CZ"/>
        </w:rPr>
        <w:t>eseje</w:t>
      </w:r>
      <w:r w:rsidRPr="00923E35">
        <w:rPr>
          <w:rFonts w:ascii="Times New Roman" w:eastAsia="Times New Roman" w:hAnsi="Times New Roman"/>
          <w:lang w:val="cs-CZ"/>
        </w:rPr>
        <w:t xml:space="preserve"> (každý v rozsahu 2</w:t>
      </w:r>
      <w:r w:rsidR="00C26300">
        <w:rPr>
          <w:rFonts w:ascii="Times New Roman" w:eastAsia="Times New Roman" w:hAnsi="Times New Roman"/>
          <w:lang w:val="cs-CZ"/>
        </w:rPr>
        <w:t>-3</w:t>
      </w:r>
      <w:r w:rsidRPr="00923E35">
        <w:rPr>
          <w:rFonts w:ascii="Times New Roman" w:eastAsia="Times New Roman" w:hAnsi="Times New Roman"/>
          <w:lang w:val="cs-CZ"/>
        </w:rPr>
        <w:t xml:space="preserve"> NS) a absolvovat písemný test. Hodnocení </w:t>
      </w:r>
      <w:r w:rsidR="00C26300">
        <w:rPr>
          <w:rFonts w:ascii="Times New Roman" w:eastAsia="Times New Roman" w:hAnsi="Times New Roman"/>
          <w:lang w:val="cs-CZ"/>
        </w:rPr>
        <w:t>esejů</w:t>
      </w:r>
      <w:r w:rsidRPr="00923E35">
        <w:rPr>
          <w:rFonts w:ascii="Times New Roman" w:eastAsia="Times New Roman" w:hAnsi="Times New Roman"/>
          <w:lang w:val="cs-CZ"/>
        </w:rPr>
        <w:t xml:space="preserve"> a písemného závěrečného testu se studenti dozví prostřednictvím poznámkového bloku v Isu.</w:t>
      </w:r>
    </w:p>
    <w:p w14:paraId="3E142E80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</w:p>
    <w:p w14:paraId="1430DB04" w14:textId="077972FD" w:rsidR="00E32487" w:rsidRPr="00923E35" w:rsidRDefault="00C26300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lang w:val="cs-CZ"/>
        </w:rPr>
        <w:t>Eseje</w:t>
      </w:r>
      <w:r w:rsidR="63E3042E" w:rsidRPr="00923E35">
        <w:rPr>
          <w:rFonts w:ascii="Times New Roman" w:eastAsia="Times New Roman" w:hAnsi="Times New Roman"/>
          <w:lang w:val="cs-CZ"/>
        </w:rPr>
        <w:t xml:space="preserve"> budou odevzdány prostřednictvím odevzdávárny v ISu, nejpozději </w:t>
      </w:r>
      <w:r>
        <w:rPr>
          <w:rFonts w:ascii="Times New Roman" w:eastAsia="Times New Roman" w:hAnsi="Times New Roman"/>
          <w:lang w:val="cs-CZ"/>
        </w:rPr>
        <w:t>v termínech uvedených níže</w:t>
      </w:r>
      <w:r w:rsidR="63E3042E" w:rsidRPr="00923E35">
        <w:rPr>
          <w:rFonts w:ascii="Times New Roman" w:eastAsia="Times New Roman" w:hAnsi="Times New Roman"/>
          <w:lang w:val="cs-CZ"/>
        </w:rPr>
        <w:t>.</w:t>
      </w:r>
    </w:p>
    <w:p w14:paraId="314EF39C" w14:textId="177639F0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Citace se řídí obvyklými pravidly a etikou vědecké práce. Za každý </w:t>
      </w:r>
      <w:r w:rsidR="00C26300">
        <w:rPr>
          <w:rFonts w:ascii="Times New Roman" w:eastAsia="Times New Roman" w:hAnsi="Times New Roman"/>
          <w:lang w:val="cs-CZ"/>
        </w:rPr>
        <w:t>esej</w:t>
      </w:r>
      <w:r w:rsidRPr="00923E35">
        <w:rPr>
          <w:rFonts w:ascii="Times New Roman" w:eastAsia="Times New Roman" w:hAnsi="Times New Roman"/>
          <w:lang w:val="cs-CZ"/>
        </w:rPr>
        <w:t xml:space="preserve"> je možné získat maximálně 10 bodů (celkem tedy 40 bodů). </w:t>
      </w:r>
    </w:p>
    <w:p w14:paraId="6565658E" w14:textId="07B94E29" w:rsidR="0028637C" w:rsidRPr="00923E35" w:rsidRDefault="00C26300" w:rsidP="63E3042E">
      <w:pPr>
        <w:pStyle w:val="Normln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lang w:val="cs-CZ"/>
        </w:rPr>
        <w:t>Esej</w:t>
      </w:r>
      <w:r w:rsidR="63E3042E" w:rsidRPr="00923E35">
        <w:rPr>
          <w:rFonts w:ascii="Times New Roman" w:eastAsia="Times New Roman" w:hAnsi="Times New Roman"/>
          <w:b/>
          <w:bCs/>
          <w:lang w:val="cs-CZ"/>
        </w:rPr>
        <w:t xml:space="preserve"> 1:</w:t>
      </w:r>
      <w:r w:rsidR="63E3042E" w:rsidRPr="00923E35">
        <w:rPr>
          <w:rFonts w:ascii="Times New Roman" w:eastAsia="Times New Roman" w:hAnsi="Times New Roman"/>
          <w:lang w:val="cs-CZ"/>
        </w:rPr>
        <w:t xml:space="preserve"> Rozdíly v aplikaci marketingových přístupů v různých odvětvích (principy, cíle, nástroje); datum odevzdání: 5. 10. do 9:00.</w:t>
      </w:r>
    </w:p>
    <w:p w14:paraId="25FA7E2D" w14:textId="4E00C538" w:rsidR="0028637C" w:rsidRPr="00923E35" w:rsidRDefault="00C26300" w:rsidP="63E3042E">
      <w:pPr>
        <w:pStyle w:val="Normln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lang w:val="cs-CZ"/>
        </w:rPr>
        <w:lastRenderedPageBreak/>
        <w:t>Esej</w:t>
      </w:r>
      <w:r w:rsidR="63E3042E" w:rsidRPr="00923E35">
        <w:rPr>
          <w:rFonts w:ascii="Times New Roman" w:eastAsia="Times New Roman" w:hAnsi="Times New Roman"/>
          <w:b/>
          <w:bCs/>
          <w:lang w:val="cs-CZ"/>
        </w:rPr>
        <w:t xml:space="preserve"> 2: </w:t>
      </w:r>
      <w:r w:rsidR="63E3042E" w:rsidRPr="00923E35">
        <w:rPr>
          <w:rFonts w:ascii="Times New Roman" w:eastAsia="Times New Roman" w:hAnsi="Times New Roman"/>
          <w:lang w:val="cs-CZ"/>
        </w:rPr>
        <w:t>Etika a kritika užívání marketingu v politice; datum odevzdání 2. 11. do 9:00.</w:t>
      </w:r>
    </w:p>
    <w:p w14:paraId="32FE72FC" w14:textId="63309993" w:rsidR="0028637C" w:rsidRPr="00923E35" w:rsidRDefault="00C26300" w:rsidP="63E3042E">
      <w:pPr>
        <w:pStyle w:val="Normln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val="cs-CZ"/>
        </w:rPr>
        <w:t>Esej</w:t>
      </w:r>
      <w:r w:rsidR="1B97A465" w:rsidRPr="00923E35">
        <w:rPr>
          <w:rFonts w:ascii="Times New Roman" w:eastAsia="Times New Roman" w:hAnsi="Times New Roman"/>
          <w:b/>
          <w:bCs/>
          <w:lang w:val="cs-CZ"/>
        </w:rPr>
        <w:t xml:space="preserve"> 3: </w:t>
      </w:r>
      <w:r w:rsidR="1B97A465" w:rsidRPr="00923E35">
        <w:rPr>
          <w:rFonts w:ascii="Times New Roman" w:eastAsia="Times New Roman" w:hAnsi="Times New Roman"/>
          <w:lang w:val="cs-CZ"/>
        </w:rPr>
        <w:t xml:space="preserve">Politika či politik jako produkt; datum odevzdání 9. 11. do 9.00 </w:t>
      </w:r>
    </w:p>
    <w:p w14:paraId="3EF38942" w14:textId="0E25301C" w:rsidR="24557EB7" w:rsidRPr="00923E35" w:rsidRDefault="00C26300" w:rsidP="24557EB7">
      <w:pPr>
        <w:pStyle w:val="Normln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lang w:val="cs-CZ"/>
        </w:rPr>
        <w:t>Esej</w:t>
      </w:r>
      <w:r w:rsidR="24557EB7" w:rsidRPr="00923E35">
        <w:rPr>
          <w:rFonts w:ascii="Times New Roman" w:eastAsia="Times New Roman" w:hAnsi="Times New Roman"/>
          <w:b/>
          <w:bCs/>
          <w:lang w:val="cs-CZ"/>
        </w:rPr>
        <w:t xml:space="preserve"> 4: </w:t>
      </w:r>
      <w:r w:rsidR="24557EB7" w:rsidRPr="00923E35">
        <w:rPr>
          <w:rFonts w:ascii="Times New Roman" w:eastAsia="Times New Roman" w:hAnsi="Times New Roman"/>
        </w:rPr>
        <w:t>(Ne)závislá média – role médií v politické kampani: datum odevzdání 16.11. do 9:00</w:t>
      </w:r>
    </w:p>
    <w:p w14:paraId="7DF5E142" w14:textId="77777777" w:rsidR="0028637C" w:rsidRPr="00923E35" w:rsidRDefault="0028637C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3CE46244" w14:textId="667B624F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>Písemný test</w:t>
      </w:r>
      <w:r w:rsidRPr="00923E35">
        <w:rPr>
          <w:rFonts w:ascii="Times New Roman" w:eastAsia="Times New Roman" w:hAnsi="Times New Roman"/>
          <w:lang w:val="cs-CZ"/>
        </w:rPr>
        <w:t xml:space="preserve">. Obsah testu </w:t>
      </w:r>
      <w:r w:rsidRPr="00923E35">
        <w:rPr>
          <w:rFonts w:ascii="Times New Roman" w:eastAsia="Times New Roman" w:hAnsi="Times New Roman"/>
          <w:b/>
          <w:bCs/>
          <w:lang w:val="cs-CZ"/>
        </w:rPr>
        <w:t>odpovídá rozsahu odpřednášených témat a zadané literatury</w:t>
      </w:r>
      <w:r w:rsidRPr="00923E35">
        <w:rPr>
          <w:rFonts w:ascii="Times New Roman" w:eastAsia="Times New Roman" w:hAnsi="Times New Roman"/>
          <w:lang w:val="cs-CZ"/>
        </w:rPr>
        <w:t>. Struktura tes</w:t>
      </w:r>
      <w:r w:rsidR="00AB49C5">
        <w:rPr>
          <w:rFonts w:ascii="Times New Roman" w:eastAsia="Times New Roman" w:hAnsi="Times New Roman"/>
          <w:lang w:val="cs-CZ"/>
        </w:rPr>
        <w:t>tu: maximum 6</w:t>
      </w:r>
      <w:bookmarkStart w:id="2" w:name="_GoBack"/>
      <w:bookmarkEnd w:id="2"/>
      <w:r w:rsidRPr="00923E35">
        <w:rPr>
          <w:rFonts w:ascii="Times New Roman" w:eastAsia="Times New Roman" w:hAnsi="Times New Roman"/>
          <w:lang w:val="cs-CZ"/>
        </w:rPr>
        <w:t xml:space="preserve">0 bodů (otevřené otázky; 3 otázky za 20 bodů), délka 60 minut. </w:t>
      </w:r>
    </w:p>
    <w:p w14:paraId="67E67752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</w:p>
    <w:p w14:paraId="0F7C769C" w14:textId="0C5D9FAA" w:rsidR="00E32487" w:rsidRPr="00923E35" w:rsidRDefault="63E3042E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923E35">
        <w:rPr>
          <w:rFonts w:ascii="Times New Roman" w:eastAsia="Times New Roman" w:hAnsi="Times New Roman"/>
          <w:b/>
          <w:bCs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4DEEEC7" w14:textId="549D8D38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A: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100-93</w:t>
      </w:r>
    </w:p>
    <w:p w14:paraId="77A01DA0" w14:textId="5BB630E5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B: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92-84</w:t>
      </w:r>
    </w:p>
    <w:p w14:paraId="0B732745" w14:textId="53A672D1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C: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83-76</w:t>
      </w:r>
    </w:p>
    <w:p w14:paraId="521390CA" w14:textId="759BF971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D: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75-68</w:t>
      </w:r>
    </w:p>
    <w:p w14:paraId="2959D062" w14:textId="2D09545C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E: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67-60</w:t>
      </w:r>
    </w:p>
    <w:p w14:paraId="7BBD6CF1" w14:textId="59F61C2C" w:rsidR="00E32487" w:rsidRPr="00923E35" w:rsidRDefault="00E32487" w:rsidP="00E32487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23E35">
        <w:rPr>
          <w:rFonts w:ascii="Times New Roman" w:eastAsia="Times New Roman" w:hAnsi="Times New Roman"/>
          <w:lang w:val="cs-CZ"/>
        </w:rPr>
        <w:t xml:space="preserve">F: </w:t>
      </w:r>
      <w:r w:rsidRPr="00923E35">
        <w:rPr>
          <w:rFonts w:ascii="Times New Roman" w:hAnsi="Times New Roman"/>
          <w:szCs w:val="24"/>
        </w:rPr>
        <w:tab/>
      </w:r>
      <w:r w:rsidRPr="00923E35">
        <w:rPr>
          <w:rFonts w:ascii="Times New Roman" w:eastAsia="Times New Roman" w:hAnsi="Times New Roman"/>
          <w:lang w:val="cs-CZ"/>
        </w:rPr>
        <w:t>méně než 60 bodů</w:t>
      </w:r>
    </w:p>
    <w:p w14:paraId="0A95DE1D" w14:textId="77777777" w:rsidR="00E32487" w:rsidRPr="00923E35" w:rsidRDefault="00E32487" w:rsidP="004A41A7">
      <w:pPr>
        <w:textAlignment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DD89620" w14:textId="77777777" w:rsidR="00E32487" w:rsidRPr="00923E35" w:rsidRDefault="00E32487" w:rsidP="004A41A7">
      <w:pPr>
        <w:textAlignment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1350"/>
        <w:gridCol w:w="7169"/>
      </w:tblGrid>
      <w:tr w:rsidR="006D05AB" w:rsidRPr="00923E35" w14:paraId="67364523" w14:textId="77777777" w:rsidTr="004F1BBD">
        <w:tc>
          <w:tcPr>
            <w:tcW w:w="491" w:type="dxa"/>
            <w:tcBorders>
              <w:bottom w:val="single" w:sz="4" w:space="0" w:color="auto"/>
            </w:tcBorders>
          </w:tcPr>
          <w:p w14:paraId="75362B24" w14:textId="21D65292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21EBB4" w14:textId="362A7F2F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21. 9.</w:t>
            </w:r>
          </w:p>
        </w:tc>
        <w:tc>
          <w:tcPr>
            <w:tcW w:w="7169" w:type="dxa"/>
          </w:tcPr>
          <w:p w14:paraId="425C3A52" w14:textId="5DE11EBD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Úvodní hodina</w:t>
            </w:r>
            <w:r w:rsidR="00923E35"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br/>
            </w:r>
            <w:r w:rsidR="00923E35"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br/>
              <w:t>Ekonomický marketing – uvedení do problematiky</w:t>
            </w:r>
          </w:p>
        </w:tc>
      </w:tr>
      <w:tr w:rsidR="006D05AB" w:rsidRPr="00923E35" w14:paraId="2BD80386" w14:textId="77777777" w:rsidTr="004F1BBD">
        <w:tc>
          <w:tcPr>
            <w:tcW w:w="491" w:type="dxa"/>
            <w:tcBorders>
              <w:bottom w:val="single" w:sz="4" w:space="0" w:color="auto"/>
            </w:tcBorders>
          </w:tcPr>
          <w:p w14:paraId="5ED00416" w14:textId="575C0034" w:rsidR="006D05AB" w:rsidRPr="00923E35" w:rsidRDefault="63E3042E" w:rsidP="006D05AB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 xml:space="preserve">  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0B24A7" w14:textId="661DE8A7" w:rsidR="006D05AB" w:rsidRPr="00923E35" w:rsidRDefault="006D05AB" w:rsidP="006D05AB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14:paraId="5BF15DF0" w14:textId="77777777" w:rsidR="00923E35" w:rsidRPr="00923E35" w:rsidRDefault="00923E35" w:rsidP="00923E35">
            <w:pPr>
              <w:numPr>
                <w:ilvl w:val="0"/>
                <w:numId w:val="9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Jakubíková, D. (2008): Strategický marketing. Praha: Grada, s. 101-124, 239-267.</w:t>
            </w:r>
          </w:p>
          <w:p w14:paraId="55ADA87D" w14:textId="77777777" w:rsidR="00923E35" w:rsidRPr="00923E35" w:rsidRDefault="00923E35" w:rsidP="00923E35">
            <w:pPr>
              <w:numPr>
                <w:ilvl w:val="0"/>
                <w:numId w:val="9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Vysekalová, J. (2006): Marketing. Fortuna, s. 27-137.</w:t>
            </w:r>
          </w:p>
          <w:p w14:paraId="1E89E9B8" w14:textId="02259742" w:rsidR="006D05AB" w:rsidRPr="00923E35" w:rsidRDefault="00923E35" w:rsidP="00923E35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Rushkoff, D.  (2002): Manipulativní nátlak. Hradec Králové, Konfrontace, s. 7-64.</w:t>
            </w:r>
          </w:p>
        </w:tc>
      </w:tr>
      <w:tr w:rsidR="006D05AB" w:rsidRPr="00923E35" w14:paraId="6B7926E7" w14:textId="77777777" w:rsidTr="004F1BBD">
        <w:tc>
          <w:tcPr>
            <w:tcW w:w="491" w:type="dxa"/>
            <w:tcBorders>
              <w:bottom w:val="nil"/>
            </w:tcBorders>
          </w:tcPr>
          <w:p w14:paraId="190BF0B1" w14:textId="062DE0BF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1350" w:type="dxa"/>
            <w:tcBorders>
              <w:bottom w:val="nil"/>
            </w:tcBorders>
          </w:tcPr>
          <w:p w14:paraId="7A1D74F0" w14:textId="2913B1AA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28. 9.</w:t>
            </w:r>
          </w:p>
        </w:tc>
        <w:tc>
          <w:tcPr>
            <w:tcW w:w="7169" w:type="dxa"/>
            <w:tcBorders>
              <w:bottom w:val="nil"/>
            </w:tcBorders>
          </w:tcPr>
          <w:p w14:paraId="571C15B2" w14:textId="2E75AA1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Státní svátek – čtecí týden</w:t>
            </w:r>
          </w:p>
        </w:tc>
      </w:tr>
      <w:tr w:rsidR="006D05AB" w:rsidRPr="00923E35" w14:paraId="30DBB869" w14:textId="77777777" w:rsidTr="004F1BBD"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14:paraId="5109269D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71B3338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  <w:tcBorders>
              <w:top w:val="nil"/>
              <w:bottom w:val="single" w:sz="4" w:space="0" w:color="auto"/>
            </w:tcBorders>
          </w:tcPr>
          <w:p w14:paraId="1988D18C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6D05AB" w:rsidRPr="00923E35" w14:paraId="5C466324" w14:textId="77777777" w:rsidTr="004F1BBD">
        <w:tc>
          <w:tcPr>
            <w:tcW w:w="491" w:type="dxa"/>
            <w:tcBorders>
              <w:bottom w:val="nil"/>
            </w:tcBorders>
          </w:tcPr>
          <w:p w14:paraId="10A704F4" w14:textId="135651B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1350" w:type="dxa"/>
            <w:tcBorders>
              <w:bottom w:val="nil"/>
            </w:tcBorders>
          </w:tcPr>
          <w:p w14:paraId="7275BD35" w14:textId="7189BA0F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5. 10.</w:t>
            </w:r>
          </w:p>
        </w:tc>
        <w:tc>
          <w:tcPr>
            <w:tcW w:w="7169" w:type="dxa"/>
            <w:tcBorders>
              <w:bottom w:val="nil"/>
            </w:tcBorders>
          </w:tcPr>
          <w:p w14:paraId="29E89FC7" w14:textId="34897E0D" w:rsidR="006D05AB" w:rsidRPr="00923E35" w:rsidRDefault="00923E35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Hodina nahrazena 21. 9.</w:t>
            </w:r>
          </w:p>
        </w:tc>
      </w:tr>
      <w:tr w:rsidR="006D05AB" w:rsidRPr="00923E35" w14:paraId="04C5DB31" w14:textId="77777777" w:rsidTr="004F1BBD">
        <w:tc>
          <w:tcPr>
            <w:tcW w:w="491" w:type="dxa"/>
            <w:tcBorders>
              <w:top w:val="nil"/>
            </w:tcBorders>
          </w:tcPr>
          <w:p w14:paraId="5E68D513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6C32DBD" w14:textId="1FA0789B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  <w:tcBorders>
              <w:top w:val="nil"/>
            </w:tcBorders>
          </w:tcPr>
          <w:p w14:paraId="38BEA4D2" w14:textId="112F3AD9" w:rsidR="006D05AB" w:rsidRPr="00923E35" w:rsidRDefault="006D05AB" w:rsidP="00923E35">
            <w:pPr>
              <w:ind w:left="720"/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</w:tr>
      <w:tr w:rsidR="006D05AB" w:rsidRPr="00923E35" w14:paraId="5ABF9E57" w14:textId="77777777" w:rsidTr="004F1BBD">
        <w:tc>
          <w:tcPr>
            <w:tcW w:w="491" w:type="dxa"/>
          </w:tcPr>
          <w:p w14:paraId="4A61A2C4" w14:textId="042A48B3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1350" w:type="dxa"/>
          </w:tcPr>
          <w:p w14:paraId="1EAE1538" w14:textId="6533AD61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12. 10.</w:t>
            </w:r>
          </w:p>
        </w:tc>
        <w:tc>
          <w:tcPr>
            <w:tcW w:w="7169" w:type="dxa"/>
          </w:tcPr>
          <w:p w14:paraId="1770BAEC" w14:textId="4F2E5C89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Ekonomický marketing, sociální marketing – vybrané nástroje; rozdíl mezi ekonomickým, sociálním a politickým marketingem</w:t>
            </w:r>
          </w:p>
        </w:tc>
      </w:tr>
      <w:tr w:rsidR="006D05AB" w:rsidRPr="00923E35" w14:paraId="05B50B3D" w14:textId="77777777" w:rsidTr="004F1BBD">
        <w:tc>
          <w:tcPr>
            <w:tcW w:w="491" w:type="dxa"/>
          </w:tcPr>
          <w:p w14:paraId="0B2FE497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47612688" w14:textId="4DC489D6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6DCE6736" w14:textId="77777777" w:rsidR="006D05AB" w:rsidRPr="00923E35" w:rsidRDefault="00170550" w:rsidP="63E3042E">
            <w:pPr>
              <w:numPr>
                <w:ilvl w:val="0"/>
                <w:numId w:val="6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US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Philip Kotler and Gerald Zaltman (1971): Social Marketing: An Approach to Planned Social Change. The Journal of Marketing, roč. 35, č. 3, s. 3-12.</w:t>
            </w:r>
          </w:p>
          <w:p w14:paraId="751019A7" w14:textId="0B63F250" w:rsidR="00170550" w:rsidRPr="00923E35" w:rsidRDefault="00170550" w:rsidP="63E3042E">
            <w:pPr>
              <w:numPr>
                <w:ilvl w:val="0"/>
                <w:numId w:val="6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US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Andrew Lock and Phil Harris (1996): Political marketing - Vive le difference!. European Journal of Marketing, roč. 30, č. 10-11, s. 14-24.</w:t>
            </w:r>
          </w:p>
        </w:tc>
      </w:tr>
      <w:tr w:rsidR="006D05AB" w:rsidRPr="00923E35" w14:paraId="1BEEE6DC" w14:textId="77777777" w:rsidTr="004F1BBD">
        <w:tc>
          <w:tcPr>
            <w:tcW w:w="491" w:type="dxa"/>
          </w:tcPr>
          <w:p w14:paraId="3E98550B" w14:textId="371B39A0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1350" w:type="dxa"/>
          </w:tcPr>
          <w:p w14:paraId="750358BD" w14:textId="2A7E6F57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19. 10.</w:t>
            </w:r>
          </w:p>
        </w:tc>
        <w:tc>
          <w:tcPr>
            <w:tcW w:w="7169" w:type="dxa"/>
          </w:tcPr>
          <w:p w14:paraId="531D6AB8" w14:textId="59099C89" w:rsidR="006D05AB" w:rsidRPr="00923E35" w:rsidRDefault="1B97A465" w:rsidP="004A41A7">
            <w:pPr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Úvod do politického marketingu - definice, přístup k politickému marketingu, </w:t>
            </w: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rozlišení mezi marketingovými metodami v ekonomii a politice </w:t>
            </w:r>
          </w:p>
          <w:p w14:paraId="73CD3D35" w14:textId="59EDD264" w:rsidR="006D05AB" w:rsidRPr="00923E35" w:rsidRDefault="1B97A465" w:rsidP="1B97A46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   Scammel, M. (1999):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Political Marketing: Lessons for Political Science</w:t>
            </w: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>, str. 718-739 (22 stran anglicky)</w:t>
            </w:r>
          </w:p>
          <w:p w14:paraId="18B9CF62" w14:textId="6D88AFB1" w:rsidR="006D05AB" w:rsidRPr="00923E35" w:rsidRDefault="1B97A465" w:rsidP="1B97A465">
            <w:pPr>
              <w:ind w:left="720" w:hanging="36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   Henneberg, S. C. M.(2002): „Understanding Political marketing“. In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The Idea of Political Marketing, </w:t>
            </w: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93-108 (16 stran anglicky). </w:t>
            </w:r>
          </w:p>
          <w:p w14:paraId="1977A7DA" w14:textId="481A0D1B" w:rsidR="006D05AB" w:rsidRPr="00923E35" w:rsidRDefault="1B97A465" w:rsidP="1B97A465">
            <w:pPr>
              <w:ind w:left="1060" w:hanging="53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 Bradová, E. (2005):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Od lokálních mítinků k politickému marketingu</w:t>
            </w:r>
            <w:r w:rsidRPr="00923E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Brno: MPU, str. 49-57 </w:t>
            </w:r>
          </w:p>
          <w:p w14:paraId="1C705162" w14:textId="003DECF1" w:rsidR="006D05AB" w:rsidRPr="00923E35" w:rsidRDefault="006D05AB" w:rsidP="1B97A465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</w:p>
        </w:tc>
      </w:tr>
      <w:tr w:rsidR="006D05AB" w:rsidRPr="00923E35" w14:paraId="0EE07A6F" w14:textId="77777777" w:rsidTr="004F1BBD">
        <w:tc>
          <w:tcPr>
            <w:tcW w:w="491" w:type="dxa"/>
          </w:tcPr>
          <w:p w14:paraId="7C6BB566" w14:textId="54C5C03A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1350" w:type="dxa"/>
          </w:tcPr>
          <w:p w14:paraId="4B1AFB45" w14:textId="416C4AFC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26. 10.</w:t>
            </w:r>
          </w:p>
        </w:tc>
        <w:tc>
          <w:tcPr>
            <w:tcW w:w="7169" w:type="dxa"/>
          </w:tcPr>
          <w:p w14:paraId="65267196" w14:textId="4C27CD0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Politické kampaně a politický marketing v historické perspektivě</w:t>
            </w:r>
          </w:p>
        </w:tc>
      </w:tr>
      <w:tr w:rsidR="006D05AB" w:rsidRPr="00923E35" w14:paraId="7A1EB75C" w14:textId="77777777" w:rsidTr="004F1BBD">
        <w:tc>
          <w:tcPr>
            <w:tcW w:w="491" w:type="dxa"/>
          </w:tcPr>
          <w:p w14:paraId="329BBEF1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1BF8E989" w14:textId="06BD1081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3AED2E85" w14:textId="77777777" w:rsidR="004B705A" w:rsidRPr="00923E35" w:rsidRDefault="63E3042E" w:rsidP="63E3042E">
            <w:pPr>
              <w:numPr>
                <w:ilvl w:val="0"/>
                <w:numId w:val="8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 xml:space="preserve">Pippa Norris: A Virtuous Circle – kapitola 7 a 8 (dostupné z </w:t>
            </w:r>
            <w:hyperlink r:id="rId9">
              <w:r w:rsidRPr="00923E35">
                <w:rPr>
                  <w:rStyle w:val="Hyperlink"/>
                  <w:rFonts w:ascii="Times New Roman" w:eastAsia="Calibri,Times New Roman" w:hAnsi="Times New Roman" w:cs="Times New Roman"/>
                  <w:sz w:val="22"/>
                  <w:szCs w:val="22"/>
                  <w:lang w:eastAsia="en-GB"/>
                </w:rPr>
                <w:t>http://www.hks.harvard.edu/fs/pnorris/Books/Virtuous%20Circle.htm</w:t>
              </w:r>
            </w:hyperlink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)</w:t>
            </w:r>
          </w:p>
          <w:p w14:paraId="381E8307" w14:textId="77777777" w:rsidR="004B705A" w:rsidRPr="00923E35" w:rsidRDefault="63E3042E" w:rsidP="63E3042E">
            <w:pPr>
              <w:numPr>
                <w:ilvl w:val="0"/>
                <w:numId w:val="8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Eva Bradová: Od lokálních mítinků k politickému marketingu, str. 49-57.</w:t>
            </w:r>
          </w:p>
          <w:p w14:paraId="3723F946" w14:textId="509BC237" w:rsidR="006D05AB" w:rsidRPr="00923E35" w:rsidRDefault="63E3042E" w:rsidP="63E3042E">
            <w:pPr>
              <w:numPr>
                <w:ilvl w:val="0"/>
                <w:numId w:val="8"/>
              </w:numPr>
              <w:textAlignment w:val="center"/>
              <w:rPr>
                <w:rFonts w:ascii="Times New Roman" w:eastAsia="Calibri,Times New Roman" w:hAnsi="Times New Roman" w:cs="Times New Roman"/>
                <w:sz w:val="22"/>
                <w:szCs w:val="22"/>
                <w:lang w:val="en-GB"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sz w:val="22"/>
                <w:szCs w:val="22"/>
                <w:lang w:eastAsia="en-GB"/>
              </w:rPr>
              <w:t>Dominic Wring: The Marketing Colonisation of Political Campaigning.</w:t>
            </w:r>
          </w:p>
        </w:tc>
      </w:tr>
      <w:tr w:rsidR="006D05AB" w:rsidRPr="00923E35" w14:paraId="0951076E" w14:textId="77777777" w:rsidTr="004F1BBD">
        <w:trPr>
          <w:trHeight w:val="241"/>
        </w:trPr>
        <w:tc>
          <w:tcPr>
            <w:tcW w:w="491" w:type="dxa"/>
          </w:tcPr>
          <w:p w14:paraId="0FC487F9" w14:textId="0496CDE2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1350" w:type="dxa"/>
          </w:tcPr>
          <w:p w14:paraId="01A12232" w14:textId="75C560A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2. 11.</w:t>
            </w:r>
          </w:p>
        </w:tc>
        <w:tc>
          <w:tcPr>
            <w:tcW w:w="7169" w:type="dxa"/>
          </w:tcPr>
          <w:p w14:paraId="1DA97743" w14:textId="56CF9CF6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Základní pojmy v marketingu</w:t>
            </w:r>
          </w:p>
        </w:tc>
      </w:tr>
      <w:tr w:rsidR="006D05AB" w:rsidRPr="00923E35" w14:paraId="12C254C7" w14:textId="77777777" w:rsidTr="004F1BBD">
        <w:trPr>
          <w:trHeight w:val="241"/>
        </w:trPr>
        <w:tc>
          <w:tcPr>
            <w:tcW w:w="491" w:type="dxa"/>
          </w:tcPr>
          <w:p w14:paraId="49280592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1F6A95FF" w14:textId="46399210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667C93D2" w14:textId="6938BB54" w:rsidR="006D05AB" w:rsidRPr="00923E35" w:rsidRDefault="63E3042E" w:rsidP="63E3042E">
            <w:pPr>
              <w:numPr>
                <w:ilvl w:val="0"/>
                <w:numId w:val="2"/>
              </w:numPr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23E35">
              <w:rPr>
                <w:rFonts w:ascii="Times New Roman" w:hAnsi="Times New Roman" w:cs="Times New Roman"/>
                <w:sz w:val="22"/>
                <w:szCs w:val="22"/>
              </w:rPr>
              <w:t>Chytilek, R.; Eibl, O.; Matušková, A. (2012). Teorie a metody politického marketingu. Brno: CDK. s. 129-151, 254-268, 323-334.</w:t>
            </w:r>
          </w:p>
          <w:p w14:paraId="570916F3" w14:textId="6938BB54" w:rsidR="006D05AB" w:rsidRPr="00923E35" w:rsidRDefault="63E3042E" w:rsidP="63E3042E">
            <w:pPr>
              <w:numPr>
                <w:ilvl w:val="0"/>
                <w:numId w:val="2"/>
              </w:num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923E35">
              <w:rPr>
                <w:rFonts w:ascii="Times New Roman" w:eastAsia="Calibri" w:hAnsi="Times New Roman" w:cs="Times New Roman"/>
                <w:sz w:val="22"/>
                <w:szCs w:val="22"/>
              </w:rPr>
              <w:t>Ormrod, R., P.; Henneberg, S. C. M.; O’Shaughnessy, N. J. (2013). Political Marketing. Theory and Concepts. London: SAGE Publications. s. 22-36, 96-110.</w:t>
            </w:r>
          </w:p>
        </w:tc>
      </w:tr>
      <w:tr w:rsidR="006D05AB" w:rsidRPr="00923E35" w14:paraId="35860DB8" w14:textId="77777777" w:rsidTr="004F1BBD">
        <w:trPr>
          <w:trHeight w:val="241"/>
        </w:trPr>
        <w:tc>
          <w:tcPr>
            <w:tcW w:w="491" w:type="dxa"/>
          </w:tcPr>
          <w:p w14:paraId="2EB7D612" w14:textId="72C92CF3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1350" w:type="dxa"/>
          </w:tcPr>
          <w:p w14:paraId="5D9C467B" w14:textId="2ACE4FB4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9. 11.</w:t>
            </w:r>
          </w:p>
        </w:tc>
        <w:tc>
          <w:tcPr>
            <w:tcW w:w="7169" w:type="dxa"/>
          </w:tcPr>
          <w:p w14:paraId="4F48C3A2" w14:textId="573E0625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Politický marketing – vztahy mezi aktéry</w:t>
            </w:r>
          </w:p>
        </w:tc>
      </w:tr>
      <w:tr w:rsidR="006D05AB" w:rsidRPr="00923E35" w14:paraId="3D546C1D" w14:textId="77777777" w:rsidTr="004F1BBD">
        <w:trPr>
          <w:trHeight w:val="241"/>
        </w:trPr>
        <w:tc>
          <w:tcPr>
            <w:tcW w:w="491" w:type="dxa"/>
          </w:tcPr>
          <w:p w14:paraId="62D2D5C6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4D6007F6" w14:textId="510C231B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3FC17342" w14:textId="6396754D" w:rsidR="006D05AB" w:rsidRPr="00923E35" w:rsidRDefault="1B97A465" w:rsidP="1B97A465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</w:rPr>
              <w:t>Segmentace, targeting, positioning, marketingové modely JLM, Bruce Newman, definice volebního trhu a vymezení aktérů</w:t>
            </w:r>
          </w:p>
          <w:p w14:paraId="0A31B08E" w14:textId="0A74E60F" w:rsidR="006D05AB" w:rsidRPr="00923E35" w:rsidRDefault="1B97A465" w:rsidP="1B97A465">
            <w:pPr>
              <w:ind w:left="1060" w:hanging="53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</w:rPr>
              <w:t xml:space="preserve">•  Baines, P. (1999):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</w:rPr>
              <w:t xml:space="preserve">Voter Segmentation and Candidate Positioning. </w:t>
            </w:r>
            <w:r w:rsidRPr="00923E35">
              <w:rPr>
                <w:rFonts w:ascii="Times New Roman" w:eastAsia="Times New Roman" w:hAnsi="Times New Roman" w:cs="Times New Roman"/>
              </w:rPr>
              <w:t xml:space="preserve"> In Newman, B. I. (ed.):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</w:rPr>
              <w:t>Handbook of Political Marketing</w:t>
            </w:r>
            <w:r w:rsidRPr="00923E35">
              <w:rPr>
                <w:rFonts w:ascii="Times New Roman" w:eastAsia="Times New Roman" w:hAnsi="Times New Roman" w:cs="Times New Roman"/>
              </w:rPr>
              <w:t>, Thousand Oaks – London – New Delhi: SAGE, str. 403-420. (18 stran anglicky)</w:t>
            </w:r>
          </w:p>
          <w:p w14:paraId="2ACC4F29" w14:textId="18ED133C" w:rsidR="006D05AB" w:rsidRPr="00923E35" w:rsidRDefault="1B97A465" w:rsidP="1B97A465">
            <w:pPr>
              <w:ind w:left="1060" w:hanging="53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</w:rPr>
              <w:t xml:space="preserve">•  Mitchell, P. - Daves, R. (1999): Media PollsCandidate and Campaigns.  In Newman, B. I. (ed.):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</w:rPr>
              <w:t>Handbook of Political Marketing</w:t>
            </w:r>
            <w:r w:rsidRPr="00923E35">
              <w:rPr>
                <w:rFonts w:ascii="Times New Roman" w:eastAsia="Times New Roman" w:hAnsi="Times New Roman" w:cs="Times New Roman"/>
              </w:rPr>
              <w:t>, Thousand Oaks – London – New Delhi: SAGE, str.  177-195.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23E35">
              <w:rPr>
                <w:rFonts w:ascii="Times New Roman" w:eastAsia="Times New Roman" w:hAnsi="Times New Roman" w:cs="Times New Roman"/>
              </w:rPr>
              <w:t>(19 stran anglicky)</w:t>
            </w:r>
          </w:p>
          <w:p w14:paraId="7BD1CE09" w14:textId="21BF964D" w:rsidR="006D05AB" w:rsidRPr="00923E35" w:rsidRDefault="1B97A465" w:rsidP="1B97A465">
            <w:pPr>
              <w:ind w:left="1060" w:hanging="53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23E35">
              <w:rPr>
                <w:rFonts w:ascii="Times New Roman" w:eastAsia="Times New Roman" w:hAnsi="Times New Roman" w:cs="Times New Roman"/>
              </w:rPr>
              <w:t xml:space="preserve">•  Newman, B. I. (1999)  A predictive Model of Voter Behavior.  In Newman, B. I. (ed.): </w:t>
            </w:r>
            <w:r w:rsidRPr="00923E35">
              <w:rPr>
                <w:rFonts w:ascii="Times New Roman" w:eastAsia="Times New Roman" w:hAnsi="Times New Roman" w:cs="Times New Roman"/>
                <w:i/>
                <w:iCs/>
              </w:rPr>
              <w:t>Handbook of Political Marketing</w:t>
            </w:r>
            <w:r w:rsidRPr="00923E35">
              <w:rPr>
                <w:rFonts w:ascii="Times New Roman" w:eastAsia="Times New Roman" w:hAnsi="Times New Roman" w:cs="Times New Roman"/>
              </w:rPr>
              <w:t>, Thousand Oaks – London – New Delhi: SAGE, str. 259-282. (23 stran anglicky),</w:t>
            </w:r>
          </w:p>
          <w:p w14:paraId="781E4BF2" w14:textId="5B398995" w:rsidR="006D05AB" w:rsidRPr="00923E35" w:rsidRDefault="006D05AB" w:rsidP="1B97A465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6D05AB" w:rsidRPr="00923E35" w14:paraId="4F88E87A" w14:textId="77777777" w:rsidTr="004F1BBD">
        <w:trPr>
          <w:trHeight w:val="241"/>
        </w:trPr>
        <w:tc>
          <w:tcPr>
            <w:tcW w:w="491" w:type="dxa"/>
          </w:tcPr>
          <w:p w14:paraId="02F225EA" w14:textId="524B6EA7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1350" w:type="dxa"/>
          </w:tcPr>
          <w:p w14:paraId="1EA52381" w14:textId="32E0F0CF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16. 11.</w:t>
            </w:r>
          </w:p>
        </w:tc>
        <w:tc>
          <w:tcPr>
            <w:tcW w:w="7169" w:type="dxa"/>
          </w:tcPr>
          <w:p w14:paraId="404FC6C2" w14:textId="49A716A9" w:rsidR="006D05AB" w:rsidRPr="00923E35" w:rsidRDefault="6DD4372A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Politická komunikace I – vývoj politické komunikace a role médií</w:t>
            </w:r>
          </w:p>
        </w:tc>
      </w:tr>
      <w:tr w:rsidR="006D05AB" w:rsidRPr="00923E35" w14:paraId="6C581288" w14:textId="77777777" w:rsidTr="004F1BBD">
        <w:trPr>
          <w:trHeight w:val="241"/>
        </w:trPr>
        <w:tc>
          <w:tcPr>
            <w:tcW w:w="491" w:type="dxa"/>
          </w:tcPr>
          <w:p w14:paraId="0B11DB69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471B09B6" w14:textId="15BF2559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3AFF64A2" w14:textId="120D46DA" w:rsidR="006D05AB" w:rsidRPr="00695223" w:rsidRDefault="6DD4372A" w:rsidP="00695223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</w:rPr>
            </w:pPr>
            <w:r w:rsidRPr="00695223">
              <w:rPr>
                <w:rFonts w:ascii="Times New Roman" w:eastAsiaTheme="minorEastAsia" w:hAnsi="Times New Roman" w:cs="Times New Roman"/>
              </w:rPr>
              <w:t xml:space="preserve">Křeček, Jan. 2013. </w:t>
            </w:r>
            <w:r w:rsidRPr="00695223">
              <w:rPr>
                <w:rFonts w:ascii="Times New Roman" w:eastAsiaTheme="minorEastAsia" w:hAnsi="Times New Roman" w:cs="Times New Roman"/>
                <w:i/>
                <w:iCs/>
              </w:rPr>
              <w:t>Politická komunikace. Od res publica po public relations</w:t>
            </w:r>
            <w:r w:rsidRPr="00695223">
              <w:rPr>
                <w:rFonts w:ascii="Times New Roman" w:eastAsiaTheme="minorEastAsia" w:hAnsi="Times New Roman" w:cs="Times New Roman"/>
              </w:rPr>
              <w:t>. Praha: Grada Publishing, kap. 2. a kap. 4. (46 stran česky)</w:t>
            </w:r>
          </w:p>
          <w:p w14:paraId="65BB1C61" w14:textId="45B78DB0" w:rsidR="006D05AB" w:rsidRPr="00695223" w:rsidRDefault="280D4CCF" w:rsidP="00695223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</w:rPr>
            </w:pPr>
            <w:r w:rsidRPr="00695223">
              <w:rPr>
                <w:rFonts w:ascii="Times New Roman" w:eastAsiaTheme="minorEastAsia" w:hAnsi="Times New Roman" w:cs="Times New Roman"/>
              </w:rPr>
              <w:t xml:space="preserve">McQuail, Denis. 2009. </w:t>
            </w:r>
            <w:r w:rsidRPr="00695223">
              <w:rPr>
                <w:rFonts w:ascii="Times New Roman" w:eastAsiaTheme="minorEastAsia" w:hAnsi="Times New Roman" w:cs="Times New Roman"/>
                <w:i/>
                <w:iCs/>
              </w:rPr>
              <w:t>Úvod do teorie masové komunikace</w:t>
            </w:r>
            <w:r w:rsidRPr="00695223">
              <w:rPr>
                <w:rFonts w:ascii="Times New Roman" w:eastAsiaTheme="minorEastAsia" w:hAnsi="Times New Roman" w:cs="Times New Roman"/>
              </w:rPr>
              <w:t>. 5. vydání, Portál, kap. 13 s. 202-227 (25 stran česky)</w:t>
            </w:r>
          </w:p>
          <w:p w14:paraId="32EA0248" w14:textId="7B0A1023" w:rsidR="006D05AB" w:rsidRPr="00695223" w:rsidRDefault="6DD4372A" w:rsidP="00695223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hAnsi="Times New Roman" w:cs="Times New Roman"/>
              </w:rPr>
            </w:pPr>
            <w:r w:rsidRPr="00695223">
              <w:rPr>
                <w:rFonts w:ascii="Times New Roman" w:eastAsiaTheme="minorEastAsia" w:hAnsi="Times New Roman" w:cs="Times New Roman"/>
                <w:b/>
                <w:bCs/>
              </w:rPr>
              <w:t>Doporučená:</w:t>
            </w:r>
          </w:p>
          <w:p w14:paraId="7350584A" w14:textId="6ED639CC" w:rsidR="006D05AB" w:rsidRPr="00695223" w:rsidRDefault="6DD4372A" w:rsidP="00695223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695223">
              <w:rPr>
                <w:rFonts w:ascii="Times New Roman" w:eastAsiaTheme="minorEastAsia" w:hAnsi="Times New Roman" w:cs="Times New Roman"/>
              </w:rPr>
              <w:t xml:space="preserve">Blumler, Jay G, Kavanagh, Denis. 1999: The Third Age of Political Communication: Influences and Features, </w:t>
            </w:r>
            <w:r w:rsidRPr="00695223">
              <w:rPr>
                <w:rFonts w:ascii="Times New Roman" w:eastAsiaTheme="minorEastAsia" w:hAnsi="Times New Roman" w:cs="Times New Roman"/>
                <w:i/>
                <w:iCs/>
              </w:rPr>
              <w:t>Political Communication</w:t>
            </w:r>
            <w:r w:rsidRPr="00695223">
              <w:rPr>
                <w:rFonts w:ascii="Times New Roman" w:eastAsiaTheme="minorEastAsia" w:hAnsi="Times New Roman" w:cs="Times New Roman"/>
              </w:rPr>
              <w:t xml:space="preserve"> 16 (3) (21 stran anglicky).</w:t>
            </w:r>
          </w:p>
        </w:tc>
      </w:tr>
      <w:tr w:rsidR="006D05AB" w:rsidRPr="00923E35" w14:paraId="3B1D49BC" w14:textId="77777777" w:rsidTr="004F1BBD">
        <w:trPr>
          <w:trHeight w:val="241"/>
        </w:trPr>
        <w:tc>
          <w:tcPr>
            <w:tcW w:w="491" w:type="dxa"/>
          </w:tcPr>
          <w:p w14:paraId="2283E6BA" w14:textId="6DA28909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10.</w:t>
            </w:r>
          </w:p>
        </w:tc>
        <w:tc>
          <w:tcPr>
            <w:tcW w:w="1350" w:type="dxa"/>
          </w:tcPr>
          <w:p w14:paraId="393741A4" w14:textId="0F701303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23. 11.</w:t>
            </w:r>
          </w:p>
        </w:tc>
        <w:tc>
          <w:tcPr>
            <w:tcW w:w="7169" w:type="dxa"/>
          </w:tcPr>
          <w:p w14:paraId="17DE02C7" w14:textId="7AADC132" w:rsidR="006D05AB" w:rsidRPr="00923E35" w:rsidRDefault="6DD4372A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Politická komunikace II – mediální účinky a vybrané koncepty</w:t>
            </w:r>
          </w:p>
        </w:tc>
      </w:tr>
      <w:tr w:rsidR="006D05AB" w:rsidRPr="00923E35" w14:paraId="2A16A9E6" w14:textId="77777777" w:rsidTr="004F1BBD">
        <w:trPr>
          <w:trHeight w:val="241"/>
        </w:trPr>
        <w:tc>
          <w:tcPr>
            <w:tcW w:w="491" w:type="dxa"/>
          </w:tcPr>
          <w:p w14:paraId="121620CA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75F4B16F" w14:textId="0BE13929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38218CE0" w14:textId="3CCAA676" w:rsidR="006D05AB" w:rsidRPr="00695223" w:rsidRDefault="280D4CCF" w:rsidP="00695223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ascii="Times New Roman" w:hAnsi="Times New Roman" w:cs="Times New Roman"/>
              </w:rPr>
            </w:pPr>
            <w:r w:rsidRPr="00695223">
              <w:rPr>
                <w:rFonts w:ascii="Times New Roman" w:eastAsiaTheme="majorEastAsia" w:hAnsi="Times New Roman" w:cs="Times New Roman"/>
              </w:rPr>
              <w:t xml:space="preserve">McQuail, Denis. 2009. </w:t>
            </w:r>
            <w:r w:rsidRPr="00695223">
              <w:rPr>
                <w:rFonts w:ascii="Times New Roman" w:eastAsiaTheme="majorEastAsia" w:hAnsi="Times New Roman" w:cs="Times New Roman"/>
                <w:i/>
                <w:iCs/>
              </w:rPr>
              <w:t>Úvod do teorie masové komunikace</w:t>
            </w:r>
            <w:r w:rsidRPr="00695223">
              <w:rPr>
                <w:rFonts w:ascii="Times New Roman" w:eastAsiaTheme="majorEastAsia" w:hAnsi="Times New Roman" w:cs="Times New Roman"/>
              </w:rPr>
              <w:t>. 5. vydání, Portál, kap. 17 a 18, s. 468-517 (49 stran česky)</w:t>
            </w:r>
          </w:p>
          <w:p w14:paraId="0E4949A8" w14:textId="7522C4AE" w:rsidR="006D05AB" w:rsidRPr="00695223" w:rsidRDefault="6DD4372A" w:rsidP="00695223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ascii="Times New Roman" w:hAnsi="Times New Roman" w:cs="Times New Roman"/>
              </w:rPr>
            </w:pPr>
            <w:r w:rsidRPr="00695223">
              <w:rPr>
                <w:rFonts w:ascii="Times New Roman" w:eastAsiaTheme="minorEastAsia" w:hAnsi="Times New Roman" w:cs="Times New Roman"/>
                <w:b/>
                <w:bCs/>
              </w:rPr>
              <w:t>Doporučená:</w:t>
            </w:r>
          </w:p>
          <w:p w14:paraId="4747D72D" w14:textId="103A3096" w:rsidR="006D05AB" w:rsidRPr="00695223" w:rsidRDefault="6DD4372A" w:rsidP="00695223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695223">
              <w:rPr>
                <w:rFonts w:ascii="Times New Roman" w:eastAsiaTheme="majorEastAsia" w:hAnsi="Times New Roman" w:cs="Times New Roman"/>
              </w:rPr>
              <w:t xml:space="preserve">Gauntlett, David. 1998. Ten things wrong with the media „effects“ model. In Roger Dickinson, Ramaswani Harindranath; Olga Linné, (eds.). </w:t>
            </w:r>
            <w:r w:rsidRPr="00695223">
              <w:rPr>
                <w:rFonts w:ascii="Times New Roman" w:eastAsiaTheme="majorEastAsia" w:hAnsi="Times New Roman" w:cs="Times New Roman"/>
                <w:i/>
                <w:iCs/>
              </w:rPr>
              <w:t>Approaches to Audiences – A Reader</w:t>
            </w:r>
            <w:r w:rsidRPr="00695223">
              <w:rPr>
                <w:rFonts w:ascii="Times New Roman" w:eastAsiaTheme="majorEastAsia" w:hAnsi="Times New Roman" w:cs="Times New Roman"/>
              </w:rPr>
              <w:t xml:space="preserve">, Arnold: London. Dostupné online: </w:t>
            </w:r>
            <w:hyperlink r:id="rId10">
              <w:r w:rsidRPr="00695223">
                <w:rPr>
                  <w:rStyle w:val="Hyperlink"/>
                  <w:rFonts w:ascii="Times New Roman" w:eastAsiaTheme="majorEastAsia" w:hAnsi="Times New Roman" w:cs="Times New Roman"/>
                </w:rPr>
                <w:t>http://www.theory.org.uk/david/effects.htm</w:t>
              </w:r>
            </w:hyperlink>
          </w:p>
        </w:tc>
      </w:tr>
      <w:tr w:rsidR="006D05AB" w:rsidRPr="00923E35" w14:paraId="3B80EDE1" w14:textId="77777777" w:rsidTr="004F1BBD">
        <w:trPr>
          <w:trHeight w:val="241"/>
        </w:trPr>
        <w:tc>
          <w:tcPr>
            <w:tcW w:w="491" w:type="dxa"/>
          </w:tcPr>
          <w:p w14:paraId="670C9721" w14:textId="5C32A6AE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11.</w:t>
            </w:r>
          </w:p>
        </w:tc>
        <w:tc>
          <w:tcPr>
            <w:tcW w:w="1350" w:type="dxa"/>
          </w:tcPr>
          <w:p w14:paraId="690EB00B" w14:textId="1E31482A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30. 11.</w:t>
            </w:r>
          </w:p>
        </w:tc>
        <w:tc>
          <w:tcPr>
            <w:tcW w:w="7169" w:type="dxa"/>
          </w:tcPr>
          <w:p w14:paraId="738474C7" w14:textId="63AA3CC3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Zpracování informací (nejen) o politice</w:t>
            </w:r>
          </w:p>
        </w:tc>
      </w:tr>
      <w:tr w:rsidR="006D05AB" w:rsidRPr="00923E35" w14:paraId="3D7296A0" w14:textId="77777777" w:rsidTr="004F1BBD">
        <w:trPr>
          <w:trHeight w:val="241"/>
        </w:trPr>
        <w:tc>
          <w:tcPr>
            <w:tcW w:w="491" w:type="dxa"/>
          </w:tcPr>
          <w:p w14:paraId="660AE8D1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4B927749" w14:textId="3BDB74DA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2F7CCBB8" w14:textId="77777777" w:rsidR="006D05AB" w:rsidRPr="002A127D" w:rsidRDefault="00745510" w:rsidP="002A127D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</w:pPr>
            <w:r w:rsidRPr="002A12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Lodge, Milton – Taber, Charles. </w:t>
            </w:r>
            <w:r w:rsidRPr="002A127D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en-GB" w:eastAsia="en-GB"/>
              </w:rPr>
              <w:t>The Rationalizing Voter: Unconscious Thought in Political Information Processing</w:t>
            </w:r>
            <w:r w:rsidRPr="002A12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. </w:t>
            </w:r>
            <w:r w:rsidR="002A127D" w:rsidRPr="002A12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Available at SSRN: </w:t>
            </w:r>
            <w:hyperlink r:id="rId11" w:history="1">
              <w:r w:rsidR="002A127D" w:rsidRPr="002A127D">
                <w:rPr>
                  <w:rStyle w:val="Hyperlink"/>
                  <w:rFonts w:ascii="Times New Roman" w:eastAsia="Times New Roman" w:hAnsi="Times New Roman" w:cs="Times New Roman"/>
                  <w:bCs/>
                  <w:sz w:val="22"/>
                  <w:szCs w:val="22"/>
                  <w:lang w:val="en-GB" w:eastAsia="en-GB"/>
                </w:rPr>
                <w:t>http://ssrn.com/abstract=1077972</w:t>
              </w:r>
            </w:hyperlink>
            <w:r w:rsidR="002A127D" w:rsidRPr="002A12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 xml:space="preserve"> or </w:t>
            </w:r>
            <w:hyperlink r:id="rId12" w:history="1">
              <w:r w:rsidR="002A127D" w:rsidRPr="002A127D">
                <w:rPr>
                  <w:rStyle w:val="Hyperlink"/>
                  <w:rFonts w:ascii="Times New Roman" w:eastAsia="Times New Roman" w:hAnsi="Times New Roman" w:cs="Times New Roman"/>
                  <w:bCs/>
                  <w:sz w:val="22"/>
                  <w:szCs w:val="22"/>
                  <w:lang w:val="en-GB" w:eastAsia="en-GB"/>
                </w:rPr>
                <w:t>http://dx.doi.org/10.2139/ssrn.1077972</w:t>
              </w:r>
            </w:hyperlink>
          </w:p>
          <w:p w14:paraId="4CF711CC" w14:textId="285B0225" w:rsidR="002A127D" w:rsidRPr="002A127D" w:rsidRDefault="002A127D" w:rsidP="002A127D">
            <w:pPr>
              <w:pStyle w:val="ListParagraph"/>
              <w:numPr>
                <w:ilvl w:val="0"/>
                <w:numId w:val="12"/>
              </w:num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>Taber, Charles – Young, Everett: Political Information Processing. In Huddy, Leonie – Sears, David O. – Levy, Jack S. (eds.)  The Oxford Handbook of Political Psychology. Oxford: Oxford University Press, s. 525-</w:t>
            </w:r>
            <w:r w:rsidRPr="002A12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en-GB"/>
              </w:rPr>
              <w:t>559</w:t>
            </w:r>
          </w:p>
        </w:tc>
      </w:tr>
      <w:tr w:rsidR="006D05AB" w:rsidRPr="00923E35" w14:paraId="1C685456" w14:textId="77777777" w:rsidTr="004F1BBD">
        <w:trPr>
          <w:trHeight w:val="241"/>
        </w:trPr>
        <w:tc>
          <w:tcPr>
            <w:tcW w:w="491" w:type="dxa"/>
          </w:tcPr>
          <w:p w14:paraId="78D89D62" w14:textId="6978193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12.</w:t>
            </w:r>
          </w:p>
        </w:tc>
        <w:tc>
          <w:tcPr>
            <w:tcW w:w="1350" w:type="dxa"/>
          </w:tcPr>
          <w:p w14:paraId="291ABBA7" w14:textId="3F6C649B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7. 12.</w:t>
            </w:r>
          </w:p>
        </w:tc>
        <w:tc>
          <w:tcPr>
            <w:tcW w:w="7169" w:type="dxa"/>
          </w:tcPr>
          <w:p w14:paraId="019DC3AC" w14:textId="26099243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Nové trendy v politické komunikaci a politickém marketingu</w:t>
            </w:r>
          </w:p>
        </w:tc>
      </w:tr>
      <w:tr w:rsidR="006D05AB" w:rsidRPr="00923E35" w14:paraId="7E7FF40E" w14:textId="77777777" w:rsidTr="004F1BBD">
        <w:trPr>
          <w:trHeight w:val="241"/>
        </w:trPr>
        <w:tc>
          <w:tcPr>
            <w:tcW w:w="491" w:type="dxa"/>
          </w:tcPr>
          <w:p w14:paraId="11D4EAB9" w14:textId="77777777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50" w:type="dxa"/>
          </w:tcPr>
          <w:p w14:paraId="303D73A1" w14:textId="7F56FAB4" w:rsidR="006D05AB" w:rsidRPr="00923E35" w:rsidRDefault="006D05AB" w:rsidP="004A41A7">
            <w:pPr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169" w:type="dxa"/>
          </w:tcPr>
          <w:p w14:paraId="0A2DDAB4" w14:textId="5177C061" w:rsidR="006D05AB" w:rsidRPr="00923E35" w:rsidRDefault="63E3042E" w:rsidP="63E3042E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23E35">
              <w:rPr>
                <w:rFonts w:ascii="Times New Roman" w:eastAsia="Calibri" w:hAnsi="Times New Roman" w:cs="Times New Roman"/>
                <w:sz w:val="22"/>
                <w:szCs w:val="22"/>
              </w:rPr>
              <w:t>Street, J. (2004): Celebrity Politicians: Popular Culture and Political Representation. In. British Journal of Politics and International Relations. Vol. 6, s. 435-452.</w:t>
            </w:r>
          </w:p>
          <w:p w14:paraId="7F038D67" w14:textId="21BAF8C9" w:rsidR="006D05AB" w:rsidRPr="00923E35" w:rsidRDefault="63E3042E" w:rsidP="63E3042E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23E35">
              <w:rPr>
                <w:rFonts w:ascii="Times New Roman" w:eastAsia="Calibri" w:hAnsi="Times New Roman" w:cs="Times New Roman"/>
                <w:sz w:val="22"/>
                <w:szCs w:val="22"/>
              </w:rPr>
              <w:t>Drake, P.; Higgins, M. (2006). I’m a Celebrity, Get Me into Politics: The Political Celebrity and the Celebrity Politician. In Holme, S.; Redmond, S. (eds). Framing Celebrity: New Directions in celebrity Culture. London: Routledge. s. 88-100.</w:t>
            </w:r>
          </w:p>
          <w:p w14:paraId="4089B8B6" w14:textId="5BB190E9" w:rsidR="006D05AB" w:rsidRPr="00923E35" w:rsidRDefault="63E3042E" w:rsidP="63E3042E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rFonts w:ascii="Times New Roman" w:eastAsiaTheme="minorEastAsia" w:hAnsi="Times New Roman" w:cs="Times New Roman"/>
                <w:lang w:eastAsia="en-GB"/>
              </w:rPr>
            </w:pPr>
            <w:r w:rsidRPr="00923E35">
              <w:rPr>
                <w:rFonts w:ascii="Times New Roman" w:eastAsia="Calibri" w:hAnsi="Times New Roman" w:cs="Times New Roman"/>
                <w:sz w:val="22"/>
                <w:szCs w:val="22"/>
              </w:rPr>
              <w:t>Richards, B. (2004). The Emotional Deficit in Political Communication. In: Political Communication. Vol. 21, III. s. 339-352.</w:t>
            </w:r>
          </w:p>
        </w:tc>
      </w:tr>
      <w:tr w:rsidR="006D05AB" w:rsidRPr="00923E35" w14:paraId="2F57EF36" w14:textId="77777777" w:rsidTr="004F1BBD">
        <w:trPr>
          <w:trHeight w:val="241"/>
        </w:trPr>
        <w:tc>
          <w:tcPr>
            <w:tcW w:w="491" w:type="dxa"/>
          </w:tcPr>
          <w:p w14:paraId="5892654F" w14:textId="5B80A78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13.</w:t>
            </w:r>
          </w:p>
        </w:tc>
        <w:tc>
          <w:tcPr>
            <w:tcW w:w="1350" w:type="dxa"/>
          </w:tcPr>
          <w:p w14:paraId="0345782C" w14:textId="71A80018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14. 12.</w:t>
            </w:r>
          </w:p>
        </w:tc>
        <w:tc>
          <w:tcPr>
            <w:tcW w:w="7169" w:type="dxa"/>
          </w:tcPr>
          <w:p w14:paraId="1B1FD5C0" w14:textId="551883F1" w:rsidR="006D05AB" w:rsidRPr="00923E35" w:rsidRDefault="63E3042E" w:rsidP="004A41A7">
            <w:pPr>
              <w:textAlignment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923E35">
              <w:rPr>
                <w:rFonts w:ascii="Times New Roman" w:eastAsia="Calibri,Times New Roman" w:hAnsi="Times New Roman" w:cs="Times New Roman"/>
                <w:b/>
                <w:bCs/>
                <w:sz w:val="22"/>
                <w:szCs w:val="22"/>
                <w:lang w:eastAsia="en-GB"/>
              </w:rPr>
              <w:t>Závěrečný písemný test</w:t>
            </w:r>
          </w:p>
        </w:tc>
      </w:tr>
    </w:tbl>
    <w:p w14:paraId="2E763D95" w14:textId="77777777" w:rsidR="006D05AB" w:rsidRPr="00923E35" w:rsidRDefault="006D05AB" w:rsidP="004A41A7">
      <w:pPr>
        <w:textAlignment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75CA722" w14:textId="77777777" w:rsidR="001E247D" w:rsidRPr="00923E35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923E35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923E35" w:rsidRDefault="000679AB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3" w:name="OLE_LINK19"/>
      <w:bookmarkStart w:id="4" w:name="OLE_LINK20"/>
      <w:r w:rsidRPr="00923E35">
        <w:rPr>
          <w:rFonts w:ascii="Times New Roman" w:eastAsia="Times New Roman" w:hAnsi="Times New Roman"/>
          <w:i/>
          <w:iCs/>
          <w:color w:val="FF0000"/>
          <w:lang w:val="cs-CZ"/>
        </w:rPr>
        <w:t>Podvodné plnění studijních povinností</w:t>
      </w:r>
    </w:p>
    <w:p w14:paraId="7D3604D9" w14:textId="77777777" w:rsidR="000679AB" w:rsidRPr="00923E35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</w:rPr>
      </w:pPr>
      <w:r w:rsidRPr="00923E35">
        <w:rPr>
          <w:rFonts w:ascii="Times New Roman" w:eastAsia="Times New Roman" w:hAnsi="Times New Roman"/>
          <w:color w:val="FF0000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923E35" w:rsidRDefault="63E3042E" w:rsidP="000679AB">
      <w:pPr>
        <w:pStyle w:val="Normln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eastAsia="en-GB" w:bidi="x-none"/>
        </w:rPr>
      </w:pPr>
      <w:r w:rsidRPr="00923E35">
        <w:rPr>
          <w:rFonts w:ascii="Times New Roman" w:eastAsia="Times New Roman" w:hAnsi="Times New Roman"/>
          <w:color w:val="FF0000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923E35">
        <w:rPr>
          <w:rFonts w:ascii="Times New Roman" w:eastAsia="Times New Roman" w:hAnsi="Times New Roman"/>
          <w:b/>
          <w:bCs/>
          <w:color w:val="FF0000"/>
          <w:lang w:val="cs-CZ"/>
        </w:rPr>
        <w:t>nepodmínečným vyloučením ze studia</w:t>
      </w:r>
      <w:r w:rsidRPr="00923E35">
        <w:rPr>
          <w:rFonts w:ascii="Times New Roman" w:eastAsia="Times New Roman" w:hAnsi="Times New Roman"/>
          <w:color w:val="FF0000"/>
          <w:lang w:val="cs-CZ"/>
        </w:rPr>
        <w:t>. Studentům doporučujeme co nejdůkladněji se seznámit s problémem plagiátorství a se způsoby, jak se mu vyhnout.</w:t>
      </w:r>
      <w:r w:rsidRPr="00923E35">
        <w:rPr>
          <w:rFonts w:ascii="Times New Roman" w:eastAsia="Times New Roman" w:hAnsi="Times New Roman"/>
          <w:lang w:val="cs-CZ"/>
        </w:rPr>
        <w:t xml:space="preserve"> </w:t>
      </w:r>
      <w:bookmarkEnd w:id="3"/>
      <w:bookmarkEnd w:id="4"/>
    </w:p>
    <w:p w14:paraId="3BF301DC" w14:textId="77777777" w:rsidR="000679AB" w:rsidRPr="00923E35" w:rsidRDefault="000679AB">
      <w:pPr>
        <w:rPr>
          <w:rFonts w:ascii="Times New Roman" w:hAnsi="Times New Roman" w:cs="Times New Roman"/>
        </w:rPr>
      </w:pPr>
    </w:p>
    <w:sectPr w:rsidR="000679AB" w:rsidRPr="00923E35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2758"/>
    <w:multiLevelType w:val="hybridMultilevel"/>
    <w:tmpl w:val="1552691E"/>
    <w:lvl w:ilvl="0" w:tplc="0668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0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6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CC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5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5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C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B48F1"/>
    <w:multiLevelType w:val="hybridMultilevel"/>
    <w:tmpl w:val="10444E06"/>
    <w:lvl w:ilvl="0" w:tplc="A398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753A"/>
    <w:multiLevelType w:val="hybridMultilevel"/>
    <w:tmpl w:val="1B1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41E38"/>
    <w:multiLevelType w:val="hybridMultilevel"/>
    <w:tmpl w:val="1FB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76733"/>
    <w:multiLevelType w:val="hybridMultilevel"/>
    <w:tmpl w:val="AF52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12DE2"/>
    <w:multiLevelType w:val="hybridMultilevel"/>
    <w:tmpl w:val="0556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4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679AB"/>
    <w:rsid w:val="00170550"/>
    <w:rsid w:val="001E247D"/>
    <w:rsid w:val="0028637C"/>
    <w:rsid w:val="002A127D"/>
    <w:rsid w:val="004A41A7"/>
    <w:rsid w:val="004B705A"/>
    <w:rsid w:val="004F1BBD"/>
    <w:rsid w:val="00695223"/>
    <w:rsid w:val="006D05AB"/>
    <w:rsid w:val="00745510"/>
    <w:rsid w:val="00815410"/>
    <w:rsid w:val="00923E35"/>
    <w:rsid w:val="00992E94"/>
    <w:rsid w:val="00AB49C5"/>
    <w:rsid w:val="00C26300"/>
    <w:rsid w:val="00D13752"/>
    <w:rsid w:val="00E32487"/>
    <w:rsid w:val="00F17E87"/>
    <w:rsid w:val="07F8E632"/>
    <w:rsid w:val="1B97A465"/>
    <w:rsid w:val="24557EB7"/>
    <w:rsid w:val="270AABA9"/>
    <w:rsid w:val="280D4CCF"/>
    <w:rsid w:val="63E3042E"/>
    <w:rsid w:val="6DD4372A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link">
    <w:name w:val="Hyperlink"/>
    <w:rsid w:val="00E32487"/>
    <w:rPr>
      <w:color w:val="0000FF"/>
      <w:u w:val="single"/>
    </w:rPr>
  </w:style>
  <w:style w:type="table" w:styleId="TableGrid">
    <w:name w:val="Table Grid"/>
    <w:basedOn w:val="TableNormal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srn.com/abstract=1077972" TargetMode="External"/><Relationship Id="rId12" Type="http://schemas.openxmlformats.org/officeDocument/2006/relationships/hyperlink" Target="http://dx.doi.org/10.2139/ssrn.107797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matuskov@fss.muni.cz" TargetMode="External"/><Relationship Id="rId7" Type="http://schemas.openxmlformats.org/officeDocument/2006/relationships/hyperlink" Target="mailto:aja.mackova@gmail.com" TargetMode="External"/><Relationship Id="rId8" Type="http://schemas.openxmlformats.org/officeDocument/2006/relationships/hyperlink" Target="mailto:mgregor@fss.muni.cz" TargetMode="External"/><Relationship Id="rId9" Type="http://schemas.openxmlformats.org/officeDocument/2006/relationships/hyperlink" Target="http://www.hks.harvard.edu/fs/pnorris/Books/Virtuous%20Circle.htm" TargetMode="External"/><Relationship Id="rId10" Type="http://schemas.openxmlformats.org/officeDocument/2006/relationships/hyperlink" Target="http://www.theory.org.uk/david/eff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1253</Words>
  <Characters>7143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20</cp:revision>
  <dcterms:created xsi:type="dcterms:W3CDTF">2015-09-09T12:46:00Z</dcterms:created>
  <dcterms:modified xsi:type="dcterms:W3CDTF">2015-09-18T14:09:00Z</dcterms:modified>
</cp:coreProperties>
</file>