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B05D" w14:textId="0F675B78" w:rsidR="00E32487" w:rsidRPr="00C45688" w:rsidRDefault="00BA49C0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>POL505</w:t>
      </w:r>
      <w:r w:rsidR="63E3042E" w:rsidRPr="00C45688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>Teorie a koncepty politického marketingu</w:t>
      </w:r>
      <w:r w:rsidR="63E3042E" w:rsidRPr="00C45688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</w:p>
    <w:p w14:paraId="0E58B19C" w14:textId="77777777" w:rsidR="00E32487" w:rsidRPr="00C45688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BA26EA2" w14:textId="77777777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C45688">
          <w:rPr>
            <w:rStyle w:val="Hyperlink"/>
            <w:rFonts w:ascii="Times New Roman" w:eastAsia="Times New Roman" w:hAnsi="Times New Roman"/>
            <w:szCs w:val="24"/>
            <w:lang w:val="cs-CZ"/>
          </w:rPr>
          <w:t>eibl@fss.muni.cz</w:t>
        </w:r>
      </w:hyperlink>
      <w:r w:rsidRPr="00C45688">
        <w:rPr>
          <w:rFonts w:ascii="Times New Roman" w:eastAsia="Times New Roman" w:hAnsi="Times New Roman"/>
          <w:szCs w:val="24"/>
          <w:lang w:val="cs-CZ"/>
        </w:rPr>
        <w:t>)</w:t>
      </w:r>
    </w:p>
    <w:p w14:paraId="7C380ED3" w14:textId="03F4D07C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>Mgr. Alena Macková (</w:t>
      </w:r>
      <w:hyperlink r:id="rId6">
        <w:r w:rsidR="270AABA9" w:rsidRPr="00C45688">
          <w:rPr>
            <w:rStyle w:val="Hyperlink"/>
            <w:rFonts w:ascii="Times New Roman" w:eastAsia="Times New Roman" w:hAnsi="Times New Roman"/>
            <w:szCs w:val="24"/>
            <w:lang w:val="cs-CZ"/>
          </w:rPr>
          <w:t>aja.mackova@gmail.com</w:t>
        </w:r>
      </w:hyperlink>
      <w:r w:rsidRPr="00C45688">
        <w:rPr>
          <w:rFonts w:ascii="Times New Roman" w:eastAsia="Times New Roman" w:hAnsi="Times New Roman"/>
          <w:szCs w:val="24"/>
          <w:lang w:val="cs-CZ"/>
        </w:rPr>
        <w:t>)</w:t>
      </w:r>
    </w:p>
    <w:p w14:paraId="2E5B78C0" w14:textId="40E2392A" w:rsidR="00E32487" w:rsidRPr="00C45688" w:rsidRDefault="270AABA9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>Mgr. Miloš Gregor (</w:t>
      </w:r>
      <w:hyperlink r:id="rId7">
        <w:r w:rsidRPr="00C45688">
          <w:rPr>
            <w:rStyle w:val="Hyperlink"/>
            <w:rFonts w:ascii="Times New Roman" w:eastAsia="Times New Roman" w:hAnsi="Times New Roman"/>
            <w:szCs w:val="24"/>
            <w:lang w:val="cs-CZ"/>
          </w:rPr>
          <w:t>mgregor@fss.muni.cz</w:t>
        </w:r>
      </w:hyperlink>
      <w:r w:rsidRPr="00C45688">
        <w:rPr>
          <w:rFonts w:ascii="Times New Roman" w:eastAsia="Times New Roman" w:hAnsi="Times New Roman"/>
          <w:szCs w:val="24"/>
          <w:lang w:val="cs-CZ"/>
        </w:rPr>
        <w:t xml:space="preserve">) </w:t>
      </w:r>
    </w:p>
    <w:p w14:paraId="19B68841" w14:textId="77777777" w:rsidR="00E32487" w:rsidRPr="00C45688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3E3C41A1" w:rsidR="00E32487" w:rsidRPr="00C45688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  <w:r w:rsidR="00BA49C0" w:rsidRPr="00C45688">
        <w:rPr>
          <w:rFonts w:ascii="Times New Roman" w:eastAsia="Times New Roman" w:hAnsi="Times New Roman"/>
          <w:b/>
          <w:bCs/>
          <w:szCs w:val="24"/>
          <w:lang w:val="cs-CZ"/>
        </w:rPr>
        <w:t>Úterý</w:t>
      </w:r>
      <w:r w:rsidR="00BA49C0" w:rsidRPr="00C45688">
        <w:rPr>
          <w:rFonts w:ascii="Times New Roman" w:eastAsia="Times New Roman" w:hAnsi="Times New Roman"/>
          <w:szCs w:val="24"/>
          <w:lang w:val="cs-CZ"/>
        </w:rPr>
        <w:t>, 15.15 – 16.4</w:t>
      </w:r>
      <w:r w:rsidRPr="00C45688">
        <w:rPr>
          <w:rFonts w:ascii="Times New Roman" w:eastAsia="Times New Roman" w:hAnsi="Times New Roman"/>
          <w:szCs w:val="24"/>
          <w:lang w:val="cs-CZ"/>
        </w:rPr>
        <w:t>5</w:t>
      </w:r>
    </w:p>
    <w:p w14:paraId="49436219" w14:textId="4D54DEA9" w:rsidR="00E32487" w:rsidRPr="00C45688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 xml:space="preserve">Učebna: </w:t>
      </w:r>
      <w:r w:rsidR="00BA49C0" w:rsidRPr="00C45688">
        <w:rPr>
          <w:rFonts w:ascii="Times New Roman" w:eastAsia="Times New Roman" w:hAnsi="Times New Roman"/>
          <w:szCs w:val="24"/>
          <w:lang w:val="cs-CZ"/>
        </w:rPr>
        <w:t>U41</w:t>
      </w:r>
    </w:p>
    <w:p w14:paraId="0E4FB533" w14:textId="77777777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060AD388" w14:textId="77777777" w:rsidR="00153098" w:rsidRPr="00C45688" w:rsidRDefault="00153098" w:rsidP="00153098">
      <w:pPr>
        <w:pStyle w:val="Normln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6861CF47" w14:textId="77777777" w:rsidR="00153098" w:rsidRPr="00C45688" w:rsidRDefault="00153098" w:rsidP="00153098">
      <w:pPr>
        <w:pStyle w:val="Normln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0B59C14C" w14:textId="7777777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Cílem kurzu Marketing politických kampaní je seznámit studenty s vybranými oblastmi moderního politického marketingu – a to zejména z teoretické perspektivy. Studenti se tak postupně seznámí s východisky, které pro politický marketing formuluje teorie racionální volby, dále pak bude pozornost věnována teoretickým konceptům R. Ormroda, J. Lees-Marshment, B. Newmana a dalších; po seznámení s obecnějšími koncepty bude pozornost věnována metodologii výzkumu kampaní, negativním kampaním, permanentním kampaním, brandingu atd.</w:t>
      </w:r>
    </w:p>
    <w:p w14:paraId="0D593FC7" w14:textId="1088B35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 xml:space="preserve">Součástí kurzu je i seminář, v jehož rámci se studenti seznámí se základními východisky pro analýzu volebních trhů. </w:t>
      </w:r>
    </w:p>
    <w:p w14:paraId="33F06D7E" w14:textId="7777777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29A53718" w14:textId="77777777" w:rsidR="00153098" w:rsidRPr="00C45688" w:rsidRDefault="00153098" w:rsidP="00153098">
      <w:pPr>
        <w:pStyle w:val="Normln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 xml:space="preserve">Typ výuky a zkoušky, požadavky na ukončení předmětu: </w:t>
      </w:r>
    </w:p>
    <w:p w14:paraId="423F4FA9" w14:textId="7777777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Výuka probíhá formou přednášek a seminářů. Během semestru musí studenti splnit několik povinností:</w:t>
      </w:r>
    </w:p>
    <w:p w14:paraId="54F9F4F4" w14:textId="77777777" w:rsidR="00A84E5B" w:rsidRPr="00C45688" w:rsidRDefault="00153098" w:rsidP="00153098">
      <w:pPr>
        <w:pStyle w:val="Normln"/>
        <w:numPr>
          <w:ilvl w:val="0"/>
          <w:numId w:val="9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 xml:space="preserve">Vypracovat esej na téma </w:t>
      </w:r>
    </w:p>
    <w:p w14:paraId="785F03BE" w14:textId="77777777" w:rsidR="00A84E5B" w:rsidRPr="00C45688" w:rsidRDefault="00153098" w:rsidP="00A84E5B">
      <w:pPr>
        <w:pStyle w:val="Normln"/>
        <w:numPr>
          <w:ilvl w:val="1"/>
          <w:numId w:val="9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„Politický marketing: příležitost nebo hrozba?“</w:t>
      </w:r>
      <w:r w:rsidR="00A84E5B" w:rsidRPr="00C45688">
        <w:rPr>
          <w:rFonts w:ascii="Times New Roman" w:eastAsia="Times New Roman" w:hAnsi="Times New Roman"/>
          <w:bCs/>
          <w:szCs w:val="24"/>
          <w:lang w:val="cs-CZ"/>
        </w:rPr>
        <w:t>, nebo</w:t>
      </w:r>
    </w:p>
    <w:p w14:paraId="11DFEC3A" w14:textId="06B9C01C" w:rsidR="00153098" w:rsidRPr="00C45688" w:rsidRDefault="00A84E5B" w:rsidP="00A84E5B">
      <w:pPr>
        <w:pStyle w:val="Normln"/>
        <w:numPr>
          <w:ilvl w:val="1"/>
          <w:numId w:val="9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„Jak je to s racionalitou v politice?“</w:t>
      </w:r>
      <w:r w:rsidR="00153098" w:rsidRPr="00C45688">
        <w:rPr>
          <w:rFonts w:ascii="Times New Roman" w:eastAsia="Times New Roman" w:hAnsi="Times New Roman"/>
          <w:bCs/>
          <w:szCs w:val="24"/>
          <w:lang w:val="cs-CZ"/>
        </w:rPr>
        <w:t xml:space="preserve"> (5 NS; 20 b.</w:t>
      </w:r>
      <w:r w:rsidR="0013410D">
        <w:rPr>
          <w:rFonts w:ascii="Times New Roman" w:eastAsia="Times New Roman" w:hAnsi="Times New Roman"/>
          <w:bCs/>
          <w:szCs w:val="24"/>
          <w:lang w:val="cs-CZ"/>
        </w:rPr>
        <w:t>; datum odevzdání: do</w:t>
      </w:r>
      <w:bookmarkStart w:id="0" w:name="_GoBack"/>
      <w:bookmarkEnd w:id="0"/>
      <w:r w:rsidR="0013410D">
        <w:rPr>
          <w:rFonts w:ascii="Times New Roman" w:eastAsia="Times New Roman" w:hAnsi="Times New Roman"/>
          <w:bCs/>
          <w:szCs w:val="24"/>
          <w:lang w:val="cs-CZ"/>
        </w:rPr>
        <w:t xml:space="preserve"> 17. 11.</w:t>
      </w:r>
      <w:r w:rsidR="00153098" w:rsidRPr="00C45688">
        <w:rPr>
          <w:rFonts w:ascii="Times New Roman" w:eastAsia="Times New Roman" w:hAnsi="Times New Roman"/>
          <w:bCs/>
          <w:szCs w:val="24"/>
          <w:lang w:val="cs-CZ"/>
        </w:rPr>
        <w:t>)</w:t>
      </w:r>
    </w:p>
    <w:p w14:paraId="56761AC7" w14:textId="60E760A6" w:rsidR="00153098" w:rsidRPr="00C45688" w:rsidRDefault="00153098" w:rsidP="00153098">
      <w:pPr>
        <w:pStyle w:val="Normln"/>
        <w:numPr>
          <w:ilvl w:val="0"/>
          <w:numId w:val="9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absolvovat průběžné písemné přezkoušení (20 b.)</w:t>
      </w:r>
    </w:p>
    <w:p w14:paraId="0BEE167E" w14:textId="2773AAC8" w:rsidR="00153098" w:rsidRPr="00C45688" w:rsidRDefault="00153098" w:rsidP="00153098">
      <w:pPr>
        <w:pStyle w:val="Normln"/>
        <w:numPr>
          <w:ilvl w:val="0"/>
          <w:numId w:val="9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odevzdat analýzu politického trhu (20 b.)</w:t>
      </w:r>
    </w:p>
    <w:p w14:paraId="47E19D37" w14:textId="1B6B7268" w:rsidR="00153098" w:rsidRPr="00C45688" w:rsidRDefault="00153098" w:rsidP="00153098">
      <w:pPr>
        <w:pStyle w:val="Normln"/>
        <w:numPr>
          <w:ilvl w:val="0"/>
          <w:numId w:val="9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>absolvovat závěrečné písemné přezkoušení (40 b.)</w:t>
      </w:r>
    </w:p>
    <w:p w14:paraId="35591EB9" w14:textId="7777777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36FC6D95" w14:textId="7777777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i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i/>
          <w:szCs w:val="24"/>
          <w:lang w:val="cs-CZ"/>
        </w:rPr>
        <w:t>Analýza politického trhu</w:t>
      </w:r>
    </w:p>
    <w:p w14:paraId="0D04C6D2" w14:textId="77777777" w:rsidR="00153098" w:rsidRPr="00C45688" w:rsidRDefault="00153098" w:rsidP="00153098">
      <w:pPr>
        <w:pStyle w:val="Normln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Cs/>
          <w:szCs w:val="24"/>
          <w:lang w:val="cs-CZ"/>
        </w:rPr>
        <w:t xml:space="preserve">Studenti v roli průzkumníků trhu pro konkrétní politickou stranu (může být fiktivní, ale její ideologické zakotvení a pozice v systému stran musí být zdokumentováno) předloží analýzu </w:t>
      </w:r>
      <w:r w:rsidRPr="00C45688">
        <w:rPr>
          <w:rFonts w:ascii="Times New Roman" w:eastAsia="Times New Roman" w:hAnsi="Times New Roman"/>
          <w:bCs/>
          <w:szCs w:val="24"/>
          <w:lang w:val="cs-CZ"/>
        </w:rPr>
        <w:lastRenderedPageBreak/>
        <w:t>trhu pro konkrétní prostředí (je tedy třeba pracovat s reálnými daty). Na základě této analýzy pak formulují doporučení, kde a jak nejlépe vést kampaň.</w:t>
      </w:r>
    </w:p>
    <w:p w14:paraId="7DF5E142" w14:textId="77777777" w:rsidR="0028637C" w:rsidRPr="00C45688" w:rsidRDefault="0028637C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07AA59FB" w14:textId="199098E8" w:rsidR="00153098" w:rsidRPr="00C45688" w:rsidRDefault="00153098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 xml:space="preserve">Průběžné písemné přezkoušení – struktura testu: </w:t>
      </w:r>
      <w:r w:rsidRPr="00C45688">
        <w:rPr>
          <w:rFonts w:ascii="Times New Roman" w:eastAsia="Times New Roman" w:hAnsi="Times New Roman"/>
          <w:bCs/>
          <w:szCs w:val="24"/>
          <w:lang w:val="cs-CZ"/>
        </w:rPr>
        <w:t>maximum 20 bodů (otevřené otázky; 2 otázky za 10 bodů), délka 20 minut</w:t>
      </w:r>
    </w:p>
    <w:p w14:paraId="3CE46244" w14:textId="63492201" w:rsidR="00E32487" w:rsidRPr="00C45688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>Písemný test</w:t>
      </w:r>
      <w:r w:rsidRPr="00C45688">
        <w:rPr>
          <w:rFonts w:ascii="Times New Roman" w:eastAsia="Times New Roman" w:hAnsi="Times New Roman"/>
          <w:szCs w:val="24"/>
          <w:lang w:val="cs-CZ"/>
        </w:rPr>
        <w:t xml:space="preserve">. Obsah testu </w:t>
      </w: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>odpovídá rozsahu odpřednášených témat a zadané literatury</w:t>
      </w:r>
      <w:r w:rsidR="00153098" w:rsidRPr="00C45688">
        <w:rPr>
          <w:rFonts w:ascii="Times New Roman" w:eastAsia="Times New Roman" w:hAnsi="Times New Roman"/>
          <w:szCs w:val="24"/>
          <w:lang w:val="cs-CZ"/>
        </w:rPr>
        <w:t>. Struktura testu: maximum 40 bodů (otevřené otázky; 4</w:t>
      </w:r>
      <w:r w:rsidRPr="00C45688">
        <w:rPr>
          <w:rFonts w:ascii="Times New Roman" w:eastAsia="Times New Roman" w:hAnsi="Times New Roman"/>
          <w:szCs w:val="24"/>
          <w:lang w:val="cs-CZ"/>
        </w:rPr>
        <w:t xml:space="preserve"> otázky za 20 bodů), délka 60 minut. </w:t>
      </w:r>
    </w:p>
    <w:p w14:paraId="67E67752" w14:textId="77777777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C45688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C45688">
        <w:rPr>
          <w:rFonts w:ascii="Times New Roman" w:eastAsia="Times New Roman" w:hAnsi="Times New Roman"/>
          <w:b/>
          <w:bCs/>
          <w:szCs w:val="24"/>
          <w:lang w:val="cs-CZ"/>
        </w:rPr>
        <w:t>Maximální počet bodu, které je možné v kurzu získat je 100 bodů. Minimální počet bodů pro absolvování kurzu je 60 bodů:</w:t>
      </w:r>
    </w:p>
    <w:p w14:paraId="22E714E2" w14:textId="77777777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 xml:space="preserve">A: </w:t>
      </w:r>
      <w:r w:rsidRPr="00C45688">
        <w:rPr>
          <w:rFonts w:ascii="Times New Roman" w:hAnsi="Times New Roman"/>
          <w:szCs w:val="24"/>
          <w:lang w:val="cs-CZ"/>
        </w:rPr>
        <w:tab/>
      </w:r>
      <w:r w:rsidRPr="00C45688">
        <w:rPr>
          <w:rFonts w:ascii="Times New Roman" w:eastAsia="Times New Roman" w:hAnsi="Times New Roman"/>
          <w:szCs w:val="24"/>
          <w:lang w:val="cs-CZ"/>
        </w:rPr>
        <w:t>100-93</w:t>
      </w:r>
    </w:p>
    <w:p w14:paraId="77A01DA0" w14:textId="5BB630E5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 xml:space="preserve">B: </w:t>
      </w:r>
      <w:r w:rsidRPr="00C45688">
        <w:rPr>
          <w:rFonts w:ascii="Times New Roman" w:hAnsi="Times New Roman"/>
          <w:szCs w:val="24"/>
          <w:lang w:val="cs-CZ"/>
        </w:rPr>
        <w:tab/>
      </w:r>
      <w:r w:rsidRPr="00C45688">
        <w:rPr>
          <w:rFonts w:ascii="Times New Roman" w:eastAsia="Times New Roman" w:hAnsi="Times New Roman"/>
          <w:szCs w:val="24"/>
          <w:lang w:val="cs-CZ"/>
        </w:rPr>
        <w:t>92-84</w:t>
      </w:r>
    </w:p>
    <w:p w14:paraId="0B732745" w14:textId="53A672D1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 xml:space="preserve">C: </w:t>
      </w:r>
      <w:r w:rsidRPr="00C45688">
        <w:rPr>
          <w:rFonts w:ascii="Times New Roman" w:hAnsi="Times New Roman"/>
          <w:szCs w:val="24"/>
          <w:lang w:val="cs-CZ"/>
        </w:rPr>
        <w:tab/>
      </w:r>
      <w:r w:rsidRPr="00C45688">
        <w:rPr>
          <w:rFonts w:ascii="Times New Roman" w:eastAsia="Times New Roman" w:hAnsi="Times New Roman"/>
          <w:szCs w:val="24"/>
          <w:lang w:val="cs-CZ"/>
        </w:rPr>
        <w:t>83-76</w:t>
      </w:r>
    </w:p>
    <w:p w14:paraId="521390CA" w14:textId="759BF971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 xml:space="preserve">D: </w:t>
      </w:r>
      <w:r w:rsidRPr="00C45688">
        <w:rPr>
          <w:rFonts w:ascii="Times New Roman" w:hAnsi="Times New Roman"/>
          <w:szCs w:val="24"/>
          <w:lang w:val="cs-CZ"/>
        </w:rPr>
        <w:tab/>
      </w:r>
      <w:r w:rsidRPr="00C45688">
        <w:rPr>
          <w:rFonts w:ascii="Times New Roman" w:eastAsia="Times New Roman" w:hAnsi="Times New Roman"/>
          <w:szCs w:val="24"/>
          <w:lang w:val="cs-CZ"/>
        </w:rPr>
        <w:t>75-68</w:t>
      </w:r>
    </w:p>
    <w:p w14:paraId="2959D062" w14:textId="2D09545C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 xml:space="preserve">E: </w:t>
      </w:r>
      <w:r w:rsidRPr="00C45688">
        <w:rPr>
          <w:rFonts w:ascii="Times New Roman" w:hAnsi="Times New Roman"/>
          <w:szCs w:val="24"/>
          <w:lang w:val="cs-CZ"/>
        </w:rPr>
        <w:tab/>
      </w:r>
      <w:r w:rsidRPr="00C45688">
        <w:rPr>
          <w:rFonts w:ascii="Times New Roman" w:eastAsia="Times New Roman" w:hAnsi="Times New Roman"/>
          <w:szCs w:val="24"/>
          <w:lang w:val="cs-CZ"/>
        </w:rPr>
        <w:t>67-60</w:t>
      </w:r>
    </w:p>
    <w:p w14:paraId="7BBD6CF1" w14:textId="59F61C2C" w:rsidR="00E32487" w:rsidRPr="00C45688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C45688">
        <w:rPr>
          <w:rFonts w:ascii="Times New Roman" w:eastAsia="Times New Roman" w:hAnsi="Times New Roman"/>
          <w:szCs w:val="24"/>
          <w:lang w:val="cs-CZ"/>
        </w:rPr>
        <w:t xml:space="preserve">F: </w:t>
      </w:r>
      <w:r w:rsidRPr="00C45688">
        <w:rPr>
          <w:rFonts w:ascii="Times New Roman" w:hAnsi="Times New Roman"/>
          <w:szCs w:val="24"/>
          <w:lang w:val="cs-CZ"/>
        </w:rPr>
        <w:tab/>
      </w:r>
      <w:r w:rsidRPr="00C45688">
        <w:rPr>
          <w:rFonts w:ascii="Times New Roman" w:eastAsia="Times New Roman" w:hAnsi="Times New Roman"/>
          <w:szCs w:val="24"/>
          <w:lang w:val="cs-CZ"/>
        </w:rPr>
        <w:t>méně než 60 bodů</w:t>
      </w:r>
    </w:p>
    <w:p w14:paraId="0A95DE1D" w14:textId="77777777" w:rsidR="00E32487" w:rsidRPr="00C45688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DD89620" w14:textId="77777777" w:rsidR="00E32487" w:rsidRPr="00C45688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003"/>
        <w:gridCol w:w="7552"/>
      </w:tblGrid>
      <w:tr w:rsidR="006D05AB" w:rsidRPr="00C45688" w14:paraId="67364523" w14:textId="77777777" w:rsidTr="00026CD4">
        <w:tc>
          <w:tcPr>
            <w:tcW w:w="455" w:type="dxa"/>
            <w:tcBorders>
              <w:bottom w:val="single" w:sz="4" w:space="0" w:color="auto"/>
            </w:tcBorders>
          </w:tcPr>
          <w:p w14:paraId="75362B24" w14:textId="21D65292" w:rsidR="006D05AB" w:rsidRPr="00C45688" w:rsidRDefault="63E3042E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3A21EBB4" w14:textId="721D0779" w:rsidR="006D05AB" w:rsidRPr="00C45688" w:rsidRDefault="003D5332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22</w:t>
            </w:r>
            <w:r w:rsidR="63E3042E"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. 9.</w:t>
            </w:r>
          </w:p>
        </w:tc>
        <w:tc>
          <w:tcPr>
            <w:tcW w:w="7552" w:type="dxa"/>
          </w:tcPr>
          <w:p w14:paraId="2322D126" w14:textId="77777777" w:rsidR="006D05AB" w:rsidRPr="00C45688" w:rsidRDefault="63E3042E" w:rsidP="00026CD4">
            <w:pPr>
              <w:textAlignment w:val="center"/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Úvodní hodina</w:t>
            </w:r>
          </w:p>
          <w:p w14:paraId="09BE6DDC" w14:textId="77777777" w:rsidR="00A84E5B" w:rsidRPr="00C45688" w:rsidRDefault="00A84E5B" w:rsidP="00026CD4">
            <w:pPr>
              <w:textAlignment w:val="center"/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</w:pPr>
          </w:p>
          <w:p w14:paraId="425C3A52" w14:textId="03A52D1A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Svět politiky optikou teorie racionální volby: ideální prostředí pro aplikaci marketingových nástrojů?</w:t>
            </w:r>
          </w:p>
        </w:tc>
      </w:tr>
      <w:tr w:rsidR="006D05AB" w:rsidRPr="00C45688" w14:paraId="2BD80386" w14:textId="77777777" w:rsidTr="00026CD4">
        <w:tc>
          <w:tcPr>
            <w:tcW w:w="455" w:type="dxa"/>
          </w:tcPr>
          <w:p w14:paraId="5ED00416" w14:textId="575C0034" w:rsidR="006D05AB" w:rsidRPr="00C45688" w:rsidRDefault="63E3042E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 xml:space="preserve">    </w:t>
            </w:r>
          </w:p>
        </w:tc>
        <w:tc>
          <w:tcPr>
            <w:tcW w:w="1003" w:type="dxa"/>
          </w:tcPr>
          <w:p w14:paraId="380B24A7" w14:textId="661DE8A7" w:rsidR="006D05AB" w:rsidRPr="00C45688" w:rsidRDefault="006D05A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09C3491D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Povinná literatura:</w:t>
            </w:r>
          </w:p>
          <w:p w14:paraId="23D89CC7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Schumpeter, J. (2004): Kapitalismus, socialismus a demokracie. Brno: CDK – kapitoly XXI-XXIII; s. 268-320.</w:t>
            </w:r>
          </w:p>
          <w:p w14:paraId="48033D75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Hindmoor, A. (2006). Rational Choice. NY: Palgrave Macmillan – kapitola 2 (Anthony Downs and the Spatial Theory of Party Competition; s. 22-48).</w:t>
            </w:r>
          </w:p>
          <w:p w14:paraId="3F599010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Savigny, H. (2008). The problem of political marketing. Continuum – kapitola 2 (...and rational choice theory; s. 29-45).</w:t>
            </w:r>
          </w:p>
          <w:p w14:paraId="69F8987E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Downs, A. (1956): </w:t>
            </w:r>
            <w:r w:rsidRPr="00C4568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An Economic Theory of Political Action in a Democracy. </w:t>
            </w:r>
            <w:r w:rsidRPr="00C45688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The Journal of Political Economy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, Vol. 65, No. 2. (Apr., 1957), pp. 135-150.</w:t>
            </w:r>
          </w:p>
          <w:p w14:paraId="00FEFC15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1197118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Doporučená literatura:</w:t>
            </w:r>
          </w:p>
          <w:p w14:paraId="581479CA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W. Riker (1986): The Art of Political Manipulation. Yale University Press.</w:t>
            </w:r>
          </w:p>
          <w:p w14:paraId="2491180C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S. Merill III, B. Grofman (1999): A Unified Theory of Voting: Directional and Proximity Spatial Models. Cambridge University Press.</w:t>
            </w:r>
          </w:p>
          <w:p w14:paraId="6D5439C8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W. Riker (1988): Liberalism Against Populism: A Confrontation Between the Theory of Democracy and the Theory of Social Choice.</w:t>
            </w:r>
          </w:p>
          <w:p w14:paraId="53399B0D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Waveland Press.</w:t>
            </w:r>
          </w:p>
          <w:p w14:paraId="1E89E9B8" w14:textId="63FE230D" w:rsidR="006D05A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J. S. Coleman, T. J. Fararo (eds., 1992): Rational Choice Theory - Advocacy and Critique. Sage.</w:t>
            </w:r>
          </w:p>
        </w:tc>
      </w:tr>
      <w:tr w:rsidR="006D05AB" w:rsidRPr="00C45688" w14:paraId="6B7926E7" w14:textId="77777777" w:rsidTr="00026CD4">
        <w:tc>
          <w:tcPr>
            <w:tcW w:w="455" w:type="dxa"/>
          </w:tcPr>
          <w:p w14:paraId="190BF0B1" w14:textId="062DE0BF" w:rsidR="006D05AB" w:rsidRPr="00C45688" w:rsidRDefault="63E3042E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2.</w:t>
            </w:r>
          </w:p>
        </w:tc>
        <w:tc>
          <w:tcPr>
            <w:tcW w:w="1003" w:type="dxa"/>
          </w:tcPr>
          <w:p w14:paraId="7A1D74F0" w14:textId="532D5D9C" w:rsidR="006D05AB" w:rsidRPr="00C45688" w:rsidRDefault="003D5332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29</w:t>
            </w:r>
            <w:r w:rsidR="63E3042E"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. 9.</w:t>
            </w:r>
          </w:p>
        </w:tc>
        <w:tc>
          <w:tcPr>
            <w:tcW w:w="7552" w:type="dxa"/>
          </w:tcPr>
          <w:p w14:paraId="571C15B2" w14:textId="75F6F8AB" w:rsidR="006D05A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Teoretické modely v politickém marketingu I</w:t>
            </w:r>
          </w:p>
        </w:tc>
      </w:tr>
      <w:tr w:rsidR="006D05AB" w:rsidRPr="00C45688" w14:paraId="30DBB869" w14:textId="77777777" w:rsidTr="00026CD4">
        <w:tc>
          <w:tcPr>
            <w:tcW w:w="455" w:type="dxa"/>
          </w:tcPr>
          <w:p w14:paraId="5109269D" w14:textId="77777777" w:rsidR="006D05AB" w:rsidRPr="00C45688" w:rsidRDefault="006D05A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671B3338" w14:textId="77777777" w:rsidR="006D05AB" w:rsidRPr="00C45688" w:rsidRDefault="006D05A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2A2071DE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Lees-Marshment, J. (2001a). The product, sales and market-oriented party: How Labour learnt to market the product, not just the presentation. In: European Journal of Marketing, 35, 9-10, s. 1074–1084.</w:t>
            </w:r>
          </w:p>
          <w:p w14:paraId="39BD1D40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Newman, B. I. (1994). The Marketing of the President: Political Marketing as Campaign Strategy. California: Sage Publications.</w:t>
            </w:r>
          </w:p>
          <w:p w14:paraId="271804A8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Wring, D. (1997). Reconciling Marketing with Political Science: Theories of Political Marketing. In: Journal of Marketing Management, 13, 7, s. 651–663.</w:t>
            </w:r>
          </w:p>
          <w:p w14:paraId="5F7763CA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Wring, D. (2002). Conceptualising Political Marketing: A Framework for Election Campaign Analysis. In: O’Shaughnessy, N. J. – Henneberg, S. C. M. (eds.) The Idea of Political Marketing. Westpoint: Praeger, s. 171–185.</w:t>
            </w:r>
          </w:p>
          <w:p w14:paraId="023C3685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Ormrod, R. P. (2005). A Conceptual Model of Political Market Orientation. In: Lees- Marshment, J. – Wymer, W. W. (eds.) Current Issues in Political Marketing. Binghamton: The Haworth Press.</w:t>
            </w:r>
          </w:p>
          <w:p w14:paraId="5B0442A3" w14:textId="77777777" w:rsidR="00A84E5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Ormrod, R. P. (2006). A Critique of the Lees-Marshment Market-Oriented Party Model. In: Politics, 26, 2, s. 110–118.</w:t>
            </w:r>
          </w:p>
          <w:p w14:paraId="1988D18C" w14:textId="4477BC42" w:rsidR="006D05A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O’Cass, A. (2001). Political Marketing: An investigation of the political marketing concept and political market orientation in Australian politics. In: European Journal of Marketing, 35, 9/10, s. 1003–1025.</w:t>
            </w:r>
          </w:p>
        </w:tc>
      </w:tr>
      <w:tr w:rsidR="006D05AB" w:rsidRPr="00C45688" w14:paraId="5C466324" w14:textId="77777777" w:rsidTr="00026CD4">
        <w:tc>
          <w:tcPr>
            <w:tcW w:w="455" w:type="dxa"/>
          </w:tcPr>
          <w:p w14:paraId="10A704F4" w14:textId="135651B8" w:rsidR="006D05AB" w:rsidRPr="00C45688" w:rsidRDefault="63E3042E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3.</w:t>
            </w:r>
          </w:p>
        </w:tc>
        <w:tc>
          <w:tcPr>
            <w:tcW w:w="1003" w:type="dxa"/>
          </w:tcPr>
          <w:p w14:paraId="7275BD35" w14:textId="05DC3966" w:rsidR="006D05AB" w:rsidRPr="00C45688" w:rsidRDefault="003D5332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6</w:t>
            </w:r>
            <w:r w:rsidR="63E3042E"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. 10.</w:t>
            </w:r>
          </w:p>
        </w:tc>
        <w:tc>
          <w:tcPr>
            <w:tcW w:w="7552" w:type="dxa"/>
          </w:tcPr>
          <w:p w14:paraId="29E89FC7" w14:textId="10B6F116" w:rsidR="006D05A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Teoretické modely v politickém marketingu II</w:t>
            </w:r>
          </w:p>
        </w:tc>
      </w:tr>
      <w:tr w:rsidR="006D05AB" w:rsidRPr="00C45688" w14:paraId="04C5DB31" w14:textId="77777777" w:rsidTr="00026CD4">
        <w:tc>
          <w:tcPr>
            <w:tcW w:w="455" w:type="dxa"/>
          </w:tcPr>
          <w:p w14:paraId="5E68D513" w14:textId="77777777" w:rsidR="006D05AB" w:rsidRPr="00C45688" w:rsidRDefault="006D05A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76C32DBD" w14:textId="406ECE8C" w:rsidR="006D05AB" w:rsidRPr="00C45688" w:rsidRDefault="006D05A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38BEA4D2" w14:textId="09B2F37A" w:rsidR="006D05AB" w:rsidRPr="00C45688" w:rsidRDefault="00A84E5B" w:rsidP="00026CD4">
            <w:pPr>
              <w:textAlignment w:val="center"/>
              <w:rPr>
                <w:rFonts w:ascii="Times New Roman" w:eastAsia="Calibri,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>Viz 29. 9.</w:t>
            </w:r>
          </w:p>
        </w:tc>
      </w:tr>
      <w:tr w:rsidR="006D05AB" w:rsidRPr="00C45688" w14:paraId="5ABF9E57" w14:textId="77777777" w:rsidTr="00026CD4">
        <w:tc>
          <w:tcPr>
            <w:tcW w:w="455" w:type="dxa"/>
          </w:tcPr>
          <w:p w14:paraId="4A61A2C4" w14:textId="042A48B3" w:rsidR="006D05AB" w:rsidRPr="00C45688" w:rsidRDefault="63E3042E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4.</w:t>
            </w:r>
          </w:p>
        </w:tc>
        <w:tc>
          <w:tcPr>
            <w:tcW w:w="1003" w:type="dxa"/>
          </w:tcPr>
          <w:p w14:paraId="1EAE1538" w14:textId="5024FD6F" w:rsidR="006D05AB" w:rsidRPr="00C45688" w:rsidRDefault="003D5332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13</w:t>
            </w:r>
            <w:r w:rsidR="63E3042E"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. 10.</w:t>
            </w:r>
          </w:p>
        </w:tc>
        <w:tc>
          <w:tcPr>
            <w:tcW w:w="7552" w:type="dxa"/>
          </w:tcPr>
          <w:p w14:paraId="1770BAEC" w14:textId="4F622665" w:rsidR="006D05AB" w:rsidRPr="00C45688" w:rsidRDefault="00A84E5B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Předvolební výzkumy (veřejného mínění): zpravodajský žánr, barometr pro voliče nebo pomůcka pro stranické plánovače?</w:t>
            </w:r>
          </w:p>
        </w:tc>
      </w:tr>
      <w:tr w:rsidR="00C45688" w:rsidRPr="00C45688" w14:paraId="05B50B3D" w14:textId="77777777" w:rsidTr="00026CD4">
        <w:tc>
          <w:tcPr>
            <w:tcW w:w="455" w:type="dxa"/>
          </w:tcPr>
          <w:p w14:paraId="0B2FE497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47612688" w14:textId="541CB764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16379D43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Povinná literatura:</w:t>
            </w:r>
          </w:p>
          <w:p w14:paraId="6E98CC35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Asch, S. E. (1955): Opinions and Social Pressure.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Scientific Američan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 193(5): 31-35.</w:t>
            </w:r>
          </w:p>
          <w:p w14:paraId="76DF0848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Crespi, I. (1980): Polls as Journalism. </w:t>
            </w:r>
            <w:r w:rsidRPr="00C45688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Public Opinion Quarterly 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44(4): 462-476.</w:t>
            </w:r>
          </w:p>
          <w:p w14:paraId="654DBC3F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Chytilek, R. (2010): Volební průzkumy. In. Balík, S. a kol.: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Volby do Poslanecké sněmovny v roce 2010.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 Brno: CDK, 135-158.</w:t>
            </w:r>
          </w:p>
          <w:p w14:paraId="723BB418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Lebeda, T. (2004): Výzkumy volebních výsledků v konfrontaci s volebními výsledky. In Krejčí, J. (ed.):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Kvalita výzkumu volebních preferencí. 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Praha: SOÚ, 97-118.</w:t>
            </w:r>
          </w:p>
          <w:p w14:paraId="7778FC8B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Lebeda, T., Krejčí, J., Leontiyeva, Y. (2005):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Volební preference – jak jim správně porozumět.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 On-line, dostupné z &lt; </w:t>
            </w:r>
            <w:hyperlink r:id="rId8" w:history="1">
              <w:r w:rsidRPr="00C45688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http://www.cvvm.cas.cz/upl/nase_spolecnost/100049s_lebeda-vyzkumy.pdf</w:t>
              </w:r>
            </w:hyperlink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&gt;.</w:t>
            </w:r>
          </w:p>
          <w:p w14:paraId="777D5C33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  <w:p w14:paraId="1F470C89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Doporučená literatura:</w:t>
            </w:r>
          </w:p>
          <w:p w14:paraId="03B8AEED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Eibl, O. (2006): Předvolební průzkumy a jejich možný dopad na chování aktérů politické soutěže. In Čaloud, D., Foltýn, T., Havlík, V. a Matušková, A. (eds.):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Volby do Poslanecké sněmovny v roce 2006</w:t>
            </w:r>
          </w:p>
          <w:p w14:paraId="5F1B74B1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Fleitas, D. W. (1971): </w:t>
            </w:r>
            <w:r w:rsidRPr="00C4568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Bandwagon and Underdog Effects in Minimal-Information Elections. </w:t>
            </w:r>
            <w:r w:rsidRPr="00C45688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The American Political Science Review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 65: 2, str. 434-438.</w:t>
            </w:r>
          </w:p>
          <w:p w14:paraId="3B5885CA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Kostelecký, T. (2005): Model predikce výsledků voleb - alternativní přístup k odhadům volebních výsledků ve volebních obvodech.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Sociologický časopis 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41(1),  79-101.</w:t>
            </w:r>
          </w:p>
          <w:p w14:paraId="4E1167E7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Lebeda, T. (2003): Průzkumy volebních preferencí před volbami do Sněmovny 2002.</w:t>
            </w:r>
          </w:p>
          <w:p w14:paraId="0CCBFABD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Srovnání výzkumů agentur CVVM, STEM a TNSF. </w:t>
            </w:r>
            <w:r w:rsidRPr="00C45688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Politologický časopis </w:t>
            </w:r>
            <w:r w:rsidRPr="00C45688">
              <w:rPr>
                <w:rFonts w:ascii="Times New Roman" w:eastAsia="Times New Roman" w:hAnsi="Times New Roman" w:cs="Times New Roman"/>
                <w:iCs/>
                <w:lang w:eastAsia="en-GB"/>
              </w:rPr>
              <w:t>10(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1): 22–37. </w:t>
            </w:r>
          </w:p>
          <w:p w14:paraId="085ED4C5" w14:textId="77777777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McAllister, I – Studlar, T. (1991):</w:t>
            </w:r>
            <w:r w:rsidRPr="00C4568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Bandwagon, Underdog, or Projection? Opinion Polls and Electoral Choice in Britain, 1979-1987. </w:t>
            </w:r>
            <w:r w:rsidRPr="00C45688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The Journal of Politics 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.53(3): 720-741</w:t>
            </w:r>
          </w:p>
          <w:p w14:paraId="751019A7" w14:textId="6CB45CB4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lang w:eastAsia="en-GB"/>
              </w:rPr>
            </w:pPr>
          </w:p>
        </w:tc>
      </w:tr>
      <w:tr w:rsidR="00C45688" w:rsidRPr="00C45688" w14:paraId="1BEEE6DC" w14:textId="77777777" w:rsidTr="00026CD4">
        <w:tc>
          <w:tcPr>
            <w:tcW w:w="455" w:type="dxa"/>
          </w:tcPr>
          <w:p w14:paraId="3E98550B" w14:textId="371B39A0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5.</w:t>
            </w:r>
          </w:p>
        </w:tc>
        <w:tc>
          <w:tcPr>
            <w:tcW w:w="1003" w:type="dxa"/>
          </w:tcPr>
          <w:p w14:paraId="750358BD" w14:textId="562CB519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20. 10.</w:t>
            </w:r>
          </w:p>
        </w:tc>
        <w:tc>
          <w:tcPr>
            <w:tcW w:w="7552" w:type="dxa"/>
          </w:tcPr>
          <w:p w14:paraId="1C705162" w14:textId="5252FCBE" w:rsidR="00C45688" w:rsidRPr="00C45688" w:rsidRDefault="00C45688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Permanentní kampaň, aneb když boj o voliče nikdy nekončí</w:t>
            </w:r>
          </w:p>
        </w:tc>
      </w:tr>
      <w:tr w:rsidR="00C45688" w:rsidRPr="00C45688" w14:paraId="3B8D0042" w14:textId="77777777" w:rsidTr="00026CD4">
        <w:tc>
          <w:tcPr>
            <w:tcW w:w="455" w:type="dxa"/>
          </w:tcPr>
          <w:p w14:paraId="6B9B050B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351D618C" w14:textId="5E555C60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3E46F747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Povinná literatura:</w:t>
            </w:r>
          </w:p>
          <w:p w14:paraId="43894512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Heclo, H. (2000): Campaigning and Governing: A Conspectus. In Ornstein, J. N. and Mann, T. E. (eds.): The Permanent Campaign and Its Future. Washington: American Enterprise Institute and The Brookings Institution, s. 1-37.</w:t>
            </w:r>
          </w:p>
          <w:p w14:paraId="042B9B0F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Loomis, B. A. (2000): The Never Ending Story: Campaigns without Elections. In Ornstein, J. N. and Mann, T. E. (eds.): The Permanent Campaign and Its Future. Washington: American Enterprise Institute and The Brookings Institution, s. 162-184.</w:t>
            </w:r>
          </w:p>
          <w:p w14:paraId="4333F6B9" w14:textId="2BD5F1EE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Needham, C. (2005). Brand leaders: Clinton, Blair and the limitations of the permanent campaign.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Polit Stud-london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53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(2), 343-361.</w:t>
            </w:r>
          </w:p>
        </w:tc>
      </w:tr>
      <w:tr w:rsidR="00C45688" w:rsidRPr="00C45688" w14:paraId="0EE07A6F" w14:textId="77777777" w:rsidTr="00026CD4">
        <w:tc>
          <w:tcPr>
            <w:tcW w:w="455" w:type="dxa"/>
          </w:tcPr>
          <w:p w14:paraId="7C6BB566" w14:textId="54C5C03A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6.</w:t>
            </w:r>
          </w:p>
        </w:tc>
        <w:tc>
          <w:tcPr>
            <w:tcW w:w="1003" w:type="dxa"/>
          </w:tcPr>
          <w:p w14:paraId="4B1AFB45" w14:textId="1E992C5B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27. 10.</w:t>
            </w:r>
          </w:p>
        </w:tc>
        <w:tc>
          <w:tcPr>
            <w:tcW w:w="7552" w:type="dxa"/>
          </w:tcPr>
          <w:p w14:paraId="65267196" w14:textId="024A236F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Negativní kampaň</w:t>
            </w:r>
          </w:p>
        </w:tc>
      </w:tr>
      <w:tr w:rsidR="00C45688" w:rsidRPr="00C45688" w14:paraId="7A1EB75C" w14:textId="77777777" w:rsidTr="00026CD4">
        <w:tc>
          <w:tcPr>
            <w:tcW w:w="455" w:type="dxa"/>
          </w:tcPr>
          <w:p w14:paraId="329BBEF1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1BF8E989" w14:textId="04C35556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1B9EE68F" w14:textId="77777777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b/>
                <w:u w:val="single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u w:val="single"/>
                <w:lang w:eastAsia="en-GB"/>
              </w:rPr>
              <w:t>Povinná literatura:</w:t>
            </w:r>
          </w:p>
          <w:p w14:paraId="39FFADA1" w14:textId="77777777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>Mark, D. (2006): </w:t>
            </w:r>
            <w:r w:rsidRPr="00C45688">
              <w:rPr>
                <w:rFonts w:ascii="Times New Roman" w:eastAsia="Calibri,Times New Roman" w:hAnsi="Times New Roman" w:cs="Times New Roman"/>
                <w:i/>
                <w:iCs/>
                <w:lang w:eastAsia="en-GB"/>
              </w:rPr>
              <w:t>Going dirty: the art of negative campaigning</w:t>
            </w: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>. Lanham : Rowman &amp; Littlefield Publishers, str. 1-17, 39-54.</w:t>
            </w:r>
          </w:p>
          <w:p w14:paraId="20B4BD60" w14:textId="77777777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>Kahn, K.F. - Kenney, P.J. (1999): Do Negative Campaigns Mobilize or Suppress Turnout? Clarifying the Relationship between Negativity and Participation, The American Political Science Review, Vol. 93, No. 4, Pp. 877 – 889</w:t>
            </w:r>
          </w:p>
          <w:p w14:paraId="50D1D514" w14:textId="77777777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b/>
                <w:u w:val="single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u w:val="single"/>
                <w:lang w:eastAsia="en-GB"/>
              </w:rPr>
              <w:t>Doporučená literatura:</w:t>
            </w:r>
          </w:p>
          <w:p w14:paraId="1CE84BDD" w14:textId="77777777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 xml:space="preserve">Ansolabehre, S. - Iyengar, S. - Simon, A. - Valentino, N. (1994): Does Attack Advertising Demobilize the Electorate? </w:t>
            </w:r>
            <w:r w:rsidRPr="00C45688">
              <w:rPr>
                <w:rFonts w:ascii="Times New Roman" w:eastAsia="Calibri,Times New Roman" w:hAnsi="Times New Roman" w:cs="Times New Roman"/>
                <w:i/>
                <w:lang w:eastAsia="en-GB"/>
              </w:rPr>
              <w:t>The American Political Science Review</w:t>
            </w: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 xml:space="preserve"> 88(4):  829 – 838.</w:t>
            </w:r>
          </w:p>
          <w:p w14:paraId="3723F946" w14:textId="1A22ACDD" w:rsidR="00C45688" w:rsidRPr="00C45688" w:rsidRDefault="00C45688" w:rsidP="00026CD4">
            <w:pPr>
              <w:textAlignment w:val="center"/>
              <w:rPr>
                <w:rFonts w:ascii="Times New Roman" w:eastAsia="Calibri,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 xml:space="preserve">Brooks, D.J. - Geer, J.G. (2007): Beyond Negativity: The Effects of Incivility on the Electorate, </w:t>
            </w:r>
            <w:r w:rsidRPr="00C45688">
              <w:rPr>
                <w:rFonts w:ascii="Times New Roman" w:eastAsia="Calibri,Times New Roman" w:hAnsi="Times New Roman" w:cs="Times New Roman"/>
                <w:i/>
                <w:lang w:eastAsia="en-GB"/>
              </w:rPr>
              <w:t>Americal Journal of Political Science</w:t>
            </w:r>
            <w:r w:rsidRPr="00C45688">
              <w:rPr>
                <w:rFonts w:ascii="Times New Roman" w:eastAsia="Calibri,Times New Roman" w:hAnsi="Times New Roman" w:cs="Times New Roman"/>
                <w:lang w:eastAsia="en-GB"/>
              </w:rPr>
              <w:t xml:space="preserve">  51(1): 1-16.</w:t>
            </w:r>
          </w:p>
        </w:tc>
      </w:tr>
      <w:tr w:rsidR="00C45688" w:rsidRPr="00C45688" w14:paraId="0951076E" w14:textId="77777777" w:rsidTr="00026CD4">
        <w:trPr>
          <w:trHeight w:val="241"/>
        </w:trPr>
        <w:tc>
          <w:tcPr>
            <w:tcW w:w="455" w:type="dxa"/>
          </w:tcPr>
          <w:p w14:paraId="0FC487F9" w14:textId="0496CDE2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7.</w:t>
            </w:r>
          </w:p>
        </w:tc>
        <w:tc>
          <w:tcPr>
            <w:tcW w:w="1003" w:type="dxa"/>
          </w:tcPr>
          <w:p w14:paraId="01A12232" w14:textId="4C41A2EC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3. 11.</w:t>
            </w:r>
          </w:p>
        </w:tc>
        <w:tc>
          <w:tcPr>
            <w:tcW w:w="7552" w:type="dxa"/>
          </w:tcPr>
          <w:p w14:paraId="1DA97743" w14:textId="14F06220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Branding – politika jako značka, osobnostní rozměr politiky</w:t>
            </w:r>
          </w:p>
        </w:tc>
      </w:tr>
      <w:tr w:rsidR="00C45688" w:rsidRPr="00C45688" w14:paraId="12C254C7" w14:textId="77777777" w:rsidTr="00026CD4">
        <w:trPr>
          <w:trHeight w:val="241"/>
        </w:trPr>
        <w:tc>
          <w:tcPr>
            <w:tcW w:w="455" w:type="dxa"/>
          </w:tcPr>
          <w:p w14:paraId="49280592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1F6A95FF" w14:textId="5CE61080" w:rsidR="00C45688" w:rsidRPr="00C45688" w:rsidRDefault="00E312C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Průběžný test</w:t>
            </w:r>
          </w:p>
        </w:tc>
        <w:tc>
          <w:tcPr>
            <w:tcW w:w="7552" w:type="dxa"/>
          </w:tcPr>
          <w:p w14:paraId="22A71553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b/>
                <w:u w:val="single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b/>
                <w:u w:val="single"/>
                <w:lang w:eastAsia="en-GB"/>
              </w:rPr>
              <w:t>Povinná literatura:</w:t>
            </w:r>
          </w:p>
          <w:p w14:paraId="7EE9C513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Bettman, J. R. - Sujan, M. (1989): </w:t>
            </w:r>
            <w:r w:rsidRPr="00C45688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 xml:space="preserve">The Effects of Brand Positioning Strategies on Consumers' Brand and Category Perceptions: Some Insights from Schema Research, 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Journal of Marketing Research, roč. 26, č. 4, s. 454-467. </w:t>
            </w:r>
          </w:p>
          <w:p w14:paraId="693A6562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Needham, C. (2005). Brand Leaders: Clinton, Blair and the Limitations of the Permanent Campaign. In: </w:t>
            </w:r>
            <w:r w:rsidRPr="00C45688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>Political Studies</w:t>
            </w:r>
            <w:r w:rsidRPr="00C45688">
              <w:rPr>
                <w:rFonts w:ascii="Times New Roman" w:eastAsiaTheme="minorEastAsia" w:hAnsi="Times New Roman" w:cs="Times New Roman"/>
                <w:iCs/>
                <w:lang w:eastAsia="en-GB"/>
              </w:rPr>
              <w:t xml:space="preserve">, 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53, 6, s. 343–361. </w:t>
            </w:r>
          </w:p>
          <w:p w14:paraId="005047A2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Needham, C. (2006). Brands and Political Loyalty. In: </w:t>
            </w:r>
            <w:r w:rsidRPr="00C45688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>Brand Management,</w:t>
            </w:r>
            <w:r w:rsidRPr="00C45688">
              <w:rPr>
                <w:rFonts w:ascii="Times New Roman" w:eastAsiaTheme="minorEastAsia" w:hAnsi="Times New Roman" w:cs="Times New Roman"/>
                <w:iCs/>
                <w:lang w:eastAsia="en-GB"/>
              </w:rPr>
              <w:t xml:space="preserve"> 3, 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13, s. 178–87. Text dostupný on-line: &lt;</w:t>
            </w:r>
            <w:hyperlink r:id="rId9" w:history="1">
              <w:r w:rsidRPr="00C45688">
                <w:rPr>
                  <w:rStyle w:val="Hyperlink"/>
                  <w:rFonts w:ascii="Times New Roman" w:eastAsiaTheme="minorEastAsia" w:hAnsi="Times New Roman" w:cs="Times New Roman"/>
                  <w:lang w:eastAsia="en-GB"/>
                </w:rPr>
                <w:t>http://www.scribd.com/doc/6830773/Special-issue-papers-Brands-and-political-loyalty-2005</w:t>
              </w:r>
            </w:hyperlink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&gt;.</w:t>
            </w:r>
          </w:p>
          <w:p w14:paraId="22D8BBF7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Scammell, M. (2007). Political Brands and Consumer Citizens: The Rebranding of Tony Blair. In: </w:t>
            </w:r>
            <w:r w:rsidRPr="00C45688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>The ANNALS of the American Academy of Political and Social Science</w:t>
            </w:r>
            <w:r w:rsidRPr="00C45688">
              <w:rPr>
                <w:rFonts w:ascii="Times New Roman" w:eastAsiaTheme="minorEastAsia" w:hAnsi="Times New Roman" w:cs="Times New Roman"/>
                <w:iCs/>
                <w:lang w:eastAsia="en-GB"/>
              </w:rPr>
              <w:t xml:space="preserve">, 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611, 1, s. 176–192.</w:t>
            </w:r>
          </w:p>
          <w:p w14:paraId="6FAFA95A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</w:p>
          <w:p w14:paraId="4100D9E1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b/>
                <w:u w:val="single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b/>
                <w:u w:val="single"/>
                <w:lang w:eastAsia="en-GB"/>
              </w:rPr>
              <w:t>Doporučená literatura:</w:t>
            </w:r>
          </w:p>
          <w:p w14:paraId="58B37410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Keller, K. L. (2007): </w:t>
            </w:r>
            <w:r w:rsidRPr="00C45688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>Strategické řízení značky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. Praha: Grada publishing.</w:t>
            </w:r>
          </w:p>
          <w:p w14:paraId="77787628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Klein, N. (2005): </w:t>
            </w:r>
            <w:r w:rsidRPr="00C45688">
              <w:rPr>
                <w:rFonts w:ascii="Times New Roman" w:eastAsiaTheme="minorEastAsia" w:hAnsi="Times New Roman" w:cs="Times New Roman"/>
                <w:i/>
                <w:lang w:eastAsia="en-GB"/>
              </w:rPr>
              <w:t>Bez loga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. Praha: Argo.</w:t>
            </w:r>
          </w:p>
          <w:p w14:paraId="6359CF65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Mark, M. – Pearson, C. S. (2001): </w:t>
            </w:r>
            <w:r w:rsidRPr="00C45688">
              <w:rPr>
                <w:rFonts w:ascii="Times New Roman" w:eastAsiaTheme="minorEastAsia" w:hAnsi="Times New Roman" w:cs="Times New Roman"/>
                <w:i/>
                <w:lang w:eastAsia="en-GB"/>
              </w:rPr>
              <w:t xml:space="preserve">The Hero and the Outlaw. 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New York: McGraw-Hill.</w:t>
            </w:r>
          </w:p>
          <w:p w14:paraId="07764111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Plummer, J. T. (1984): How personality makes a difference, Journal of advertising research, roč. 24, č. 6, s. 27-31. </w:t>
            </w:r>
          </w:p>
          <w:p w14:paraId="570916F3" w14:textId="41AD7A6D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</w:p>
        </w:tc>
      </w:tr>
      <w:tr w:rsidR="00C45688" w:rsidRPr="00C45688" w14:paraId="35860DB8" w14:textId="77777777" w:rsidTr="00026CD4">
        <w:trPr>
          <w:trHeight w:val="241"/>
        </w:trPr>
        <w:tc>
          <w:tcPr>
            <w:tcW w:w="455" w:type="dxa"/>
          </w:tcPr>
          <w:p w14:paraId="2EB7D612" w14:textId="72C92CF3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8.</w:t>
            </w:r>
          </w:p>
        </w:tc>
        <w:tc>
          <w:tcPr>
            <w:tcW w:w="1003" w:type="dxa"/>
          </w:tcPr>
          <w:p w14:paraId="5D9C467B" w14:textId="592EE0D4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10. 11.</w:t>
            </w:r>
          </w:p>
        </w:tc>
        <w:tc>
          <w:tcPr>
            <w:tcW w:w="7552" w:type="dxa"/>
          </w:tcPr>
          <w:p w14:paraId="4F48C3A2" w14:textId="1CB3C2FF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Nová média v politickém marketingu </w:t>
            </w:r>
          </w:p>
        </w:tc>
      </w:tr>
      <w:tr w:rsidR="00C45688" w:rsidRPr="00C45688" w14:paraId="3D546C1D" w14:textId="77777777" w:rsidTr="00026CD4">
        <w:trPr>
          <w:trHeight w:val="241"/>
        </w:trPr>
        <w:tc>
          <w:tcPr>
            <w:tcW w:w="455" w:type="dxa"/>
          </w:tcPr>
          <w:p w14:paraId="62D2D5C6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4D6007F6" w14:textId="25A16B6F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02D8D121" w14:textId="77777777" w:rsidR="00C45688" w:rsidRPr="00C45688" w:rsidRDefault="66A5A2E9" w:rsidP="00026CD4">
            <w:pPr>
              <w:textAlignment w:val="center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66A5A2E9">
              <w:rPr>
                <w:rFonts w:ascii="Times New Roman,ＭＳ 明朝" w:eastAsia="Times New Roman,ＭＳ 明朝" w:hAnsi="Times New Roman,ＭＳ 明朝" w:cs="Times New Roman,ＭＳ 明朝"/>
                <w:b/>
                <w:bCs/>
                <w:u w:val="single"/>
                <w:lang w:eastAsia="en-GB"/>
              </w:rPr>
              <w:t>Povinná literatura:</w:t>
            </w:r>
          </w:p>
          <w:p w14:paraId="621000D2" w14:textId="6B6D6638" w:rsidR="66A5A2E9" w:rsidRDefault="66A5A2E9" w:rsidP="00026CD4">
            <w:r w:rsidRPr="66A5A2E9">
              <w:rPr>
                <w:rFonts w:ascii="Times New Roman" w:eastAsia="Times New Roman" w:hAnsi="Times New Roman" w:cs="Times New Roman"/>
              </w:rPr>
              <w:t xml:space="preserve">Macek, J. 2011. Úvod do nových médií. Ostrava, kap. 1 a 2 (32 stran), dostupné online: </w:t>
            </w:r>
            <w:hyperlink r:id="rId10">
              <w:r w:rsidRPr="66A5A2E9">
                <w:rPr>
                  <w:rStyle w:val="Hyperlink"/>
                  <w:rFonts w:ascii="Times New Roman" w:eastAsia="Times New Roman" w:hAnsi="Times New Roman" w:cs="Times New Roman"/>
                </w:rPr>
                <w:t>https://www.researchgate.net/publication/269826140_vod_do_novch_mdi</w:t>
              </w:r>
            </w:hyperlink>
          </w:p>
          <w:p w14:paraId="3194A9D1" w14:textId="10040D59" w:rsidR="66A5A2E9" w:rsidRDefault="66A5A2E9" w:rsidP="00026CD4">
            <w:r w:rsidRPr="66A5A2E9">
              <w:rPr>
                <w:rFonts w:ascii="Times New Roman" w:eastAsia="Times New Roman" w:hAnsi="Times New Roman" w:cs="Times New Roman"/>
              </w:rPr>
              <w:t xml:space="preserve">Macková, A. 2015. „Czech Politicians Go Online: Is this e-Democracy or Just a Campaign Move?“ In P. Lorentz, D. Smahel, M. Metykova, M. F. Wright (eds.). </w:t>
            </w:r>
            <w:r w:rsidRPr="66A5A2E9">
              <w:rPr>
                <w:rFonts w:ascii="Times New Roman" w:eastAsia="Times New Roman" w:hAnsi="Times New Roman" w:cs="Times New Roman"/>
                <w:i/>
                <w:iCs/>
              </w:rPr>
              <w:t>Self-presentation, Networking, Playing and Participating in Politics</w:t>
            </w:r>
            <w:r w:rsidRPr="66A5A2E9">
              <w:rPr>
                <w:rFonts w:ascii="Times New Roman" w:eastAsia="Times New Roman" w:hAnsi="Times New Roman" w:cs="Times New Roman"/>
              </w:rPr>
              <w:t xml:space="preserve">. (16 stran)  dostupné online:  </w:t>
            </w:r>
            <w:hyperlink r:id="rId11">
              <w:r w:rsidRPr="66A5A2E9">
                <w:rPr>
                  <w:rStyle w:val="Hyperlink"/>
                  <w:rFonts w:ascii="Times New Roman" w:eastAsia="Times New Roman" w:hAnsi="Times New Roman" w:cs="Times New Roman"/>
                </w:rPr>
                <w:t>https://www.researchgate.net/publication/277716268_Czech_Politicians_Go_Online_Is_this_e-Democracy_or_Just_a_Campaign_Move</w:t>
              </w:r>
            </w:hyperlink>
          </w:p>
          <w:p w14:paraId="195C765A" w14:textId="1A4D0BA4" w:rsidR="66A5A2E9" w:rsidRDefault="66A5A2E9" w:rsidP="00026CD4"/>
          <w:p w14:paraId="518C9FC3" w14:textId="77777777" w:rsidR="00C45688" w:rsidRPr="00C45688" w:rsidRDefault="66A5A2E9" w:rsidP="00026CD4">
            <w:pPr>
              <w:spacing w:after="160" w:line="259" w:lineRule="auto"/>
            </w:pPr>
            <w:r w:rsidRPr="66A5A2E9">
              <w:rPr>
                <w:rFonts w:ascii="Times New Roman,ＭＳ 明朝" w:eastAsia="Times New Roman,ＭＳ 明朝" w:hAnsi="Times New Roman,ＭＳ 明朝" w:cs="Times New Roman,ＭＳ 明朝"/>
                <w:b/>
                <w:bCs/>
                <w:u w:val="single"/>
                <w:lang w:eastAsia="en-GB"/>
              </w:rPr>
              <w:t>Doporučená literatura:</w:t>
            </w:r>
          </w:p>
          <w:p w14:paraId="4CE1A965" w14:textId="4882FC87" w:rsidR="00C45688" w:rsidRPr="00C45688" w:rsidRDefault="66A5A2E9" w:rsidP="00026CD4">
            <w:pPr>
              <w:textAlignment w:val="center"/>
            </w:pPr>
            <w:r w:rsidRPr="66A5A2E9">
              <w:rPr>
                <w:rFonts w:ascii="Times New Roman" w:eastAsia="Times New Roman" w:hAnsi="Times New Roman" w:cs="Times New Roman"/>
              </w:rPr>
              <w:t xml:space="preserve">Kruikemeier, Sanne., van Noort, Guda., Vliegenthart, Rens, de Vreese, Claes. 2013. Getting closer: The effects of personalized and interactive online political communication. European </w:t>
            </w:r>
            <w:r w:rsidRPr="66A5A2E9">
              <w:rPr>
                <w:rFonts w:ascii="Times New Roman" w:eastAsia="Times New Roman" w:hAnsi="Times New Roman" w:cs="Times New Roman"/>
                <w:i/>
                <w:iCs/>
              </w:rPr>
              <w:t>Journal of Communication</w:t>
            </w:r>
            <w:r w:rsidRPr="66A5A2E9">
              <w:rPr>
                <w:rFonts w:ascii="Times New Roman" w:eastAsia="Times New Roman" w:hAnsi="Times New Roman" w:cs="Times New Roman"/>
              </w:rPr>
              <w:t>, Advanced online publication.</w:t>
            </w:r>
          </w:p>
          <w:p w14:paraId="591F2454" w14:textId="0952A95C" w:rsidR="00C45688" w:rsidRPr="00C45688" w:rsidRDefault="66A5A2E9" w:rsidP="00026CD4">
            <w:pPr>
              <w:jc w:val="both"/>
              <w:textAlignment w:val="center"/>
            </w:pPr>
            <w:r w:rsidRPr="66A5A2E9">
              <w:rPr>
                <w:rFonts w:ascii="Times New Roman" w:eastAsia="Times New Roman" w:hAnsi="Times New Roman" w:cs="Times New Roman"/>
              </w:rPr>
              <w:t xml:space="preserve">Davis, Richard. – Baumgartner, J. C. – Francia, P. L. – Morris, J. S. 2009. The Internet in US Election Campaign. Pp. 14-24 in Chadwick, A. – Howard, P. N. (eds.). </w:t>
            </w:r>
            <w:r w:rsidRPr="66A5A2E9">
              <w:rPr>
                <w:rFonts w:ascii="Times New Roman" w:eastAsia="Times New Roman" w:hAnsi="Times New Roman" w:cs="Times New Roman"/>
                <w:i/>
                <w:iCs/>
              </w:rPr>
              <w:t>Routledge Handbook of Internet Politics</w:t>
            </w:r>
            <w:r w:rsidRPr="66A5A2E9">
              <w:rPr>
                <w:rFonts w:ascii="Times New Roman" w:eastAsia="Times New Roman" w:hAnsi="Times New Roman" w:cs="Times New Roman"/>
              </w:rPr>
              <w:t xml:space="preserve">. Routledge: New York. </w:t>
            </w:r>
          </w:p>
          <w:p w14:paraId="2E964B47" w14:textId="423C8022" w:rsidR="00C45688" w:rsidRPr="00C45688" w:rsidRDefault="66A5A2E9" w:rsidP="00026CD4">
            <w:pPr>
              <w:jc w:val="both"/>
              <w:textAlignment w:val="center"/>
            </w:pPr>
            <w:r w:rsidRPr="66A5A2E9">
              <w:rPr>
                <w:rFonts w:ascii="Times New Roman" w:eastAsia="Times New Roman" w:hAnsi="Times New Roman" w:cs="Times New Roman"/>
              </w:rPr>
              <w:t xml:space="preserve">Graham, Ted. 2013. Closing the gap? Twitter as an instrument for connected representation. Pp. 71-88 in Scullion, R. – Gerodimos, R. – Jackson, D. – Lilleker, D. (eds.). </w:t>
            </w:r>
            <w:r w:rsidRPr="66A5A2E9">
              <w:rPr>
                <w:rFonts w:ascii="Times New Roman" w:eastAsia="Times New Roman" w:hAnsi="Times New Roman" w:cs="Times New Roman"/>
                <w:i/>
                <w:iCs/>
              </w:rPr>
              <w:t>The Media, Political Participation and Empowerment</w:t>
            </w:r>
            <w:r w:rsidRPr="66A5A2E9">
              <w:rPr>
                <w:rFonts w:ascii="Times New Roman" w:eastAsia="Times New Roman" w:hAnsi="Times New Roman" w:cs="Times New Roman"/>
              </w:rPr>
              <w:t>. Routledge.</w:t>
            </w:r>
          </w:p>
          <w:p w14:paraId="781E4BF2" w14:textId="62EB68E6" w:rsidR="00C45688" w:rsidRPr="00C45688" w:rsidRDefault="66A5A2E9" w:rsidP="00026CD4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66A5A2E9">
              <w:rPr>
                <w:rFonts w:ascii="Times New Roman" w:eastAsia="Times New Roman" w:hAnsi="Times New Roman" w:cs="Times New Roman"/>
              </w:rPr>
              <w:t xml:space="preserve">Macková, Alena. 2012. Nové komunikační nástroje. In: Eibl, O. - Chytilek, R. - Matušková, A. </w:t>
            </w:r>
            <w:r w:rsidRPr="66A5A2E9">
              <w:rPr>
                <w:rFonts w:ascii="Times New Roman" w:eastAsia="Times New Roman" w:hAnsi="Times New Roman" w:cs="Times New Roman"/>
                <w:i/>
                <w:iCs/>
              </w:rPr>
              <w:t>Teorie a metody politického marketingu.</w:t>
            </w:r>
          </w:p>
        </w:tc>
      </w:tr>
      <w:tr w:rsidR="00C45688" w:rsidRPr="00C45688" w14:paraId="4F88E87A" w14:textId="77777777" w:rsidTr="00026CD4">
        <w:trPr>
          <w:trHeight w:val="241"/>
        </w:trPr>
        <w:tc>
          <w:tcPr>
            <w:tcW w:w="455" w:type="dxa"/>
          </w:tcPr>
          <w:p w14:paraId="02F225EA" w14:textId="524B6EA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9.</w:t>
            </w:r>
          </w:p>
        </w:tc>
        <w:tc>
          <w:tcPr>
            <w:tcW w:w="1003" w:type="dxa"/>
          </w:tcPr>
          <w:p w14:paraId="1EA52381" w14:textId="5B4FA5DE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17. 11.</w:t>
            </w:r>
          </w:p>
        </w:tc>
        <w:tc>
          <w:tcPr>
            <w:tcW w:w="7552" w:type="dxa"/>
          </w:tcPr>
          <w:p w14:paraId="404FC6C2" w14:textId="4D9750EA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Státní svátek – čtecí týden</w:t>
            </w:r>
          </w:p>
        </w:tc>
      </w:tr>
      <w:tr w:rsidR="00C45688" w:rsidRPr="00C45688" w14:paraId="6C581288" w14:textId="77777777" w:rsidTr="00026CD4">
        <w:trPr>
          <w:trHeight w:val="241"/>
        </w:trPr>
        <w:tc>
          <w:tcPr>
            <w:tcW w:w="455" w:type="dxa"/>
          </w:tcPr>
          <w:p w14:paraId="0B11DB69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471B09B6" w14:textId="78C05794" w:rsidR="00C45688" w:rsidRPr="00C45688" w:rsidRDefault="00E312CB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Datum pro odevzdání eseje</w:t>
            </w:r>
          </w:p>
        </w:tc>
        <w:tc>
          <w:tcPr>
            <w:tcW w:w="7552" w:type="dxa"/>
          </w:tcPr>
          <w:p w14:paraId="7350584A" w14:textId="11533252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45688" w:rsidRPr="00C45688" w14:paraId="3B1D49BC" w14:textId="77777777" w:rsidTr="00026CD4">
        <w:trPr>
          <w:trHeight w:val="241"/>
        </w:trPr>
        <w:tc>
          <w:tcPr>
            <w:tcW w:w="455" w:type="dxa"/>
          </w:tcPr>
          <w:p w14:paraId="2283E6BA" w14:textId="6DA28909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10.</w:t>
            </w:r>
          </w:p>
        </w:tc>
        <w:tc>
          <w:tcPr>
            <w:tcW w:w="1003" w:type="dxa"/>
          </w:tcPr>
          <w:p w14:paraId="393741A4" w14:textId="64248564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24. 11.</w:t>
            </w:r>
          </w:p>
        </w:tc>
        <w:tc>
          <w:tcPr>
            <w:tcW w:w="7552" w:type="dxa"/>
          </w:tcPr>
          <w:p w14:paraId="17DE02C7" w14:textId="545825AB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Výzkum politických kampaní</w:t>
            </w:r>
          </w:p>
        </w:tc>
      </w:tr>
      <w:tr w:rsidR="00C45688" w:rsidRPr="00C45688" w14:paraId="2A16A9E6" w14:textId="77777777" w:rsidTr="00026CD4">
        <w:trPr>
          <w:trHeight w:val="241"/>
        </w:trPr>
        <w:tc>
          <w:tcPr>
            <w:tcW w:w="455" w:type="dxa"/>
          </w:tcPr>
          <w:p w14:paraId="121620CA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75F4B16F" w14:textId="73B966D9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54A9FAFE" w14:textId="77777777" w:rsidR="00C45688" w:rsidRPr="00C45688" w:rsidRDefault="66A5A2E9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66A5A2E9">
              <w:rPr>
                <w:rFonts w:ascii="Times New Roman,ＭＳ 明朝" w:eastAsia="Times New Roman,ＭＳ 明朝" w:hAnsi="Times New Roman,ＭＳ 明朝" w:cs="Times New Roman,ＭＳ 明朝"/>
                <w:b/>
                <w:bCs/>
                <w:u w:val="single"/>
                <w:lang w:eastAsia="en-GB"/>
              </w:rPr>
              <w:t>Povinná literatura:</w:t>
            </w:r>
          </w:p>
          <w:p w14:paraId="180ED55E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Macková, A. (2012). Výzkumné designy v politickém marketingu. In: Chytilek, R. – Eibl, O. – Matušková, A.: Teorie a metody politického marketingu. </w:t>
            </w:r>
          </w:p>
          <w:p w14:paraId="0C1C2AA1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Bryman, A. (2008). Chapter 26 - Internet Research. In: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Social Research Methods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. Oxford: Oxford University Press. (33 stran)</w:t>
            </w:r>
          </w:p>
          <w:p w14:paraId="2F9C0DCC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10CA2481" w14:textId="77777777" w:rsidR="00C45688" w:rsidRPr="00C45688" w:rsidRDefault="66A5A2E9" w:rsidP="00026CD4">
            <w:pPr>
              <w:spacing w:after="160" w:line="259" w:lineRule="auto"/>
            </w:pPr>
            <w:r w:rsidRPr="66A5A2E9">
              <w:rPr>
                <w:rFonts w:ascii="Times New Roman,ＭＳ 明朝" w:eastAsia="Times New Roman,ＭＳ 明朝" w:hAnsi="Times New Roman,ＭＳ 明朝" w:cs="Times New Roman,ＭＳ 明朝"/>
                <w:b/>
                <w:bCs/>
                <w:u w:val="single"/>
                <w:lang w:eastAsia="en-GB"/>
              </w:rPr>
              <w:t>Doporučená:</w:t>
            </w:r>
          </w:p>
          <w:p w14:paraId="35E710BA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Disman, M. (2007).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>Jak se vyrábí sociologická znalost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, Praha: Karolinum.</w:t>
            </w:r>
          </w:p>
          <w:p w14:paraId="7C797B52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 xml:space="preserve">Ansolabehere, S. (2006). Campaigns as Experiments. In: Brady, E. H. – Johnston, R. (eds.) </w:t>
            </w:r>
            <w:r w:rsidRPr="00C45688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Capturing </w:t>
            </w: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Campaign Effects. Ann Arbor: University of Michigan Press, pp. 115–133.</w:t>
            </w:r>
          </w:p>
          <w:p w14:paraId="5B7CEB21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Brady, E. H. – Johnston, R. (2006). The Rolling Cross-Section and Casual Attribution. In: Brady, E. H. – Johnston, R. (eds.) Capturing Campaign Effects. Ann Arbor: University of Michigan Press, pp. 164–195.</w:t>
            </w:r>
          </w:p>
          <w:p w14:paraId="4747D72D" w14:textId="62553205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Hewson, C. – Laurent, D. (2008). Research Design and Tools for Internet Research. In: Fielding, N. G. – Lee, R. M. – Blank, G. (eds.)The SAGE Handbook of Online Research Methods. Paris: SAGE, Pp. 58-78.</w:t>
            </w:r>
          </w:p>
        </w:tc>
      </w:tr>
      <w:tr w:rsidR="00C45688" w:rsidRPr="00C45688" w14:paraId="3B80EDE1" w14:textId="77777777" w:rsidTr="00026CD4">
        <w:trPr>
          <w:trHeight w:val="241"/>
        </w:trPr>
        <w:tc>
          <w:tcPr>
            <w:tcW w:w="455" w:type="dxa"/>
          </w:tcPr>
          <w:p w14:paraId="670C9721" w14:textId="5C32A6AE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11.</w:t>
            </w:r>
          </w:p>
        </w:tc>
        <w:tc>
          <w:tcPr>
            <w:tcW w:w="1003" w:type="dxa"/>
          </w:tcPr>
          <w:p w14:paraId="690EB00B" w14:textId="3669B7F8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1. 12.</w:t>
            </w:r>
          </w:p>
        </w:tc>
        <w:tc>
          <w:tcPr>
            <w:tcW w:w="7552" w:type="dxa"/>
          </w:tcPr>
          <w:p w14:paraId="738474C7" w14:textId="3DC654BF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Jak lze přistoupit ke zkoumání trhu?</w:t>
            </w:r>
          </w:p>
        </w:tc>
      </w:tr>
      <w:tr w:rsidR="00C45688" w:rsidRPr="00C45688" w14:paraId="3D7296A0" w14:textId="77777777" w:rsidTr="00026CD4">
        <w:trPr>
          <w:trHeight w:val="241"/>
        </w:trPr>
        <w:tc>
          <w:tcPr>
            <w:tcW w:w="455" w:type="dxa"/>
          </w:tcPr>
          <w:p w14:paraId="660AE8D1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4B927749" w14:textId="0F51FEC4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3AF21F12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Doporučená literatura:</w:t>
            </w:r>
          </w:p>
          <w:p w14:paraId="4CF711CC" w14:textId="1EFD5846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lang w:eastAsia="en-GB"/>
              </w:rPr>
              <w:t>Hauge, P. (2003): Průzkum trhu. Brno: Computer Press.</w:t>
            </w:r>
          </w:p>
        </w:tc>
      </w:tr>
      <w:tr w:rsidR="00C45688" w:rsidRPr="00C45688" w14:paraId="1C685456" w14:textId="77777777" w:rsidTr="00026CD4">
        <w:trPr>
          <w:trHeight w:val="241"/>
        </w:trPr>
        <w:tc>
          <w:tcPr>
            <w:tcW w:w="455" w:type="dxa"/>
          </w:tcPr>
          <w:p w14:paraId="78D89D62" w14:textId="759EBAB2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12.</w:t>
            </w:r>
          </w:p>
        </w:tc>
        <w:tc>
          <w:tcPr>
            <w:tcW w:w="1003" w:type="dxa"/>
          </w:tcPr>
          <w:p w14:paraId="291ABBA7" w14:textId="33AD8DBE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8. 12.</w:t>
            </w:r>
          </w:p>
        </w:tc>
        <w:tc>
          <w:tcPr>
            <w:tcW w:w="7552" w:type="dxa"/>
          </w:tcPr>
          <w:p w14:paraId="6EF3AC08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Times New Roman" w:hAnsi="Times New Roman" w:cs="Times New Roman"/>
                <w:b/>
                <w:lang w:eastAsia="en-GB"/>
              </w:rPr>
              <w:t>Analýza volebního trhu (seminář)</w:t>
            </w:r>
          </w:p>
          <w:p w14:paraId="019DC3AC" w14:textId="57A765A4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C45688" w:rsidRPr="00C45688" w14:paraId="7E7FF40E" w14:textId="77777777" w:rsidTr="00026CD4">
        <w:trPr>
          <w:trHeight w:val="241"/>
        </w:trPr>
        <w:tc>
          <w:tcPr>
            <w:tcW w:w="455" w:type="dxa"/>
          </w:tcPr>
          <w:p w14:paraId="11D4EAB9" w14:textId="77777777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303D73A1" w14:textId="40F0BFF8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552" w:type="dxa"/>
          </w:tcPr>
          <w:p w14:paraId="6E1502A7" w14:textId="7777777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Doporučená literatura:</w:t>
            </w:r>
          </w:p>
          <w:p w14:paraId="4089B8B6" w14:textId="56817EF7" w:rsidR="00C45688" w:rsidRPr="00C45688" w:rsidRDefault="00C45688" w:rsidP="00026CD4">
            <w:p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 xml:space="preserve">Newman, B. I. (1994): </w:t>
            </w:r>
            <w:r w:rsidRPr="00C45688">
              <w:rPr>
                <w:rFonts w:ascii="Times New Roman" w:eastAsiaTheme="minorEastAsia" w:hAnsi="Times New Roman" w:cs="Times New Roman"/>
                <w:i/>
                <w:iCs/>
                <w:lang w:eastAsia="en-GB"/>
              </w:rPr>
              <w:t>The Marketing of the President. Political Marketing as Campaign Strategy</w:t>
            </w:r>
            <w:r w:rsidRPr="00C45688">
              <w:rPr>
                <w:rFonts w:ascii="Times New Roman" w:eastAsiaTheme="minorEastAsia" w:hAnsi="Times New Roman" w:cs="Times New Roman"/>
                <w:lang w:eastAsia="en-GB"/>
              </w:rPr>
              <w:t>, Thousand Oaks: Sage Publications.</w:t>
            </w:r>
          </w:p>
        </w:tc>
      </w:tr>
      <w:tr w:rsidR="00C45688" w:rsidRPr="00C45688" w14:paraId="2F57EF36" w14:textId="77777777" w:rsidTr="00026CD4">
        <w:trPr>
          <w:trHeight w:val="241"/>
        </w:trPr>
        <w:tc>
          <w:tcPr>
            <w:tcW w:w="455" w:type="dxa"/>
          </w:tcPr>
          <w:p w14:paraId="5892654F" w14:textId="3713BA0D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13.</w:t>
            </w:r>
          </w:p>
        </w:tc>
        <w:tc>
          <w:tcPr>
            <w:tcW w:w="1003" w:type="dxa"/>
          </w:tcPr>
          <w:p w14:paraId="0345782C" w14:textId="024C33E0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15. 12.</w:t>
            </w:r>
          </w:p>
        </w:tc>
        <w:tc>
          <w:tcPr>
            <w:tcW w:w="7552" w:type="dxa"/>
          </w:tcPr>
          <w:p w14:paraId="1B1FD5C0" w14:textId="551883F1" w:rsidR="00C45688" w:rsidRPr="00C45688" w:rsidRDefault="00C45688" w:rsidP="00026CD4">
            <w:pPr>
              <w:textAlignment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45688">
              <w:rPr>
                <w:rFonts w:ascii="Times New Roman" w:eastAsia="Calibri,Times New Roman" w:hAnsi="Times New Roman" w:cs="Times New Roman"/>
                <w:b/>
                <w:bCs/>
                <w:lang w:eastAsia="en-GB"/>
              </w:rPr>
              <w:t>Závěrečný písemný test</w:t>
            </w:r>
          </w:p>
        </w:tc>
      </w:tr>
    </w:tbl>
    <w:p w14:paraId="2E763D95" w14:textId="5708915A" w:rsidR="006D05AB" w:rsidRPr="00C45688" w:rsidRDefault="00026CD4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br w:type="textWrapping" w:clear="all"/>
      </w:r>
    </w:p>
    <w:p w14:paraId="475CA722" w14:textId="77777777" w:rsidR="001E247D" w:rsidRPr="00C45688" w:rsidRDefault="001E247D">
      <w:pPr>
        <w:rPr>
          <w:rFonts w:ascii="Times New Roman" w:hAnsi="Times New Roman" w:cs="Times New Roman"/>
        </w:rPr>
      </w:pPr>
    </w:p>
    <w:p w14:paraId="5807BD38" w14:textId="77777777" w:rsidR="000679AB" w:rsidRPr="00C45688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C45688" w:rsidRDefault="000679AB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1" w:name="OLE_LINK19"/>
      <w:bookmarkStart w:id="2" w:name="OLE_LINK20"/>
      <w:r w:rsidRPr="00C45688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C45688" w:rsidRDefault="63E3042E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C45688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C45688" w:rsidRDefault="63E3042E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val="cs-CZ" w:eastAsia="en-GB" w:bidi="x-none"/>
        </w:rPr>
      </w:pPr>
      <w:r w:rsidRPr="00C45688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C45688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C45688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C45688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1"/>
      <w:bookmarkEnd w:id="2"/>
    </w:p>
    <w:p w14:paraId="3BF301DC" w14:textId="77777777" w:rsidR="000679AB" w:rsidRPr="00C45688" w:rsidRDefault="000679AB">
      <w:pPr>
        <w:rPr>
          <w:rFonts w:ascii="Times New Roman" w:hAnsi="Times New Roman" w:cs="Times New Roman"/>
        </w:rPr>
      </w:pPr>
    </w:p>
    <w:sectPr w:rsidR="000679AB" w:rsidRPr="00C45688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,ＭＳ 明朝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273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AD2D31"/>
    <w:multiLevelType w:val="hybridMultilevel"/>
    <w:tmpl w:val="F574F826"/>
    <w:lvl w:ilvl="0" w:tplc="4F3C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C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E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E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E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2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A12BB"/>
    <w:multiLevelType w:val="hybridMultilevel"/>
    <w:tmpl w:val="7C8C9828"/>
    <w:lvl w:ilvl="0" w:tplc="A3FA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A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C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D3C2E"/>
    <w:multiLevelType w:val="hybridMultilevel"/>
    <w:tmpl w:val="E482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4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26CD4"/>
    <w:rsid w:val="000679AB"/>
    <w:rsid w:val="0013410D"/>
    <w:rsid w:val="00153098"/>
    <w:rsid w:val="00170550"/>
    <w:rsid w:val="001E247D"/>
    <w:rsid w:val="0028637C"/>
    <w:rsid w:val="003D5332"/>
    <w:rsid w:val="004A41A7"/>
    <w:rsid w:val="004B705A"/>
    <w:rsid w:val="006D05AB"/>
    <w:rsid w:val="00815410"/>
    <w:rsid w:val="00992E94"/>
    <w:rsid w:val="00A84E5B"/>
    <w:rsid w:val="00BA49C0"/>
    <w:rsid w:val="00C45688"/>
    <w:rsid w:val="00D13752"/>
    <w:rsid w:val="00E312CB"/>
    <w:rsid w:val="00E32487"/>
    <w:rsid w:val="00E778A3"/>
    <w:rsid w:val="00F17E87"/>
    <w:rsid w:val="07F8E632"/>
    <w:rsid w:val="1B97A465"/>
    <w:rsid w:val="270AABA9"/>
    <w:rsid w:val="63E3042E"/>
    <w:rsid w:val="66A5A2E9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link">
    <w:name w:val="Hyperlink"/>
    <w:rsid w:val="00E32487"/>
    <w:rPr>
      <w:color w:val="0000FF"/>
      <w:u w:val="single"/>
    </w:rPr>
  </w:style>
  <w:style w:type="table" w:styleId="TableGrid">
    <w:name w:val="Table Grid"/>
    <w:basedOn w:val="TableNormal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esearchgate.net/publication/277716268_Czech_Politicians_Go_Online_Is_this_e-Democracy_or_Just_a_Campaign_Mov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hyperlink" Target="mailto:aja.mackova@gmail.com" TargetMode="External"/><Relationship Id="rId7" Type="http://schemas.openxmlformats.org/officeDocument/2006/relationships/hyperlink" Target="mailto:mgregor@fss.muni.cz" TargetMode="External"/><Relationship Id="rId8" Type="http://schemas.openxmlformats.org/officeDocument/2006/relationships/hyperlink" Target="http://www.cvvm.cas.cz/upl/nase_spolecnost/100049s_lebeda-vyzkumy.pdf" TargetMode="External"/><Relationship Id="rId9" Type="http://schemas.openxmlformats.org/officeDocument/2006/relationships/hyperlink" Target="http://www.scribd.com/doc/6830773/Special-issue-papers-Brands-and-political-loyalty-2005" TargetMode="External"/><Relationship Id="rId10" Type="http://schemas.openxmlformats.org/officeDocument/2006/relationships/hyperlink" Target="https://www.researchgate.net/publication/269826140_vod_do_novch_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1976</Words>
  <Characters>11268</Characters>
  <Application>Microsoft Macintosh Word</Application>
  <DocSecurity>0</DocSecurity>
  <Lines>93</Lines>
  <Paragraphs>26</Paragraphs>
  <ScaleCrop>false</ScaleCrop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9</cp:revision>
  <dcterms:created xsi:type="dcterms:W3CDTF">2015-09-16T11:07:00Z</dcterms:created>
  <dcterms:modified xsi:type="dcterms:W3CDTF">2015-09-18T11:14:00Z</dcterms:modified>
</cp:coreProperties>
</file>