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C0" w:rsidRDefault="00F371C0">
      <w:pPr>
        <w:rPr>
          <w:rFonts w:ascii="Times New Roman" w:hAnsi="Times New Roman" w:cs="Times New Roman"/>
          <w:b/>
          <w:sz w:val="28"/>
          <w:szCs w:val="28"/>
        </w:rPr>
      </w:pPr>
    </w:p>
    <w:p w:rsidR="00A23510" w:rsidRPr="00F371C0" w:rsidRDefault="00F371C0">
      <w:pPr>
        <w:rPr>
          <w:rFonts w:ascii="Times New Roman" w:hAnsi="Times New Roman" w:cs="Times New Roman"/>
          <w:b/>
          <w:sz w:val="28"/>
          <w:szCs w:val="28"/>
        </w:rPr>
      </w:pPr>
      <w:r w:rsidRPr="00F371C0">
        <w:rPr>
          <w:rFonts w:ascii="Times New Roman" w:hAnsi="Times New Roman" w:cs="Times New Roman"/>
          <w:b/>
          <w:sz w:val="28"/>
          <w:szCs w:val="28"/>
        </w:rPr>
        <w:t>Contemporary social policy problems in Europe: East and West</w:t>
      </w:r>
    </w:p>
    <w:p w:rsidR="00F371C0" w:rsidRDefault="00F371C0" w:rsidP="000D2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Number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ECTS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credits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allocated</w:t>
      </w:r>
      <w:proofErr w:type="spellEnd"/>
    </w:p>
    <w:p w:rsidR="000D2185" w:rsidRPr="000D2185" w:rsidRDefault="000D2185" w:rsidP="000D218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12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credits</w:t>
      </w:r>
      <w:proofErr w:type="spellEnd"/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Name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lecturer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(s)</w:t>
      </w:r>
    </w:p>
    <w:p w:rsidR="000D2185" w:rsidRPr="000D2185" w:rsidRDefault="000D2185" w:rsidP="000D218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prof. PhDr. Tomáš Sirovátka, CSc. (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lecturer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PhDr. Imrich Vašečka, Ph.D. (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lecturer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doc. PhDr. Jiří Winkler, Ph.D. (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lecturer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Learning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outcomes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course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unit</w:t>
      </w:r>
    </w:p>
    <w:p w:rsidR="000D2185" w:rsidRPr="000D2185" w:rsidRDefault="000D2185" w:rsidP="000D218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knowledge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contemporary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Czech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European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develop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abaility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students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creative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application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theoretical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methodological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merit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knowledge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gained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analysis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evaluation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preparation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policies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aimed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solve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current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problems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Czech Republic.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Learning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outcomes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student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able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identify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dilemmas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solved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today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formulate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criteria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along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approach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these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dilemmas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assessed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operacionalize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siutable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indicators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these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criteria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assess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policies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to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formulate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argue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solutions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solving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dilemmas</w:t>
      </w:r>
      <w:proofErr w:type="spellEnd"/>
    </w:p>
    <w:p w:rsidR="00F371C0" w:rsidRDefault="00F371C0" w:rsidP="000D2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Course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Contents</w:t>
      </w:r>
      <w:proofErr w:type="spellEnd"/>
    </w:p>
    <w:p w:rsidR="000D2185" w:rsidRPr="000D2185" w:rsidRDefault="000D2185" w:rsidP="00F371C0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Topics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 Pension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reform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Employment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3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Family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assistance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services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inclusion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topic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discussed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seminars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1 General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aspects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Ethical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2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Analysis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evaluation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existing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solutions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3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Elaboration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argumentation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proposals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solutions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F371C0" w:rsidRDefault="00F371C0" w:rsidP="000D2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Recommended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required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reading</w:t>
      </w:r>
      <w:proofErr w:type="spellEnd"/>
    </w:p>
    <w:p w:rsidR="000D2185" w:rsidRPr="00BE647B" w:rsidRDefault="000D2185" w:rsidP="000D2185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Saxonberg, S., Sirovátka, T. 2006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Failing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Family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Post-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Communist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Journal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Comparative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Policy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Analysis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8 (2): 189-206. </w:t>
      </w:r>
    </w:p>
    <w:p w:rsidR="000D2185" w:rsidRPr="00BE647B" w:rsidRDefault="000D2185" w:rsidP="000D2185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Esping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Andersen, G., Gallie, D.,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Hemerijck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A. a J.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Myles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2002.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Need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New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Welfare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? A New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Welfare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Architecture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Oxford: Oxford University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Press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BE647B" w:rsidRPr="00BE647B" w:rsidRDefault="000D2185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Gallie D.,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Paugam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S.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Welfare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Regimes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Unemployment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Oxford Univ. </w:t>
      </w:r>
      <w:proofErr w:type="spellStart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Press</w:t>
      </w:r>
      <w:proofErr w:type="spellEnd"/>
      <w:r w:rsidRPr="00BE647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2000, </w:t>
      </w:r>
    </w:p>
    <w:p w:rsidR="00BE647B" w:rsidRPr="00BE647B" w:rsidRDefault="00BE647B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E647B">
        <w:rPr>
          <w:rFonts w:ascii="Times New Roman" w:hAnsi="Times New Roman" w:cs="Times New Roman"/>
          <w:sz w:val="24"/>
        </w:rPr>
        <w:t xml:space="preserve">J. Myles A New </w:t>
      </w:r>
      <w:proofErr w:type="gramStart"/>
      <w:r w:rsidRPr="00BE647B">
        <w:rPr>
          <w:rFonts w:ascii="Times New Roman" w:hAnsi="Times New Roman" w:cs="Times New Roman"/>
          <w:sz w:val="24"/>
        </w:rPr>
        <w:t>Social  Contract</w:t>
      </w:r>
      <w:proofErr w:type="gramEnd"/>
      <w:r w:rsidRPr="00BE647B">
        <w:rPr>
          <w:rFonts w:ascii="Times New Roman" w:hAnsi="Times New Roman" w:cs="Times New Roman"/>
          <w:sz w:val="24"/>
        </w:rPr>
        <w:t xml:space="preserve"> for the Elderly ? Pp.130-</w:t>
      </w:r>
      <w:smartTag w:uri="urn:schemas-microsoft-com:office:smarttags" w:element="metricconverter">
        <w:smartTagPr>
          <w:attr w:name="ProductID" w:val="172 in"/>
        </w:smartTagPr>
        <w:r w:rsidRPr="00BE647B">
          <w:rPr>
            <w:rFonts w:ascii="Times New Roman" w:hAnsi="Times New Roman" w:cs="Times New Roman"/>
            <w:sz w:val="24"/>
          </w:rPr>
          <w:t>172</w:t>
        </w:r>
        <w:r w:rsidRPr="00BE647B">
          <w:rPr>
            <w:rFonts w:ascii="Times New Roman" w:hAnsi="Times New Roman" w:cs="Times New Roman"/>
            <w:b/>
            <w:bCs/>
            <w:sz w:val="24"/>
          </w:rPr>
          <w:t xml:space="preserve"> in</w:t>
        </w:r>
      </w:smartTag>
      <w:r w:rsidRPr="00BE647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BE647B">
        <w:rPr>
          <w:rFonts w:ascii="Times New Roman" w:hAnsi="Times New Roman" w:cs="Times New Roman"/>
          <w:sz w:val="24"/>
        </w:rPr>
        <w:t>Esping</w:t>
      </w:r>
      <w:proofErr w:type="spellEnd"/>
      <w:r w:rsidRPr="00BE647B">
        <w:rPr>
          <w:rFonts w:ascii="Times New Roman" w:hAnsi="Times New Roman" w:cs="Times New Roman"/>
          <w:sz w:val="24"/>
        </w:rPr>
        <w:t xml:space="preserve"> Andersen, G., </w:t>
      </w:r>
      <w:proofErr w:type="spellStart"/>
      <w:r w:rsidRPr="00BE647B">
        <w:rPr>
          <w:rFonts w:ascii="Times New Roman" w:hAnsi="Times New Roman" w:cs="Times New Roman"/>
          <w:sz w:val="24"/>
        </w:rPr>
        <w:t>Gallie</w:t>
      </w:r>
      <w:proofErr w:type="spellEnd"/>
      <w:r w:rsidRPr="00BE647B">
        <w:rPr>
          <w:rFonts w:ascii="Times New Roman" w:hAnsi="Times New Roman" w:cs="Times New Roman"/>
          <w:sz w:val="24"/>
        </w:rPr>
        <w:t xml:space="preserve">, D., </w:t>
      </w:r>
      <w:proofErr w:type="spellStart"/>
      <w:r w:rsidRPr="00BE647B">
        <w:rPr>
          <w:rFonts w:ascii="Times New Roman" w:hAnsi="Times New Roman" w:cs="Times New Roman"/>
          <w:sz w:val="24"/>
        </w:rPr>
        <w:t>Hemerijck</w:t>
      </w:r>
      <w:proofErr w:type="spellEnd"/>
      <w:r w:rsidRPr="00BE647B">
        <w:rPr>
          <w:rFonts w:ascii="Times New Roman" w:hAnsi="Times New Roman" w:cs="Times New Roman"/>
          <w:sz w:val="24"/>
        </w:rPr>
        <w:t xml:space="preserve">, A. a J. Myles 2002. </w:t>
      </w:r>
      <w:r w:rsidRPr="00BE647B">
        <w:rPr>
          <w:rFonts w:ascii="Times New Roman" w:hAnsi="Times New Roman" w:cs="Times New Roman"/>
          <w:i/>
          <w:iCs/>
          <w:sz w:val="24"/>
        </w:rPr>
        <w:t>Why We Need a New Welfare State? A New Welfare Architecture for Europe</w:t>
      </w:r>
      <w:r w:rsidRPr="00BE647B">
        <w:rPr>
          <w:rFonts w:ascii="Times New Roman" w:hAnsi="Times New Roman" w:cs="Times New Roman"/>
          <w:sz w:val="24"/>
        </w:rPr>
        <w:t xml:space="preserve">. Oxford: Oxford University Press. </w:t>
      </w:r>
    </w:p>
    <w:p w:rsidR="00BE647B" w:rsidRPr="00BE647B" w:rsidRDefault="00BE647B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E647B">
        <w:rPr>
          <w:rFonts w:ascii="Times New Roman" w:hAnsi="Times New Roman" w:cs="Times New Roman"/>
          <w:sz w:val="24"/>
          <w:szCs w:val="24"/>
        </w:rPr>
        <w:t xml:space="preserve">Van Berkel, R. W. de </w:t>
      </w:r>
      <w:proofErr w:type="spellStart"/>
      <w:r w:rsidRPr="00BE647B">
        <w:rPr>
          <w:rFonts w:ascii="Times New Roman" w:hAnsi="Times New Roman" w:cs="Times New Roman"/>
          <w:sz w:val="24"/>
          <w:szCs w:val="24"/>
        </w:rPr>
        <w:t>Graaf</w:t>
      </w:r>
      <w:proofErr w:type="spellEnd"/>
      <w:r w:rsidRPr="00BE647B">
        <w:rPr>
          <w:rFonts w:ascii="Times New Roman" w:hAnsi="Times New Roman" w:cs="Times New Roman"/>
          <w:sz w:val="24"/>
          <w:szCs w:val="24"/>
        </w:rPr>
        <w:t>, T. 2011. The Governance of Active Welfare States. Pp. 1-</w:t>
      </w:r>
      <w:smartTag w:uri="urn:schemas-microsoft-com:office:smarttags" w:element="metricconverter">
        <w:smartTagPr>
          <w:attr w:name="ProductID" w:val="21. In"/>
        </w:smartTagPr>
        <w:r w:rsidRPr="00BE647B">
          <w:rPr>
            <w:rFonts w:ascii="Times New Roman" w:hAnsi="Times New Roman" w:cs="Times New Roman"/>
            <w:sz w:val="24"/>
            <w:szCs w:val="24"/>
          </w:rPr>
          <w:t xml:space="preserve">21. </w:t>
        </w:r>
        <w:proofErr w:type="gramStart"/>
        <w:r w:rsidRPr="00BE647B">
          <w:rPr>
            <w:rFonts w:ascii="Times New Roman" w:hAnsi="Times New Roman" w:cs="Times New Roman"/>
            <w:sz w:val="24"/>
            <w:szCs w:val="24"/>
          </w:rPr>
          <w:t>In</w:t>
        </w:r>
      </w:smartTag>
      <w:r w:rsidRPr="00BE647B"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 w:rsidRPr="00BE647B">
        <w:rPr>
          <w:rFonts w:ascii="Times New Roman" w:hAnsi="Times New Roman" w:cs="Times New Roman"/>
          <w:sz w:val="24"/>
          <w:szCs w:val="24"/>
        </w:rPr>
        <w:t xml:space="preserve"> Governance of Active Welfare States in Europe.  </w:t>
      </w:r>
      <w:proofErr w:type="spellStart"/>
      <w:r w:rsidRPr="00BE647B">
        <w:rPr>
          <w:rFonts w:ascii="Times New Roman" w:hAnsi="Times New Roman" w:cs="Times New Roman"/>
          <w:sz w:val="24"/>
          <w:szCs w:val="24"/>
        </w:rPr>
        <w:t>Houndmills</w:t>
      </w:r>
      <w:proofErr w:type="spellEnd"/>
      <w:r w:rsidRPr="00BE647B">
        <w:rPr>
          <w:rFonts w:ascii="Times New Roman" w:hAnsi="Times New Roman" w:cs="Times New Roman"/>
          <w:sz w:val="24"/>
          <w:szCs w:val="24"/>
        </w:rPr>
        <w:t>, Basingstoke: Palgrave, Macmillan.</w:t>
      </w:r>
    </w:p>
    <w:p w:rsidR="00BE647B" w:rsidRPr="00BE647B" w:rsidRDefault="00BE647B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E647B">
        <w:rPr>
          <w:rFonts w:ascii="Times New Roman" w:hAnsi="Times New Roman" w:cs="Times New Roman"/>
          <w:sz w:val="24"/>
        </w:rPr>
        <w:t xml:space="preserve">Castles, F.G. 2003. "The world turned upside down: below replacement fertility, changing preferences and family-friendly public policy in 21 OECD countries." </w:t>
      </w:r>
      <w:r w:rsidRPr="00BE647B">
        <w:rPr>
          <w:rFonts w:ascii="Times New Roman" w:hAnsi="Times New Roman" w:cs="Times New Roman"/>
          <w:i/>
          <w:iCs/>
          <w:sz w:val="24"/>
        </w:rPr>
        <w:t xml:space="preserve">Journal of European Social Policy </w:t>
      </w:r>
      <w:r w:rsidRPr="00BE647B">
        <w:rPr>
          <w:rFonts w:ascii="Times New Roman" w:hAnsi="Times New Roman" w:cs="Times New Roman"/>
          <w:sz w:val="24"/>
        </w:rPr>
        <w:t>13 (3): 209-227.</w:t>
      </w:r>
    </w:p>
    <w:p w:rsidR="00BE647B" w:rsidRPr="00BE647B" w:rsidRDefault="00BE647B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E647B">
        <w:rPr>
          <w:rFonts w:ascii="Times New Roman" w:hAnsi="Times New Roman" w:cs="Times New Roman"/>
        </w:rPr>
        <w:t>Leitner</w:t>
      </w:r>
      <w:proofErr w:type="spellEnd"/>
      <w:r w:rsidRPr="00BE647B">
        <w:rPr>
          <w:rFonts w:ascii="Times New Roman" w:hAnsi="Times New Roman" w:cs="Times New Roman"/>
        </w:rPr>
        <w:t xml:space="preserve">, S. (2003), ‘Varieties of </w:t>
      </w:r>
      <w:proofErr w:type="spellStart"/>
      <w:r w:rsidRPr="00BE647B">
        <w:rPr>
          <w:rFonts w:ascii="Times New Roman" w:hAnsi="Times New Roman" w:cs="Times New Roman"/>
        </w:rPr>
        <w:t>Familialism</w:t>
      </w:r>
      <w:proofErr w:type="spellEnd"/>
      <w:r w:rsidRPr="00BE647B">
        <w:rPr>
          <w:rFonts w:ascii="Times New Roman" w:hAnsi="Times New Roman" w:cs="Times New Roman"/>
        </w:rPr>
        <w:t xml:space="preserve">. The caring function of the family in comparative perspective.’ </w:t>
      </w:r>
      <w:r w:rsidRPr="00BE647B">
        <w:rPr>
          <w:rFonts w:ascii="Times New Roman" w:hAnsi="Times New Roman" w:cs="Times New Roman"/>
          <w:i/>
          <w:lang w:val="pt-BR"/>
        </w:rPr>
        <w:t>European Societies</w:t>
      </w:r>
      <w:r w:rsidRPr="00BE647B">
        <w:rPr>
          <w:rFonts w:ascii="Times New Roman" w:hAnsi="Times New Roman" w:cs="Times New Roman"/>
          <w:lang w:val="pt-BR"/>
        </w:rPr>
        <w:t xml:space="preserve"> 5(4), pp. 353-375.</w:t>
      </w:r>
    </w:p>
    <w:p w:rsidR="00BE647B" w:rsidRPr="00BE647B" w:rsidRDefault="00BE647B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BE647B">
        <w:rPr>
          <w:rFonts w:ascii="Times New Roman" w:hAnsi="Times New Roman" w:cs="Times New Roman"/>
          <w:sz w:val="24"/>
        </w:rPr>
        <w:t>Saraceno</w:t>
      </w:r>
      <w:proofErr w:type="spellEnd"/>
      <w:r w:rsidRPr="00BE647B">
        <w:rPr>
          <w:rFonts w:ascii="Times New Roman" w:hAnsi="Times New Roman" w:cs="Times New Roman"/>
          <w:sz w:val="24"/>
        </w:rPr>
        <w:t>, Ch. (</w:t>
      </w:r>
      <w:proofErr w:type="spellStart"/>
      <w:proofErr w:type="gramStart"/>
      <w:r w:rsidRPr="00BE647B">
        <w:rPr>
          <w:rFonts w:ascii="Times New Roman" w:hAnsi="Times New Roman" w:cs="Times New Roman"/>
          <w:sz w:val="24"/>
        </w:rPr>
        <w:t>ed</w:t>
      </w:r>
      <w:proofErr w:type="spellEnd"/>
      <w:proofErr w:type="gramEnd"/>
      <w:r w:rsidRPr="00BE647B">
        <w:rPr>
          <w:rFonts w:ascii="Times New Roman" w:hAnsi="Times New Roman" w:cs="Times New Roman"/>
          <w:sz w:val="24"/>
        </w:rPr>
        <w:t>) 2002. Social Assistance Dynamics in Europe. National and Local Poverty Regimes. Bristol: The Policy Press, pp. 81-119, 127-137, 235-258.</w:t>
      </w:r>
    </w:p>
    <w:p w:rsidR="00BE647B" w:rsidRPr="00BE647B" w:rsidRDefault="00BE647B" w:rsidP="00BE647B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  <w:proofErr w:type="spellStart"/>
      <w:r w:rsidRPr="00BE647B">
        <w:rPr>
          <w:rFonts w:ascii="Times New Roman" w:hAnsi="Times New Roman" w:cs="Times New Roman"/>
          <w:sz w:val="24"/>
        </w:rPr>
        <w:t>Ringen</w:t>
      </w:r>
      <w:proofErr w:type="spellEnd"/>
      <w:r w:rsidRPr="00BE647B">
        <w:rPr>
          <w:rFonts w:ascii="Times New Roman" w:hAnsi="Times New Roman" w:cs="Times New Roman"/>
          <w:sz w:val="24"/>
        </w:rPr>
        <w:t xml:space="preserve">, S. 1987. The Possibility of Politics. Oxford University Press. </w:t>
      </w:r>
    </w:p>
    <w:p w:rsidR="00BE647B" w:rsidRDefault="00BE647B" w:rsidP="00BE647B">
      <w:p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Planned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learning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activities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teaching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methods</w:t>
      </w:r>
      <w:proofErr w:type="spellEnd"/>
    </w:p>
    <w:p w:rsidR="000D2185" w:rsidRPr="000D2185" w:rsidRDefault="000D2185" w:rsidP="000D218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Literature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imposed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students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r w:rsidR="00F371C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entations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seminar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discussion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Feedback 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seminar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paper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0D2185" w:rsidRPr="000D2185" w:rsidRDefault="000D2185" w:rsidP="000D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Assessment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methods</w:t>
      </w:r>
      <w:proofErr w:type="spellEnd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and </w:t>
      </w:r>
      <w:proofErr w:type="spellStart"/>
      <w:r w:rsidRPr="000D218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criteria</w:t>
      </w:r>
      <w:proofErr w:type="spellEnd"/>
    </w:p>
    <w:p w:rsidR="000D2185" w:rsidRPr="000D2185" w:rsidRDefault="000D2185" w:rsidP="000D218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home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seminar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assessment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seminar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paper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discussion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seminar</w:t>
      </w:r>
      <w:proofErr w:type="spellEnd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D21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paper</w:t>
      </w:r>
      <w:proofErr w:type="spellEnd"/>
    </w:p>
    <w:p w:rsidR="000D2185" w:rsidRDefault="000D2185"/>
    <w:sectPr w:rsidR="000D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089A"/>
    <w:multiLevelType w:val="multilevel"/>
    <w:tmpl w:val="518A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A65B5"/>
    <w:multiLevelType w:val="multilevel"/>
    <w:tmpl w:val="381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85"/>
    <w:rsid w:val="000D2185"/>
    <w:rsid w:val="00A23510"/>
    <w:rsid w:val="00AA1D3B"/>
    <w:rsid w:val="00BE647B"/>
    <w:rsid w:val="00E62B0F"/>
    <w:rsid w:val="00F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8658D7-32DF-4AA2-823A-1348E7DB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D21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D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BE647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E647B"/>
    <w:rPr>
      <w:rFonts w:ascii="Times New Roman" w:eastAsia="Times New Roman" w:hAnsi="Times New Roman" w:cs="Times New Roman"/>
      <w:i/>
      <w:iCs/>
      <w:sz w:val="24"/>
      <w:szCs w:val="20"/>
      <w:lang w:val="en-GB" w:eastAsia="cs-CZ"/>
    </w:rPr>
  </w:style>
  <w:style w:type="paragraph" w:customStyle="1" w:styleId="Reference">
    <w:name w:val="Reference"/>
    <w:basedOn w:val="Normln"/>
    <w:uiPriority w:val="99"/>
    <w:rsid w:val="00BE647B"/>
    <w:pPr>
      <w:keepLines/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noProof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2</cp:revision>
  <dcterms:created xsi:type="dcterms:W3CDTF">2015-12-01T11:20:00Z</dcterms:created>
  <dcterms:modified xsi:type="dcterms:W3CDTF">2015-12-01T11:20:00Z</dcterms:modified>
</cp:coreProperties>
</file>