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C1DE" w14:textId="77777777" w:rsidR="00957370" w:rsidRPr="006E35D1" w:rsidRDefault="00957370" w:rsidP="00957370">
      <w:pPr>
        <w:spacing w:line="240" w:lineRule="auto"/>
        <w:jc w:val="center"/>
        <w:rPr>
          <w:smallCaps/>
          <w:spacing w:val="54"/>
          <w:sz w:val="36"/>
          <w:szCs w:val="36"/>
        </w:rPr>
      </w:pPr>
      <w:r w:rsidRPr="006E35D1">
        <w:rPr>
          <w:smallCaps/>
          <w:spacing w:val="54"/>
          <w:sz w:val="36"/>
          <w:szCs w:val="36"/>
        </w:rPr>
        <w:t>MASARYKOVA UNIVERZITA</w:t>
      </w:r>
    </w:p>
    <w:p w14:paraId="7F5A4753" w14:textId="77777777" w:rsidR="00957370" w:rsidRPr="006E35D1" w:rsidRDefault="00957370" w:rsidP="00957370">
      <w:pPr>
        <w:jc w:val="center"/>
        <w:rPr>
          <w:smallCaps/>
          <w:spacing w:val="54"/>
          <w:sz w:val="28"/>
          <w:szCs w:val="36"/>
        </w:rPr>
      </w:pPr>
      <w:r w:rsidRPr="006E35D1">
        <w:rPr>
          <w:smallCaps/>
          <w:spacing w:val="54"/>
          <w:sz w:val="28"/>
          <w:szCs w:val="36"/>
        </w:rPr>
        <w:t>FAKULTA SOCIÁLNÍCH STUDIÍ</w:t>
      </w:r>
    </w:p>
    <w:p w14:paraId="456F27B9" w14:textId="77777777" w:rsidR="00957370" w:rsidRDefault="00957370" w:rsidP="00957370">
      <w:pPr>
        <w:ind w:firstLine="426"/>
        <w:jc w:val="center"/>
        <w:rPr>
          <w:b/>
          <w:sz w:val="36"/>
        </w:rPr>
      </w:pPr>
      <w:r w:rsidRPr="006E35D1">
        <w:rPr>
          <w:b/>
          <w:sz w:val="36"/>
        </w:rPr>
        <w:t>Katedra mezinárodních vztahů a evropských studií</w:t>
      </w:r>
    </w:p>
    <w:p w14:paraId="5453C5B0" w14:textId="77777777" w:rsidR="00957370" w:rsidRDefault="00957370" w:rsidP="0095737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Obor m</w:t>
      </w:r>
      <w:r w:rsidRPr="006E35D1">
        <w:rPr>
          <w:b/>
          <w:sz w:val="28"/>
        </w:rPr>
        <w:t>ezinárodní vztahy</w:t>
      </w:r>
      <w:r>
        <w:rPr>
          <w:b/>
          <w:sz w:val="28"/>
        </w:rPr>
        <w:t xml:space="preserve"> a energetická bezpečnost</w:t>
      </w:r>
    </w:p>
    <w:p w14:paraId="42391ED7" w14:textId="77777777" w:rsidR="00694D81" w:rsidRPr="006E35D1" w:rsidRDefault="00694D81" w:rsidP="00957370">
      <w:pPr>
        <w:ind w:firstLine="426"/>
        <w:jc w:val="center"/>
        <w:rPr>
          <w:b/>
          <w:sz w:val="28"/>
        </w:rPr>
      </w:pPr>
    </w:p>
    <w:p w14:paraId="2CD3D6D7" w14:textId="77777777" w:rsidR="00957370" w:rsidRPr="003330EC" w:rsidRDefault="00957370" w:rsidP="00694D81">
      <w:pPr>
        <w:jc w:val="center"/>
      </w:pPr>
      <w:r>
        <w:rPr>
          <w:noProof/>
          <w:lang w:eastAsia="cs-CZ"/>
        </w:rPr>
        <w:drawing>
          <wp:inline distT="0" distB="0" distL="0" distR="0" wp14:anchorId="3C021144" wp14:editId="365D3FC9">
            <wp:extent cx="1905000" cy="1905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D124" w14:textId="77777777" w:rsidR="00957370" w:rsidRPr="003330EC" w:rsidRDefault="00957370" w:rsidP="00957370">
      <w:pPr>
        <w:ind w:firstLine="708"/>
        <w:jc w:val="center"/>
      </w:pPr>
    </w:p>
    <w:p w14:paraId="6316631A" w14:textId="77777777" w:rsidR="00694D81" w:rsidRDefault="00694D81" w:rsidP="00957370">
      <w:pPr>
        <w:jc w:val="center"/>
        <w:rPr>
          <w:rFonts w:cs="Times New Roman"/>
          <w:b/>
          <w:spacing w:val="10"/>
          <w:sz w:val="36"/>
          <w:szCs w:val="36"/>
          <w:u w:val="single"/>
        </w:rPr>
      </w:pPr>
    </w:p>
    <w:p w14:paraId="6C954684" w14:textId="77777777" w:rsidR="00957370" w:rsidRPr="00EA71DD" w:rsidRDefault="00957370" w:rsidP="00957370">
      <w:pPr>
        <w:jc w:val="center"/>
        <w:rPr>
          <w:rFonts w:cs="Times New Roman"/>
          <w:b/>
          <w:spacing w:val="10"/>
          <w:sz w:val="36"/>
          <w:szCs w:val="36"/>
          <w:u w:val="single"/>
        </w:rPr>
      </w:pPr>
      <w:r>
        <w:rPr>
          <w:rFonts w:cs="Times New Roman"/>
          <w:b/>
          <w:spacing w:val="10"/>
          <w:sz w:val="36"/>
          <w:szCs w:val="36"/>
          <w:u w:val="single"/>
        </w:rPr>
        <w:t>Policy paper</w:t>
      </w:r>
      <w:r w:rsidRPr="00EA71DD">
        <w:rPr>
          <w:rFonts w:cs="Times New Roman"/>
          <w:b/>
          <w:spacing w:val="10"/>
          <w:sz w:val="36"/>
          <w:szCs w:val="36"/>
          <w:u w:val="single"/>
        </w:rPr>
        <w:t>:</w:t>
      </w:r>
    </w:p>
    <w:p w14:paraId="35BF1A22" w14:textId="77777777" w:rsidR="00957370" w:rsidRPr="000B548B" w:rsidRDefault="00957370" w:rsidP="00957370">
      <w:pPr>
        <w:jc w:val="center"/>
        <w:rPr>
          <w:rFonts w:cs="Times New Roman"/>
          <w:b/>
          <w:sz w:val="32"/>
          <w:szCs w:val="32"/>
        </w:rPr>
      </w:pPr>
      <w:r w:rsidRPr="00957370">
        <w:rPr>
          <w:rFonts w:cs="Times New Roman"/>
          <w:b/>
          <w:sz w:val="32"/>
          <w:szCs w:val="32"/>
        </w:rPr>
        <w:t>Stav zateplování veřejných státních budov dle Energy Efficiency Directive v ČR</w:t>
      </w:r>
    </w:p>
    <w:p w14:paraId="7F5A5EA4" w14:textId="77777777" w:rsidR="00957370" w:rsidRPr="0081030E" w:rsidRDefault="00957370" w:rsidP="00957370">
      <w:pPr>
        <w:jc w:val="center"/>
        <w:rPr>
          <w:b/>
          <w:spacing w:val="10"/>
          <w:sz w:val="36"/>
          <w:szCs w:val="36"/>
          <w:u w:val="single"/>
        </w:rPr>
      </w:pPr>
    </w:p>
    <w:p w14:paraId="48EDC70B" w14:textId="77777777" w:rsidR="00957370" w:rsidRPr="0081030E" w:rsidRDefault="00957370" w:rsidP="00957370">
      <w:pPr>
        <w:jc w:val="center"/>
        <w:rPr>
          <w:b/>
          <w:spacing w:val="10"/>
          <w:sz w:val="36"/>
          <w:szCs w:val="36"/>
          <w:u w:val="single"/>
        </w:rPr>
      </w:pPr>
    </w:p>
    <w:p w14:paraId="64F9C86F" w14:textId="77777777" w:rsidR="00957370" w:rsidRDefault="00957370" w:rsidP="00957370">
      <w:pPr>
        <w:tabs>
          <w:tab w:val="center" w:pos="709"/>
        </w:tabs>
        <w:rPr>
          <w:rFonts w:cs="Times New Roman"/>
          <w:spacing w:val="20"/>
          <w:sz w:val="28"/>
          <w:szCs w:val="28"/>
        </w:rPr>
      </w:pPr>
    </w:p>
    <w:p w14:paraId="72DE37BD" w14:textId="77777777" w:rsidR="00694D81" w:rsidRDefault="00694D8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70407188" w14:textId="77777777" w:rsidR="00D14001" w:rsidRDefault="00D1400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73505581" w14:textId="77777777" w:rsidR="00D14001" w:rsidRDefault="00D1400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6BED33AA" w14:textId="77777777" w:rsidR="00D14001" w:rsidRDefault="00D1400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05E40011" w14:textId="77777777" w:rsidR="00D14001" w:rsidRDefault="00D1400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15B4E046" w14:textId="77777777" w:rsidR="00694D81" w:rsidRDefault="00694D81" w:rsidP="00957370">
      <w:pPr>
        <w:tabs>
          <w:tab w:val="center" w:pos="709"/>
        </w:tabs>
        <w:rPr>
          <w:rFonts w:cs="Times New Roman"/>
          <w:sz w:val="24"/>
          <w:szCs w:val="28"/>
        </w:rPr>
      </w:pPr>
    </w:p>
    <w:p w14:paraId="12C02462" w14:textId="77777777" w:rsidR="00D14001" w:rsidRDefault="00D14001" w:rsidP="00957370">
      <w:pPr>
        <w:rPr>
          <w:rFonts w:cs="Times New Roman"/>
          <w:b/>
          <w:sz w:val="24"/>
          <w:szCs w:val="24"/>
        </w:rPr>
      </w:pPr>
    </w:p>
    <w:p w14:paraId="425D5B4B" w14:textId="77777777" w:rsidR="00957370" w:rsidRPr="00E13726" w:rsidRDefault="00957370" w:rsidP="00957370">
      <w:pPr>
        <w:rPr>
          <w:rFonts w:cs="Times New Roman"/>
          <w:sz w:val="24"/>
          <w:szCs w:val="24"/>
        </w:rPr>
      </w:pPr>
      <w:r w:rsidRPr="00E13726">
        <w:rPr>
          <w:rFonts w:cs="Times New Roman"/>
          <w:b/>
          <w:sz w:val="24"/>
          <w:szCs w:val="24"/>
        </w:rPr>
        <w:lastRenderedPageBreak/>
        <w:t>Předmět:</w:t>
      </w:r>
      <w:r w:rsidR="00E13726">
        <w:rPr>
          <w:rFonts w:cs="Times New Roman"/>
          <w:sz w:val="24"/>
          <w:szCs w:val="24"/>
        </w:rPr>
        <w:t xml:space="preserve"> MEB415 Environmentální aspekty energetiky</w:t>
      </w:r>
    </w:p>
    <w:p w14:paraId="039BB235" w14:textId="77777777" w:rsidR="00E13726" w:rsidRDefault="00E13726" w:rsidP="00957370">
      <w:pPr>
        <w:rPr>
          <w:rFonts w:cs="Times New Roman"/>
          <w:szCs w:val="24"/>
        </w:rPr>
      </w:pPr>
    </w:p>
    <w:p w14:paraId="07103D80" w14:textId="77777777" w:rsidR="00957370" w:rsidRDefault="00957370" w:rsidP="00957370">
      <w:pPr>
        <w:rPr>
          <w:rFonts w:cs="Times New Roman"/>
          <w:szCs w:val="24"/>
        </w:rPr>
      </w:pPr>
      <w:r w:rsidRPr="00EA71DD">
        <w:rPr>
          <w:rFonts w:cs="Times New Roman"/>
          <w:szCs w:val="24"/>
        </w:rPr>
        <w:t>Imatrik</w:t>
      </w:r>
      <w:r>
        <w:rPr>
          <w:rFonts w:cs="Times New Roman"/>
          <w:szCs w:val="24"/>
        </w:rPr>
        <w:t>ulační rok: 2015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Brno 2016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cs-CZ" w:eastAsia="en-US"/>
        </w:rPr>
        <w:id w:val="1328387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D8521" w14:textId="55104CB7" w:rsidR="00B84152" w:rsidRDefault="00B84152">
          <w:pPr>
            <w:pStyle w:val="Nadpisobsahu"/>
          </w:pPr>
          <w:r>
            <w:rPr>
              <w:lang w:val="cs-CZ"/>
            </w:rPr>
            <w:t>Obsah</w:t>
          </w:r>
        </w:p>
        <w:p w14:paraId="639D209A" w14:textId="77777777" w:rsidR="000715D5" w:rsidRDefault="00B841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460890" w:history="1">
            <w:r w:rsidR="000715D5" w:rsidRPr="001027B3">
              <w:rPr>
                <w:rStyle w:val="Hypertextovodkaz"/>
                <w:noProof/>
              </w:rPr>
              <w:t>1. Část – Vymezení výchozích podmínek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_Toc451460890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3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1DF8ADEE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1" w:history="1">
            <w:r w:rsidR="000715D5" w:rsidRPr="001027B3">
              <w:rPr>
                <w:rStyle w:val="Hypertextovodkaz"/>
                <w:noProof/>
              </w:rPr>
              <w:t>1.1. Volba aktu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_Toc451460891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3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68355235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2" w:history="1">
            <w:r w:rsidR="000715D5" w:rsidRPr="001027B3">
              <w:rPr>
                <w:rStyle w:val="Hypertextovodkaz"/>
                <w:noProof/>
              </w:rPr>
              <w:t>1.2. Definice pozice zastupovaného aktéra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_Toc451460892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3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609FB7C8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3" w:history="1">
            <w:r w:rsidR="000715D5" w:rsidRPr="001027B3">
              <w:rPr>
                <w:rStyle w:val="Hypertextovodkaz"/>
                <w:noProof/>
              </w:rPr>
              <w:t>1.3. Definice cílového aktéra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_Toc451460893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4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6A5A6F83" w14:textId="77777777" w:rsidR="000715D5" w:rsidRDefault="002F0B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4" w:history="1">
            <w:r w:rsidR="000715D5" w:rsidRPr="001027B3">
              <w:rPr>
                <w:rStyle w:val="Hypertextovodkaz"/>
                <w:noProof/>
              </w:rPr>
              <w:t>2. Policy Paper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_Toc451460894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4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2A74D819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5" w:history="1">
            <w:r w:rsidR="000715D5" w:rsidRPr="001027B3">
              <w:rPr>
                <w:rStyle w:val="Hypertextovodkaz"/>
                <w:noProof/>
              </w:rPr>
              <w:t>2.1. Úvod do problematiky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_Toc451460895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4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5F92F2F3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6" w:history="1">
            <w:r w:rsidR="000715D5" w:rsidRPr="001027B3">
              <w:rPr>
                <w:rStyle w:val="Hypertextovodkaz"/>
                <w:noProof/>
              </w:rPr>
              <w:t>2.2. (Ne)naplňování cíle dle článku 5 EED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_Toc451460896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5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237F3323" w14:textId="77777777" w:rsidR="000715D5" w:rsidRDefault="002F0B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7" w:history="1">
            <w:r w:rsidR="000715D5" w:rsidRPr="001027B3">
              <w:rPr>
                <w:rStyle w:val="Hypertextovodkaz"/>
                <w:noProof/>
              </w:rPr>
              <w:t>2.3. Doporučení aliance oborových asociací Šance pro budovy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_Toc451460897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7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61D99DE7" w14:textId="77777777" w:rsidR="000715D5" w:rsidRDefault="002F0B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8" w:history="1">
            <w:r w:rsidR="000715D5" w:rsidRPr="001027B3">
              <w:rPr>
                <w:rStyle w:val="Hypertextovodkaz"/>
                <w:noProof/>
              </w:rPr>
              <w:t>3. Závěry a shrnutí doporučení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_Toc451460898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9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748B9F1A" w14:textId="77777777" w:rsidR="000715D5" w:rsidRDefault="002F0B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1460899" w:history="1">
            <w:r w:rsidR="000715D5" w:rsidRPr="001027B3">
              <w:rPr>
                <w:rStyle w:val="Hypertextovodkaz"/>
                <w:noProof/>
              </w:rPr>
              <w:t>4. Zdroje</w:t>
            </w:r>
            <w:r w:rsidR="000715D5">
              <w:rPr>
                <w:noProof/>
                <w:webHidden/>
              </w:rPr>
              <w:tab/>
            </w:r>
            <w:r w:rsidR="000715D5">
              <w:rPr>
                <w:noProof/>
                <w:webHidden/>
              </w:rPr>
              <w:fldChar w:fldCharType="begin"/>
            </w:r>
            <w:r w:rsidR="000715D5">
              <w:rPr>
                <w:noProof/>
                <w:webHidden/>
              </w:rPr>
              <w:instrText xml:space="preserve"> PAGEREF _Toc451460899 \h </w:instrText>
            </w:r>
            <w:r w:rsidR="000715D5">
              <w:rPr>
                <w:noProof/>
                <w:webHidden/>
              </w:rPr>
            </w:r>
            <w:r w:rsidR="000715D5">
              <w:rPr>
                <w:noProof/>
                <w:webHidden/>
              </w:rPr>
              <w:fldChar w:fldCharType="separate"/>
            </w:r>
            <w:r w:rsidR="000715D5">
              <w:rPr>
                <w:noProof/>
                <w:webHidden/>
              </w:rPr>
              <w:t>11</w:t>
            </w:r>
            <w:r w:rsidR="000715D5">
              <w:rPr>
                <w:noProof/>
                <w:webHidden/>
              </w:rPr>
              <w:fldChar w:fldCharType="end"/>
            </w:r>
          </w:hyperlink>
        </w:p>
        <w:p w14:paraId="75792AD6" w14:textId="18B0E365" w:rsidR="00B84152" w:rsidRDefault="00B84152">
          <w:r>
            <w:rPr>
              <w:b/>
              <w:bCs/>
            </w:rPr>
            <w:fldChar w:fldCharType="end"/>
          </w:r>
        </w:p>
      </w:sdtContent>
    </w:sdt>
    <w:p w14:paraId="3998B39E" w14:textId="77777777" w:rsidR="00694D81" w:rsidRDefault="00694D8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DE1F681" w14:textId="7B517E04" w:rsidR="00CB57F9" w:rsidRDefault="004267C0" w:rsidP="00CB57F9">
      <w:pPr>
        <w:pStyle w:val="Nadpis1"/>
      </w:pPr>
      <w:bookmarkStart w:id="0" w:name="_Toc451460890"/>
      <w:r>
        <w:lastRenderedPageBreak/>
        <w:t>1. Č</w:t>
      </w:r>
      <w:r w:rsidR="00CB57F9">
        <w:t>ást</w:t>
      </w:r>
      <w:r w:rsidR="00B84152">
        <w:t xml:space="preserve"> – Vymezení výchozích podmínek</w:t>
      </w:r>
      <w:bookmarkEnd w:id="0"/>
    </w:p>
    <w:p w14:paraId="20BA7853" w14:textId="3C3EBCFB" w:rsidR="00CB57F9" w:rsidRPr="00B84152" w:rsidRDefault="00B84152" w:rsidP="00B84152">
      <w:pPr>
        <w:pStyle w:val="Nadpis2"/>
      </w:pPr>
      <w:bookmarkStart w:id="1" w:name="_Toc451460891"/>
      <w:r>
        <w:t xml:space="preserve">1.1. </w:t>
      </w:r>
      <w:r w:rsidR="00CB57F9" w:rsidRPr="00B84152">
        <w:t>Volba aktu</w:t>
      </w:r>
      <w:bookmarkEnd w:id="1"/>
      <w:r w:rsidR="00B55314" w:rsidRPr="00B84152">
        <w:tab/>
      </w:r>
    </w:p>
    <w:p w14:paraId="2CA6CA3E" w14:textId="586DC5AC" w:rsidR="00EE49E6" w:rsidRDefault="00EE49E6" w:rsidP="009F046F">
      <w:pPr>
        <w:jc w:val="both"/>
      </w:pPr>
      <w:r>
        <w:t>Legislativní základ k tomuto textu bude vycházet z přijetí Směrnice Evropského parlamentu a Rady 2012/27/EU ze dne 25. října 2012 o energetické účinnosti, o změně směrnic 2009/125/ES a 2010/30/EU a o zrušení</w:t>
      </w:r>
      <w:r w:rsidR="00B4144C">
        <w:t xml:space="preserve"> směrnic 2004/8/ES a 2006/32/ES</w:t>
      </w:r>
      <w:r>
        <w:t xml:space="preserve"> </w:t>
      </w:r>
      <w:r w:rsidRPr="00EE49E6">
        <w:t xml:space="preserve">(dále </w:t>
      </w:r>
      <w:r w:rsidR="00D27916">
        <w:t>jen</w:t>
      </w:r>
      <w:r w:rsidRPr="00EE49E6">
        <w:t xml:space="preserve"> </w:t>
      </w:r>
      <w:r w:rsidR="00B4144C">
        <w:t>„</w:t>
      </w:r>
      <w:r w:rsidRPr="00EE49E6">
        <w:t>EED</w:t>
      </w:r>
      <w:r w:rsidR="00B4144C">
        <w:t>“</w:t>
      </w:r>
      <w:r w:rsidRPr="00EE49E6">
        <w:t>)</w:t>
      </w:r>
      <w:r w:rsidR="004D24CB">
        <w:rPr>
          <w:rStyle w:val="Znakapoznpodarou"/>
        </w:rPr>
        <w:footnoteReference w:id="1"/>
      </w:r>
      <w:r w:rsidRPr="00EE49E6">
        <w:rPr>
          <w:b/>
        </w:rPr>
        <w:t>.</w:t>
      </w:r>
      <w:r>
        <w:t xml:space="preserve"> </w:t>
      </w:r>
      <w:r w:rsidR="009F046F">
        <w:t>Přijetí s</w:t>
      </w:r>
      <w:r>
        <w:t>měrnice EED zavazuje členské státy EU k zapracování těchto požadavků na národní úrovni ve formě Národních akčních plánů. V České republice tak byl na základě zmíněných nároků v</w:t>
      </w:r>
      <w:r w:rsidR="00BB61CB">
        <w:t>ypracován Národní akční plán energetické účinnosti</w:t>
      </w:r>
      <w:r w:rsidR="009F046F">
        <w:t xml:space="preserve"> </w:t>
      </w:r>
      <w:r w:rsidR="00BB61CB">
        <w:t xml:space="preserve">ČR </w:t>
      </w:r>
      <w:r w:rsidR="009F046F">
        <w:t>(</w:t>
      </w:r>
      <w:r>
        <w:t>NAPEE)</w:t>
      </w:r>
      <w:r w:rsidR="00BB61CB">
        <w:t xml:space="preserve"> dle čl. 24 odst. 2 směrnice Evropského parlamentu a Rady 2012/27/EU ze dne 25. října 2012 o energetické účinnosti</w:t>
      </w:r>
      <w:r w:rsidR="00BB61CB">
        <w:rPr>
          <w:rStyle w:val="Znakapoznpodarou"/>
        </w:rPr>
        <w:footnoteReference w:id="2"/>
      </w:r>
      <w:r>
        <w:t xml:space="preserve">, </w:t>
      </w:r>
      <w:r w:rsidR="00BB61CB">
        <w:t>jehož aktualizované čtvrté</w:t>
      </w:r>
      <w:r>
        <w:t xml:space="preserve"> vydání </w:t>
      </w:r>
      <w:r w:rsidR="00BB61CB">
        <w:t>(IV</w:t>
      </w:r>
      <w:r w:rsidR="009F046F">
        <w:t xml:space="preserve">. NAPEE) se stalo aktuálně platným legislativním rámcem pro implementaci Směrnice EED. </w:t>
      </w:r>
    </w:p>
    <w:p w14:paraId="189CE9EA" w14:textId="05BCA9DF" w:rsidR="00C367A6" w:rsidRDefault="00D27916" w:rsidP="00C367A6">
      <w:pPr>
        <w:jc w:val="both"/>
      </w:pPr>
      <w:r>
        <w:t xml:space="preserve">Primárním středem zájmu bude plnění článku 5 EED, který stanovuje povinnost členským státům, aby byla počínaje 1. lednem </w:t>
      </w:r>
      <w:r w:rsidRPr="00D27916">
        <w:t>2014 každoročně renovována 3 % celkové podlahové plochy vytápěných nebo chlazených budov ve vlastnictví a v užívání jeho ústředních vládních institucí s cílem splnit alespoň minimální požadavky na energetickou náročnost. Podle § 7 zákona č. 406/2000 Sb., o hospodaření energií, v platném znění (dále jen „zákon“) se rozumí, že minimální požadavky na energetickou náročnost budovy jsou splněny, má-li budova hodnotu průkazu energetické náročnosti v klasifikační třídě C</w:t>
      </w:r>
      <w:r w:rsidR="007F58F8">
        <w:t xml:space="preserve">. </w:t>
      </w:r>
      <w:r w:rsidR="00C367A6">
        <w:t xml:space="preserve">Směrnice EED zejména klade </w:t>
      </w:r>
      <w:r w:rsidR="00C367A6" w:rsidRPr="00C367A6">
        <w:t xml:space="preserve">důraz </w:t>
      </w:r>
      <w:r w:rsidR="00C367A6">
        <w:rPr>
          <w:b/>
        </w:rPr>
        <w:t xml:space="preserve">na energetickou účinnost tzv. ústředních institucí. </w:t>
      </w:r>
      <w:r w:rsidR="00C367A6">
        <w:t xml:space="preserve">Směrnice například požaduje, aby členské státy věnovaly zvláštní pozornost renovacím budov, které skýtají významný potenciál úspor energie a aby </w:t>
      </w:r>
      <w:r w:rsidR="00C367A6" w:rsidRPr="00C367A6">
        <w:rPr>
          <w:b/>
        </w:rPr>
        <w:t>šly příkladem subjektům soukromého sektoru</w:t>
      </w:r>
      <w:r w:rsidR="00C367A6">
        <w:t>. Konkrétně je tato výzva obsažena již v názvu článku 5 „</w:t>
      </w:r>
      <w:r w:rsidR="00C367A6" w:rsidRPr="00454856">
        <w:rPr>
          <w:i/>
        </w:rPr>
        <w:t>Příkladná úloha budov veřejných subjektů</w:t>
      </w:r>
      <w:r w:rsidR="00C367A6">
        <w:rPr>
          <w:rStyle w:val="Znakapoznpodarou"/>
        </w:rPr>
        <w:footnoteReference w:id="3"/>
      </w:r>
      <w:r w:rsidR="00C367A6">
        <w:t xml:space="preserve">“ </w:t>
      </w:r>
    </w:p>
    <w:p w14:paraId="2CD8C549" w14:textId="4E5BFB77" w:rsidR="005149B4" w:rsidRDefault="005149B4" w:rsidP="009F046F">
      <w:pPr>
        <w:jc w:val="both"/>
      </w:pPr>
      <w:r>
        <w:t>V České republice byl z možný</w:t>
      </w:r>
      <w:r w:rsidR="00BE3AE9">
        <w:t>ch</w:t>
      </w:r>
      <w:r>
        <w:t xml:space="preserve"> variant implementace povinnosti vyplývající z článku 5 zvolen v roce 2013 „alternativní“ způsob plnění, který je popsán v čl. 5 odst. 6. </w:t>
      </w:r>
      <w:r w:rsidRPr="005149B4">
        <w:t xml:space="preserve">V rámci „alternativního“ přístupu lze cíl úspor energie vypočítat na základě vhodných standardních hodnot spotřeby energie vymezených referenčních budov ústředních vládních institucí </w:t>
      </w:r>
      <w:r w:rsidRPr="005149B4">
        <w:rPr>
          <w:b/>
        </w:rPr>
        <w:t>před renovací a po ní</w:t>
      </w:r>
      <w:r w:rsidRPr="005149B4">
        <w:t xml:space="preserve"> a podle plochy fondu budov ústředních vládních institucí. Úspory energie dosažené prostřednictvím alternativního přístupu jsou kumulativní, to znamená, že povinnost členských států se týká úhrnu ročních úspor za celé období 2014–2020</w:t>
      </w:r>
    </w:p>
    <w:p w14:paraId="1D150C87" w14:textId="7A563FFA" w:rsidR="00454856" w:rsidRPr="00EC4C5E" w:rsidRDefault="00F054A8" w:rsidP="00EC4C5E">
      <w:pPr>
        <w:jc w:val="both"/>
        <w:rPr>
          <w:b/>
        </w:rPr>
      </w:pPr>
      <w:r>
        <w:t>Tento text se zaměří na s</w:t>
      </w:r>
      <w:r w:rsidR="007F58F8">
        <w:t>ouvislosti s budoucím plněním EED</w:t>
      </w:r>
      <w:r w:rsidR="00D27916">
        <w:t xml:space="preserve"> ze strany České republiky dle přijatého Plánu rekonstrukce objektů, v působnosti článku 5 směrnice Evropského parlamentu a Rady ze dne </w:t>
      </w:r>
      <w:r w:rsidR="00EC4C5E">
        <w:br/>
      </w:r>
      <w:r w:rsidR="00D27916">
        <w:t>25. říj</w:t>
      </w:r>
      <w:r w:rsidR="00EC4C5E">
        <w:t>na 2012 o energetické účinnosti,</w:t>
      </w:r>
      <w:r w:rsidR="00D27916">
        <w:t xml:space="preserve"> pro rok 2016 s výhledem do roku 2020</w:t>
      </w:r>
      <w:r w:rsidR="008239DF">
        <w:t xml:space="preserve">, </w:t>
      </w:r>
      <w:r w:rsidR="008239DF" w:rsidRPr="008239DF">
        <w:rPr>
          <w:b/>
        </w:rPr>
        <w:t xml:space="preserve">a navrhne možná zlepšení k efektivnímu plnění závazků vyplývajících z článku č. 5. </w:t>
      </w:r>
    </w:p>
    <w:p w14:paraId="4081656F" w14:textId="5913BF00" w:rsidR="00CB57F9" w:rsidRPr="00B84152" w:rsidRDefault="00B84152" w:rsidP="00B84152">
      <w:pPr>
        <w:pStyle w:val="Nadpis2"/>
      </w:pPr>
      <w:bookmarkStart w:id="2" w:name="_Toc451460892"/>
      <w:r>
        <w:t xml:space="preserve">1.2. </w:t>
      </w:r>
      <w:r w:rsidR="00CB57F9" w:rsidRPr="00B84152">
        <w:t>Definice pozice</w:t>
      </w:r>
      <w:r>
        <w:t xml:space="preserve"> zastupovaného</w:t>
      </w:r>
      <w:r w:rsidR="00CB57F9" w:rsidRPr="00B84152">
        <w:t xml:space="preserve"> aktéra</w:t>
      </w:r>
      <w:bookmarkEnd w:id="2"/>
    </w:p>
    <w:p w14:paraId="60B9DA59" w14:textId="36BCE8A4" w:rsidR="00D306F6" w:rsidRDefault="00D306F6" w:rsidP="00D306F6">
      <w:pPr>
        <w:jc w:val="both"/>
      </w:pPr>
      <w:r>
        <w:t xml:space="preserve">Zastávaná pozice pro tento text bude vycházet z iniciativ prosazujících energeticky úsporné stavebnictví, kterým je na </w:t>
      </w:r>
      <w:r w:rsidR="000715D5">
        <w:t>území České republiky aliance o</w:t>
      </w:r>
      <w:r>
        <w:t xml:space="preserve">borových asociací </w:t>
      </w:r>
      <w:r w:rsidR="009C2985">
        <w:t>Šance pro budovy</w:t>
      </w:r>
      <w:r>
        <w:t>. V evropském měřítku se bude naše pozice opírat také o kampaň Renovate Europe jehož členem je také Šance pro budovy.</w:t>
      </w:r>
      <w:r w:rsidR="00330F04">
        <w:t xml:space="preserve"> </w:t>
      </w:r>
      <w:r w:rsidR="00541585">
        <w:t>Soustředění práce na podporu investic do energeticky úsporného stavebnictví, jejich lepší zacílení a zejména monitoring plnění stanoveného Plánu jsou dle našeho úsudku zásadními aspekty úspěšného naplnění směrnice EED, kterou se Česká republika zavázala realizovat do roku 2020. Na základě prozatímního opoždění s plnění</w:t>
      </w:r>
      <w:r w:rsidR="00BE3AE9">
        <w:t>m stanoveného plánu od roku 2014</w:t>
      </w:r>
      <w:r w:rsidR="00541585">
        <w:t xml:space="preserve"> chceme upozornit na </w:t>
      </w:r>
      <w:r w:rsidR="00541585">
        <w:lastRenderedPageBreak/>
        <w:t>určitá pochybení v plnění EED a zacílit tento text tak, aby byly v budoucnu splněny veškeré důležité aspekty obsažené v článku 5 EED s </w:t>
      </w:r>
      <w:r w:rsidR="00541585" w:rsidRPr="00541585">
        <w:rPr>
          <w:b/>
        </w:rPr>
        <w:t xml:space="preserve">důrazem na příkladnou úlohu budov veřejných subjektů.  </w:t>
      </w:r>
    </w:p>
    <w:p w14:paraId="5CB0DD8F" w14:textId="3870C3C9" w:rsidR="00CB57F9" w:rsidRPr="00B84152" w:rsidRDefault="00B84152" w:rsidP="00B84152">
      <w:pPr>
        <w:pStyle w:val="Nadpis2"/>
      </w:pPr>
      <w:bookmarkStart w:id="3" w:name="_Toc451460893"/>
      <w:r>
        <w:t xml:space="preserve">1.3. </w:t>
      </w:r>
      <w:r w:rsidR="00CB57F9" w:rsidRPr="00B84152">
        <w:t>Definice cílového aktéra</w:t>
      </w:r>
      <w:bookmarkEnd w:id="3"/>
    </w:p>
    <w:p w14:paraId="47B6AE4A" w14:textId="49FF7F40" w:rsidR="00B4144C" w:rsidRDefault="00B4144C" w:rsidP="00B4144C">
      <w:pPr>
        <w:jc w:val="both"/>
      </w:pPr>
      <w:r>
        <w:t xml:space="preserve">Na základě přijetí usnesení č. 923, ze dne 4. prosince 2013 a následného usnesení č. 609 ze dne 21. července 2014, ze kterého vyplynul úkol pro ministra </w:t>
      </w:r>
      <w:r w:rsidRPr="00B4144C">
        <w:t>průmyslu a obchodu zpracovat plán rekonstrukce příslušných objektů a pro ministra životního prostředí vyhlašovat výzvy na poskytnutí dotace z Operačního programu Životní prostředí (dále jen „OPŽP“) pro příslušné objekty</w:t>
      </w:r>
      <w:r w:rsidR="00694D81">
        <w:t>,</w:t>
      </w:r>
      <w:r>
        <w:t xml:space="preserve"> budeme vycházet z předloženého materiálu Plánu rekonstrukce objektů, v působnosti článku 5 směrnice Evropského parlamentu a Rady ze dne 25. října 2012 o energetické účinnosti, pro rok 2016 s výhledem do roku 2020</w:t>
      </w:r>
      <w:r w:rsidR="00B55314">
        <w:t>, (dále jen „Plán</w:t>
      </w:r>
      <w:r w:rsidR="00427A86">
        <w:t xml:space="preserve"> rekonstrukce budov</w:t>
      </w:r>
      <w:r w:rsidR="00B55314">
        <w:t xml:space="preserve">“), který je výsledkem požadavku vycházejícího z usnesení č. 185 ze dne 16. března 2015. </w:t>
      </w:r>
    </w:p>
    <w:p w14:paraId="59E14EDC" w14:textId="58F5AFD1" w:rsidR="00EC4C5E" w:rsidRPr="005A7F41" w:rsidRDefault="00316D7F" w:rsidP="005A7F41">
      <w:pPr>
        <w:jc w:val="both"/>
        <w:rPr>
          <w:b/>
        </w:rPr>
      </w:pPr>
      <w:r>
        <w:rPr>
          <w:b/>
        </w:rPr>
        <w:t>Zodpovědným garantem IV</w:t>
      </w:r>
      <w:r w:rsidR="00B55314" w:rsidRPr="00B55314">
        <w:rPr>
          <w:b/>
        </w:rPr>
        <w:t>. NAPEE ČR 2014-2020 a Plánu</w:t>
      </w:r>
      <w:r w:rsidR="00427A86">
        <w:rPr>
          <w:b/>
        </w:rPr>
        <w:t xml:space="preserve"> rekonstrukce budov</w:t>
      </w:r>
      <w:r w:rsidR="00B55314" w:rsidRPr="00B55314">
        <w:rPr>
          <w:b/>
        </w:rPr>
        <w:t xml:space="preserve"> je</w:t>
      </w:r>
      <w:r w:rsidR="0032140D">
        <w:rPr>
          <w:b/>
        </w:rPr>
        <w:t xml:space="preserve"> za MPO odbor </w:t>
      </w:r>
      <w:r w:rsidR="000B6F04">
        <w:rPr>
          <w:b/>
        </w:rPr>
        <w:t>elektroenergetiky. Jeho agendu v</w:t>
      </w:r>
      <w:r w:rsidR="0032140D">
        <w:rPr>
          <w:b/>
        </w:rPr>
        <w:t xml:space="preserve"> energetické efektivitě však v průběhu roku 2015 přebral odbor energetické účinnosti a úspor v čele s Ing. Vladimírem Sochorem, jemuž je tento text primárně adresován. </w:t>
      </w:r>
    </w:p>
    <w:p w14:paraId="65843168" w14:textId="77777777" w:rsidR="00CB57F9" w:rsidRDefault="002F0B1A" w:rsidP="00CB57F9">
      <w:r>
        <w:pict w14:anchorId="3264D2F1">
          <v:rect id="_x0000_i1025" style="width:0;height:1.5pt" o:hralign="center" o:hrstd="t" o:hr="t" fillcolor="#a0a0a0" stroked="f"/>
        </w:pict>
      </w:r>
    </w:p>
    <w:p w14:paraId="1B68483D" w14:textId="02AABF8E" w:rsidR="00CB57F9" w:rsidRDefault="00FC1B07" w:rsidP="00CB57F9">
      <w:pPr>
        <w:pStyle w:val="Nadpis1"/>
      </w:pPr>
      <w:bookmarkStart w:id="4" w:name="_Toc451460894"/>
      <w:r>
        <w:t xml:space="preserve">2. </w:t>
      </w:r>
      <w:r w:rsidR="00B84152">
        <w:t>Policy Paper</w:t>
      </w:r>
      <w:bookmarkEnd w:id="4"/>
    </w:p>
    <w:p w14:paraId="0AA7FD64" w14:textId="682A9F9D" w:rsidR="00EC64D8" w:rsidRDefault="00B84152" w:rsidP="00B84152">
      <w:pPr>
        <w:pStyle w:val="Nadpis2"/>
      </w:pPr>
      <w:bookmarkStart w:id="5" w:name="_Toc451460895"/>
      <w:r>
        <w:t xml:space="preserve">2.1. </w:t>
      </w:r>
      <w:r w:rsidR="004267C0">
        <w:t>Úvod do</w:t>
      </w:r>
      <w:r w:rsidR="00EC64D8" w:rsidRPr="00B84152">
        <w:t xml:space="preserve"> problematiky</w:t>
      </w:r>
      <w:bookmarkEnd w:id="5"/>
    </w:p>
    <w:p w14:paraId="5F456F30" w14:textId="0C2AC1D4" w:rsidR="00AD4A7E" w:rsidRDefault="00AD4A7E" w:rsidP="00F86081">
      <w:pPr>
        <w:jc w:val="both"/>
      </w:pPr>
      <w:r>
        <w:t>Česká republika se zavázala k plnění cílů Národního akčního plánu pro energetickou účinnost (NAPEE). Samotný Národní</w:t>
      </w:r>
      <w:r w:rsidR="004344B6">
        <w:t xml:space="preserve"> akční plán (NAPEE) však má </w:t>
      </w:r>
      <w:r w:rsidR="000715D5">
        <w:t>dle aliance o</w:t>
      </w:r>
      <w:r w:rsidR="00F64501">
        <w:t xml:space="preserve">borových asociací Šance pro budovy </w:t>
      </w:r>
      <w:r w:rsidR="004344B6">
        <w:t>určité</w:t>
      </w:r>
      <w:r>
        <w:t xml:space="preserve"> </w:t>
      </w:r>
      <w:r w:rsidRPr="00407C49">
        <w:rPr>
          <w:b/>
        </w:rPr>
        <w:t>nedostatky, které mohou vést k nedočerpání operačních programů či nesplnění cíle NAPEE</w:t>
      </w:r>
      <w:r w:rsidR="004344B6">
        <w:rPr>
          <w:rStyle w:val="Znakapoznpodarou"/>
        </w:rPr>
        <w:footnoteReference w:id="4"/>
      </w:r>
      <w:r>
        <w:t xml:space="preserve">. </w:t>
      </w:r>
      <w:r w:rsidRPr="00407C49">
        <w:rPr>
          <w:b/>
        </w:rPr>
        <w:t>V případě, že by se plán ú</w:t>
      </w:r>
      <w:r w:rsidR="000801C1">
        <w:rPr>
          <w:b/>
        </w:rPr>
        <w:t>s</w:t>
      </w:r>
      <w:r w:rsidRPr="00407C49">
        <w:rPr>
          <w:b/>
        </w:rPr>
        <w:t xml:space="preserve">por nepodařilo </w:t>
      </w:r>
      <w:r w:rsidR="000801C1">
        <w:rPr>
          <w:b/>
        </w:rPr>
        <w:t>naplnit</w:t>
      </w:r>
      <w:r w:rsidRPr="00407C49">
        <w:rPr>
          <w:b/>
        </w:rPr>
        <w:t>, hrozí České republice ze strany Evropské komise sankce.</w:t>
      </w:r>
      <w:r>
        <w:t xml:space="preserve"> </w:t>
      </w:r>
    </w:p>
    <w:p w14:paraId="4AD2E730" w14:textId="75D2CD23" w:rsidR="00F64501" w:rsidRDefault="00F64501" w:rsidP="00F86081">
      <w:pPr>
        <w:jc w:val="both"/>
      </w:pPr>
      <w:r>
        <w:t xml:space="preserve">V NAPEE </w:t>
      </w:r>
      <w:r w:rsidR="00212C91">
        <w:t xml:space="preserve">především </w:t>
      </w:r>
      <w:r w:rsidRPr="00407C49">
        <w:rPr>
          <w:b/>
        </w:rPr>
        <w:t xml:space="preserve">chybí </w:t>
      </w:r>
      <w:r w:rsidR="00574A13">
        <w:rPr>
          <w:b/>
        </w:rPr>
        <w:t xml:space="preserve">podrobnější </w:t>
      </w:r>
      <w:r w:rsidRPr="00407C49">
        <w:rPr>
          <w:b/>
        </w:rPr>
        <w:t xml:space="preserve">doporučení </w:t>
      </w:r>
      <w:r w:rsidRPr="00574A13">
        <w:t>k opatřením směřujícím k zvyšování energetické účinnosti</w:t>
      </w:r>
      <w:r>
        <w:t xml:space="preserve">, což představuje jeden z prvotních nedostatků dokumentu. </w:t>
      </w:r>
      <w:r w:rsidR="000801C1">
        <w:t xml:space="preserve">Zároveň je v NAPEE </w:t>
      </w:r>
      <w:r w:rsidR="00F557BE">
        <w:t>jen velice vágně definovaný alternativní přístup k naplnění článku 5 EED, který si ČR zvolila</w:t>
      </w:r>
      <w:r w:rsidR="0075035F">
        <w:t>, a jeho případné zhodnocení</w:t>
      </w:r>
      <w:r w:rsidR="00F557BE">
        <w:rPr>
          <w:rStyle w:val="Znakapoznpodarou"/>
        </w:rPr>
        <w:footnoteReference w:id="5"/>
      </w:r>
      <w:r w:rsidR="00F557BE">
        <w:t xml:space="preserve">. </w:t>
      </w:r>
      <w:r>
        <w:t xml:space="preserve">Jelikož aktualizace NAPEE </w:t>
      </w:r>
      <w:r w:rsidRPr="00407C49">
        <w:rPr>
          <w:b/>
        </w:rPr>
        <w:t>neobsahují vyčíslení dosavadních dopadů konkrétních opatření</w:t>
      </w:r>
      <w:r w:rsidR="00212C91" w:rsidRPr="00407C49">
        <w:rPr>
          <w:b/>
        </w:rPr>
        <w:t>, jejich bilancování a z nich plynoucí doporučení pro zlepšení</w:t>
      </w:r>
      <w:r w:rsidR="00212C91">
        <w:t xml:space="preserve">, považuje aliance tento dokument v aktuální podobě za velmi </w:t>
      </w:r>
      <w:r w:rsidR="003A2D59">
        <w:t>plytký</w:t>
      </w:r>
      <w:r w:rsidR="003A2D59">
        <w:rPr>
          <w:rStyle w:val="Znakapoznpodarou"/>
        </w:rPr>
        <w:footnoteReference w:id="6"/>
      </w:r>
      <w:r w:rsidR="003A2D59">
        <w:t>.</w:t>
      </w:r>
      <w:r w:rsidR="00212C91">
        <w:t xml:space="preserve"> </w:t>
      </w:r>
    </w:p>
    <w:p w14:paraId="594033F8" w14:textId="4916F2BB" w:rsidR="004344B6" w:rsidRDefault="00F64501" w:rsidP="00F86081">
      <w:pPr>
        <w:jc w:val="both"/>
      </w:pPr>
      <w:r>
        <w:t>Dalším</w:t>
      </w:r>
      <w:r w:rsidR="004344B6">
        <w:t xml:space="preserve"> z problémů je, že </w:t>
      </w:r>
      <w:r w:rsidR="005127AA">
        <w:t xml:space="preserve">snahy vlády o koordinaci </w:t>
      </w:r>
      <w:r w:rsidR="004344B6">
        <w:t>úspor energie v</w:t>
      </w:r>
      <w:r w:rsidR="005127AA">
        <w:t> </w:t>
      </w:r>
      <w:r w:rsidR="004344B6">
        <w:t>budovách</w:t>
      </w:r>
      <w:r w:rsidR="005127AA">
        <w:t xml:space="preserve">, především v oblastech podpory úsporných a operačních programů, </w:t>
      </w:r>
      <w:r w:rsidR="0038609C">
        <w:t xml:space="preserve">nejsou zatím velmi </w:t>
      </w:r>
      <w:r w:rsidR="005127AA">
        <w:t xml:space="preserve">úspěšné. </w:t>
      </w:r>
      <w:r w:rsidR="00987C06">
        <w:t xml:space="preserve">V současné době totiž běží </w:t>
      </w:r>
      <w:r w:rsidR="004267C0">
        <w:lastRenderedPageBreak/>
        <w:t xml:space="preserve">nebo je plánována </w:t>
      </w:r>
      <w:r w:rsidR="00987C06">
        <w:t>podpora úspor energie v budovách v rámci čtrnácti celostátních a evropských programů</w:t>
      </w:r>
      <w:r w:rsidR="004267C0">
        <w:t>, které</w:t>
      </w:r>
      <w:r w:rsidR="00987C06">
        <w:t xml:space="preserve"> jsou řízené čtyřmi různými úřady</w:t>
      </w:r>
      <w:r w:rsidR="00987C06">
        <w:rPr>
          <w:rStyle w:val="Znakapoznpodarou"/>
        </w:rPr>
        <w:footnoteReference w:id="7"/>
      </w:r>
      <w:r w:rsidR="00987C06">
        <w:t>.</w:t>
      </w:r>
    </w:p>
    <w:p w14:paraId="0E37F14A" w14:textId="4124B6A7" w:rsidR="009C6342" w:rsidRDefault="00987C06" w:rsidP="00F86081">
      <w:pPr>
        <w:jc w:val="both"/>
      </w:pPr>
      <w:r>
        <w:t>Co se týče jednotlivých programů, i tyto mají své nedostatky, jejichž odstraněním by bylo možné podpo</w:t>
      </w:r>
      <w:r w:rsidR="009C6342">
        <w:t>řit cíl NAPEE, např.:</w:t>
      </w:r>
    </w:p>
    <w:p w14:paraId="2648AD3D" w14:textId="4EB96C20" w:rsidR="009C6342" w:rsidRDefault="00987C06" w:rsidP="009C6342">
      <w:pPr>
        <w:pStyle w:val="Odstavecseseznamem"/>
        <w:numPr>
          <w:ilvl w:val="0"/>
          <w:numId w:val="10"/>
        </w:numPr>
        <w:jc w:val="both"/>
      </w:pPr>
      <w:r>
        <w:t>Operační program Životní prostředí (dále OPŽP) trpí nedostatečnou finanční alokací. Na program je vyčleněno pouhých 13 mld. Kč, přičemž efektivně využitelná absorpční kapacita programu činí cca 30 mld. Kč.</w:t>
      </w:r>
      <w:r w:rsidR="009C6342">
        <w:rPr>
          <w:rStyle w:val="Znakapoznpodarou"/>
        </w:rPr>
        <w:footnoteReference w:id="8"/>
      </w:r>
      <w:r>
        <w:t xml:space="preserve"> </w:t>
      </w:r>
    </w:p>
    <w:p w14:paraId="3880021B" w14:textId="68886EC8" w:rsidR="009C6342" w:rsidRDefault="00987C06" w:rsidP="009C6342">
      <w:pPr>
        <w:pStyle w:val="Odstavecseseznamem"/>
        <w:numPr>
          <w:ilvl w:val="0"/>
          <w:numId w:val="10"/>
        </w:numPr>
        <w:jc w:val="both"/>
      </w:pPr>
      <w:r>
        <w:t>Integrovaný regionální operační program (dále IROP) vyžaduje pouze 30% úsporu energie. Tato podmínka ale nedosahuje podmínek pro nákladově-efektivní úroveň renovace. V případě takto nekvalitní renovace bude blokována část ekonomického potenciálu úspor energie a program tak pouze minimálně přispěje k naplňování cíle ČR pro energetickou efektivitu do roku 2020. Dalším nedostatkem programu je neumožnění realizace projektů na území hlavního města Prahy</w:t>
      </w:r>
      <w:r w:rsidR="009C6342">
        <w:t xml:space="preserve"> či nedostatečná alokace finančních prostředků, podobně, jako v případě programu OPŽP,</w:t>
      </w:r>
      <w:r w:rsidR="00691FBE">
        <w:t xml:space="preserve"> kdy efektivně využitelná absorp</w:t>
      </w:r>
      <w:r w:rsidR="009C6342">
        <w:t xml:space="preserve">ční kapacita dosahuje u programu IROP až 45 mld. Kč, oproti vyčleněným 13 mld. Kč. Určitým specifikem IROP  je i nesvolávání pracovních skupin k přípravě programu. Připomínky zainteresovaných skupin jsou tak Ministerstvem pro místní rozvoj, které je řídícím orgánem tohoto projektu, reflektovány pouze v omezené míře. </w:t>
      </w:r>
      <w:r w:rsidR="009C6342">
        <w:rPr>
          <w:rStyle w:val="Znakapoznpodarou"/>
        </w:rPr>
        <w:footnoteReference w:id="9"/>
      </w:r>
    </w:p>
    <w:p w14:paraId="686020B0" w14:textId="2D1688C2" w:rsidR="00F64501" w:rsidRDefault="004267C0" w:rsidP="00F86081">
      <w:pPr>
        <w:jc w:val="both"/>
      </w:pPr>
      <w:r w:rsidRPr="00407C49">
        <w:rPr>
          <w:b/>
        </w:rPr>
        <w:t>Efektivními renovacemi budov je možné dosáhnout splnění až 80</w:t>
      </w:r>
      <w:r w:rsidR="00E13077">
        <w:rPr>
          <w:b/>
        </w:rPr>
        <w:t xml:space="preserve"> </w:t>
      </w:r>
      <w:r w:rsidR="00AF2FFD">
        <w:rPr>
          <w:b/>
        </w:rPr>
        <w:t>% celkového cíle úspory 5</w:t>
      </w:r>
      <w:r w:rsidR="00823902">
        <w:rPr>
          <w:b/>
        </w:rPr>
        <w:t>0,67</w:t>
      </w:r>
      <w:r w:rsidRPr="00407C49">
        <w:rPr>
          <w:b/>
        </w:rPr>
        <w:t xml:space="preserve"> PJ do roku 2020</w:t>
      </w:r>
      <w:r>
        <w:rPr>
          <w:rStyle w:val="Znakapoznpodarou"/>
        </w:rPr>
        <w:footnoteReference w:id="10"/>
      </w:r>
      <w:r>
        <w:t xml:space="preserve">. V rámci snah o naplnění článku 5 EED by </w:t>
      </w:r>
      <w:r w:rsidRPr="00407C49">
        <w:rPr>
          <w:b/>
        </w:rPr>
        <w:t>budovy veřejných subjektů vzhledem k velké užitné ploše tvořily nezanedbatelnou část z celkových úspor</w:t>
      </w:r>
      <w:r>
        <w:t>. Aby však závazky plynoucí z článku 5 mohly být efektivně naplněny, je nutné aktualizovat a zkvalitnit současné ustanovení z NAPEE.</w:t>
      </w:r>
    </w:p>
    <w:p w14:paraId="41639A26" w14:textId="31F76F97" w:rsidR="00F64501" w:rsidRDefault="00691FBE" w:rsidP="00691FBE">
      <w:pPr>
        <w:pStyle w:val="Nadpis2"/>
      </w:pPr>
      <w:bookmarkStart w:id="6" w:name="_Toc451460896"/>
      <w:r>
        <w:t>2.2. (Ne)naplňování cíle dle článku 5 EED</w:t>
      </w:r>
      <w:bookmarkEnd w:id="6"/>
    </w:p>
    <w:p w14:paraId="7C80B018" w14:textId="498131F8" w:rsidR="00691FBE" w:rsidRDefault="00691FBE" w:rsidP="00CF0382">
      <w:pPr>
        <w:jc w:val="both"/>
      </w:pPr>
      <w:r>
        <w:t>Dle článku 5 EED „</w:t>
      </w:r>
      <w:r w:rsidR="00AF48B4">
        <w:rPr>
          <w:i/>
        </w:rPr>
        <w:t>Příkladná úloha budov veřejn</w:t>
      </w:r>
      <w:r>
        <w:rPr>
          <w:i/>
        </w:rPr>
        <w:t xml:space="preserve">ých subjektů“ </w:t>
      </w:r>
      <w:r>
        <w:t>by veřejný sektor měl jít ve zvyšování energetické účinnosti příkladem. Z toho důvodu byla zavedena povinnost pro ústřední vládní instituce od 1. ledna 2014 každoročně renovovat budovy</w:t>
      </w:r>
      <w:r w:rsidR="00CF0382">
        <w:t>, konkrétně ve výši 3 % podlahové plochy vytápěných nebo chlazených budov,</w:t>
      </w:r>
      <w:r>
        <w:t xml:space="preserve"> v jejich vlastnictví a užívání</w:t>
      </w:r>
      <w:r w:rsidR="00CF0382">
        <w:t>.</w:t>
      </w:r>
    </w:p>
    <w:p w14:paraId="00775EB8" w14:textId="2A93D274" w:rsidR="00ED4AE5" w:rsidRPr="00ED4AE5" w:rsidRDefault="00CF0382" w:rsidP="00ED4AE5">
      <w:pPr>
        <w:jc w:val="both"/>
        <w:rPr>
          <w:rFonts w:ascii="Arial" w:hAnsi="Arial" w:cs="Arial"/>
          <w:sz w:val="20"/>
        </w:rPr>
      </w:pPr>
      <w:r>
        <w:lastRenderedPageBreak/>
        <w:t>Původní plán rekonstrukce budov počítal s více, než 975 objekty, které měly podléhat rekonstrukci</w:t>
      </w:r>
      <w:r>
        <w:rPr>
          <w:rStyle w:val="Znakapoznpodarou"/>
        </w:rPr>
        <w:footnoteReference w:id="11"/>
      </w:r>
      <w:r>
        <w:t xml:space="preserve">. V rámci příprav plánu rekonstrukce budov spadajících pod článek 5 EED nicméně došlo pro roky 2016 – 2020 k revizi souboru budov, která měla za následek </w:t>
      </w:r>
      <w:r w:rsidRPr="000E4286">
        <w:rPr>
          <w:b/>
        </w:rPr>
        <w:t>rapidní snížení počtu budov</w:t>
      </w:r>
      <w:r w:rsidR="00ED4AE5" w:rsidRPr="000E4286">
        <w:rPr>
          <w:b/>
        </w:rPr>
        <w:t>, na celkový počet 324</w:t>
      </w:r>
      <w:r w:rsidRPr="00ED4AE5">
        <w:rPr>
          <w:vertAlign w:val="superscript"/>
        </w:rPr>
        <w:footnoteReference w:id="12"/>
      </w:r>
      <w:r w:rsidR="000A519C">
        <w:rPr>
          <w:b/>
        </w:rPr>
        <w:t>.</w:t>
      </w:r>
      <w:r w:rsidR="006A011D">
        <w:t xml:space="preserve"> MPO dále u budov, u nichž se v roce 2014 měnily vlastnické struktury, předpokládá, že byla věcně ukončena spotřeba energie a proto považuje nespotřebovanou energii od následujícího roku od data vyřazení z veřejného majetku za úsporu, kterou lze započítat do plnění dle čl. 5 EED.</w:t>
      </w:r>
      <w:r w:rsidR="006A011D">
        <w:rPr>
          <w:rStyle w:val="Znakapoznpodarou"/>
        </w:rPr>
        <w:footnoteReference w:id="13"/>
      </w:r>
      <w:r w:rsidR="006A011D">
        <w:t xml:space="preserve"> </w:t>
      </w:r>
    </w:p>
    <w:p w14:paraId="15AF716E" w14:textId="77777777" w:rsidR="00E85456" w:rsidRDefault="006A011D" w:rsidP="00F86081">
      <w:pPr>
        <w:jc w:val="both"/>
      </w:pPr>
      <w:r>
        <w:t xml:space="preserve">Dalším nedostatkem při stanovení cíle ČR dle článku 5 EED je sběr dat, kdy MPO předpokládalo, že jako hlavní zdroj identifikace budov spadajících pod čl. 5 budou Průkazy energetické náročnosti budov (PENB). V rámci aktualizace dat v roce 2014 však pracovníci MPO zjistili, že </w:t>
      </w:r>
      <w:r w:rsidRPr="000E4286">
        <w:rPr>
          <w:b/>
        </w:rPr>
        <w:t>některé z ústředních institucí nemají PENB k dispozici</w:t>
      </w:r>
      <w:r>
        <w:t>.</w:t>
      </w:r>
      <w:r>
        <w:rPr>
          <w:rStyle w:val="Znakapoznpodarou"/>
        </w:rPr>
        <w:footnoteReference w:id="14"/>
      </w:r>
      <w:r w:rsidR="00E85456">
        <w:t xml:space="preserve"> </w:t>
      </w:r>
    </w:p>
    <w:p w14:paraId="6CC34DAB" w14:textId="2A114F9A" w:rsidR="00E85456" w:rsidRDefault="00E85456" w:rsidP="00F86081">
      <w:pPr>
        <w:jc w:val="both"/>
      </w:pPr>
      <w:r>
        <w:t>MPO nakonec po určení standardizované spotřeby vytyčilo nový objem úspor energie, dosahující úrovně 25 457 MWh v roce 2020.</w:t>
      </w:r>
      <w:r>
        <w:rPr>
          <w:rStyle w:val="Znakapoznpodarou"/>
        </w:rPr>
        <w:footnoteReference w:id="15"/>
      </w:r>
      <w:r>
        <w:t xml:space="preserve"> </w:t>
      </w:r>
      <w:r w:rsidRPr="000E4286">
        <w:rPr>
          <w:b/>
        </w:rPr>
        <w:t>Toto vyčíslení je nicméně pouze ideálním stavem</w:t>
      </w:r>
      <w:r w:rsidR="000E4286" w:rsidRPr="000E4286">
        <w:rPr>
          <w:b/>
        </w:rPr>
        <w:t>, který bude naplněn pouze v</w:t>
      </w:r>
      <w:r w:rsidRPr="000E4286">
        <w:rPr>
          <w:b/>
        </w:rPr>
        <w:t> případě, že renovace dotčených budov proběhne bez prodlení</w:t>
      </w:r>
      <w:r w:rsidR="000E4286" w:rsidRPr="000E4286">
        <w:rPr>
          <w:b/>
        </w:rPr>
        <w:t xml:space="preserve"> dle plánu renovací budov, který ale není direktivní</w:t>
      </w:r>
      <w:r w:rsidR="000E4286">
        <w:t>. I samotné MPO konstatuje, že:</w:t>
      </w:r>
      <w:r w:rsidR="000E4286" w:rsidRPr="000E4286">
        <w:rPr>
          <w:i/>
        </w:rPr>
        <w:t xml:space="preserve"> „…pravděpodobnost realizace je silně závislá na zajištění způsobu financování, a klesá se zvyšujícím se procentem povinné spoluúčasti financování z vlastních rozpočtových zdrojů rezortu, stejně tak jako v případě, že celý proces realizace projektu nebude administrativně zabezpečen.“</w:t>
      </w:r>
      <w:r w:rsidR="000E4286">
        <w:rPr>
          <w:i/>
        </w:rPr>
        <w:t xml:space="preserve"> </w:t>
      </w:r>
      <w:r w:rsidR="000E4286" w:rsidRPr="000E4286">
        <w:rPr>
          <w:rStyle w:val="Znakapoznpodarou"/>
        </w:rPr>
        <w:footnoteReference w:id="16"/>
      </w:r>
    </w:p>
    <w:p w14:paraId="053783B8" w14:textId="387939C7" w:rsidR="006C5063" w:rsidRDefault="00DC1255" w:rsidP="006C5063">
      <w:pPr>
        <w:jc w:val="both"/>
      </w:pPr>
      <w:r>
        <w:t xml:space="preserve">Už rok 2014 ukázal, že dosahování minimálního závazku bude velice komplikované, jelikož nebylo požadovaných úsporných opatření dosaženo a kalkulovaný výsledný efekt 464 MWh úspor energie namísto vytyčených 909 MWh je </w:t>
      </w:r>
      <w:r w:rsidR="006C5063">
        <w:t xml:space="preserve">nedostatečný. </w:t>
      </w:r>
      <w:r w:rsidR="006C5063" w:rsidRPr="006E281F">
        <w:t>Plán na rok 2015 byl dle tohoto vývoje aktualizován a povinný závazek ve výši 4601 MWh měl být naplněn.</w:t>
      </w:r>
      <w:r w:rsidR="006C5063" w:rsidRPr="006E281F">
        <w:rPr>
          <w:rStyle w:val="Znakapoznpodarou"/>
        </w:rPr>
        <w:footnoteReference w:id="17"/>
      </w:r>
      <w:r w:rsidR="006E281F" w:rsidRPr="006E281F">
        <w:t xml:space="preserve"> Výsledky energetických úspor za rok 2015 dosáhly pouze 90 % plánované realizace a nenaplněná část se bude převádět do plnění v roce 2016</w:t>
      </w:r>
      <w:r w:rsidR="006C5063" w:rsidRPr="006E281F">
        <w:t>.</w:t>
      </w:r>
      <w:r w:rsidR="006E281F" w:rsidRPr="006E281F">
        <w:t xml:space="preserve"> Nesplnění závazků z roku 2014 i</w:t>
      </w:r>
      <w:r w:rsidR="006E281F">
        <w:t xml:space="preserve"> 2015 tak poukazuje na aktuální</w:t>
      </w:r>
      <w:r w:rsidR="006E281F" w:rsidRPr="006E281F">
        <w:t xml:space="preserve"> neschopnost České republiky plnit závazky vyplývající ze článku 5 EED.</w:t>
      </w:r>
      <w:r w:rsidR="006E281F">
        <w:t xml:space="preserve"> </w:t>
      </w:r>
    </w:p>
    <w:p w14:paraId="69142FFF" w14:textId="26DBCCC5" w:rsidR="001A1770" w:rsidRDefault="001A1770" w:rsidP="006C5063">
      <w:pPr>
        <w:jc w:val="both"/>
      </w:pPr>
      <w:r>
        <w:lastRenderedPageBreak/>
        <w:t>I přes závazný charakter</w:t>
      </w:r>
      <w:r w:rsidR="00E4202A">
        <w:t xml:space="preserve"> směrnice je v případě její implementace v aktuálním</w:t>
      </w:r>
      <w:r>
        <w:t xml:space="preserve"> vydání NAPEE ze strany MPO zaujímám postoj </w:t>
      </w:r>
      <w:r w:rsidR="003A51FD">
        <w:t>nevymahatelnosti dodržován</w:t>
      </w:r>
      <w:r w:rsidR="00E4202A">
        <w:t>í stanovených závazků. Například</w:t>
      </w:r>
      <w:r w:rsidR="003A51FD">
        <w:t xml:space="preserve"> „</w:t>
      </w:r>
      <w:r w:rsidR="003A51FD" w:rsidRPr="003A51FD">
        <w:rPr>
          <w:i/>
        </w:rPr>
        <w:t>Česká republika vnímá orientační vnitrostátní cíl definovaný čl. 3 směrnice 2012/27/EU jako rámcový cíl nezávazného charakteru, který nezakládá konkrétní a právně vymahatelnou povinnost jak pro ČR, tak i pro další subjekty.</w:t>
      </w:r>
      <w:r w:rsidR="003A51FD">
        <w:t>“</w:t>
      </w:r>
      <w:r w:rsidR="00E4202A">
        <w:rPr>
          <w:rStyle w:val="Znakapoznpodarou"/>
        </w:rPr>
        <w:footnoteReference w:id="18"/>
      </w:r>
      <w:r w:rsidR="00E4202A">
        <w:t xml:space="preserve"> Zdá se, že </w:t>
      </w:r>
      <w:r w:rsidR="00B65615">
        <w:t>ze strany MPO se jedná o snahu vytvořit si</w:t>
      </w:r>
      <w:r w:rsidR="00E4202A">
        <w:t xml:space="preserve"> pojistku v případě,</w:t>
      </w:r>
      <w:r w:rsidR="00627750">
        <w:t xml:space="preserve"> že </w:t>
      </w:r>
      <w:r w:rsidR="00E4202A">
        <w:t>by vytyčené naplnění</w:t>
      </w:r>
      <w:r w:rsidR="00627750">
        <w:t xml:space="preserve"> plánu kumulativní</w:t>
      </w:r>
      <w:r w:rsidR="00E4202A">
        <w:t>ch úspor v jejich plné výši nebylo do roku 2020 dosaženo</w:t>
      </w:r>
      <w:r w:rsidR="00627750">
        <w:t>.</w:t>
      </w:r>
      <w:r w:rsidR="00E4202A">
        <w:t xml:space="preserve"> Bylo by zajímavé sledovat, jakým způsobem by se vzhledem k nadřazenosti evropského práva a povinnosti implementace směrnic Česká republika vypořádala s problematikou (ne)vymahatelnosti.</w:t>
      </w:r>
    </w:p>
    <w:p w14:paraId="51D4AF86" w14:textId="2FE9A2AC" w:rsidR="00F97AE7" w:rsidRDefault="00F97AE7" w:rsidP="00F97AE7">
      <w:pPr>
        <w:pStyle w:val="Nadpis2"/>
      </w:pPr>
      <w:bookmarkStart w:id="7" w:name="_Toc451460897"/>
      <w:r>
        <w:t>2.3. Doporučení</w:t>
      </w:r>
      <w:r w:rsidR="000715D5">
        <w:t xml:space="preserve"> aliance o</w:t>
      </w:r>
      <w:r w:rsidR="00A63212">
        <w:t>borových asociací Šance pro budovy</w:t>
      </w:r>
      <w:bookmarkEnd w:id="7"/>
    </w:p>
    <w:p w14:paraId="322381BC" w14:textId="469B8242" w:rsidR="00C4476E" w:rsidRDefault="00F97AE7" w:rsidP="00F97AE7">
      <w:pPr>
        <w:jc w:val="both"/>
      </w:pPr>
      <w:r>
        <w:t xml:space="preserve">Jak už bylo uvedeno výše, snahy o naplňování cílů z NAPEE se setkávají se značnými komplikacemi. Aby bylo možné tyto komplikace vyřešit, </w:t>
      </w:r>
      <w:r w:rsidRPr="00424841">
        <w:rPr>
          <w:b/>
        </w:rPr>
        <w:t>měly by být redefinovány a aktualizovány současné koncepce</w:t>
      </w:r>
      <w:r>
        <w:t xml:space="preserve">, které se problematikou zabývají. </w:t>
      </w:r>
      <w:r w:rsidR="00C4476E">
        <w:t>V tomto případě by se mělo začít především u Národního akčního plánu energetické účinnosti (NAPEE).</w:t>
      </w:r>
    </w:p>
    <w:p w14:paraId="4BE26077" w14:textId="76A9D55A" w:rsidR="00C4476E" w:rsidRDefault="00C4476E" w:rsidP="00F97AE7">
      <w:pPr>
        <w:jc w:val="both"/>
      </w:pPr>
      <w:r>
        <w:t xml:space="preserve">I v poslední aktualizaci NAPEE </w:t>
      </w:r>
      <w:r w:rsidRPr="00424841">
        <w:rPr>
          <w:b/>
        </w:rPr>
        <w:t>chybí konkrétní doporučení k jednotlivým opatřením k zvyšování energetické účinnosti</w:t>
      </w:r>
      <w:r>
        <w:t xml:space="preserve">. V případě dokumentu tohoto formátu </w:t>
      </w:r>
      <w:r w:rsidRPr="00424841">
        <w:rPr>
          <w:b/>
        </w:rPr>
        <w:t>doporučujeme v další aktualizaci podkladů</w:t>
      </w:r>
      <w:r w:rsidR="00D91A80" w:rsidRPr="00424841">
        <w:rPr>
          <w:b/>
        </w:rPr>
        <w:t xml:space="preserve"> rozpracovat konkrétní</w:t>
      </w:r>
      <w:r w:rsidR="00E94D55">
        <w:rPr>
          <w:b/>
        </w:rPr>
        <w:t xml:space="preserve"> doporučení k </w:t>
      </w:r>
      <w:r w:rsidR="00D91A80" w:rsidRPr="00424841">
        <w:rPr>
          <w:b/>
        </w:rPr>
        <w:t>plánovaným opatřením</w:t>
      </w:r>
      <w:r w:rsidR="00D91A80">
        <w:t xml:space="preserve">. NAPEE by zároveň </w:t>
      </w:r>
      <w:r w:rsidR="00D91A80" w:rsidRPr="00424841">
        <w:rPr>
          <w:b/>
        </w:rPr>
        <w:t xml:space="preserve">měl obsahovat vyčíslení dosavadních opatření a aktivit realizovaných za účelem zvyšování energetických </w:t>
      </w:r>
      <w:r w:rsidR="0038609C" w:rsidRPr="00424841">
        <w:rPr>
          <w:b/>
        </w:rPr>
        <w:t>úspor</w:t>
      </w:r>
      <w:r w:rsidR="0038609C">
        <w:t xml:space="preserve">, aby bylo možné </w:t>
      </w:r>
      <w:r w:rsidR="0038609C" w:rsidRPr="00424841">
        <w:rPr>
          <w:b/>
        </w:rPr>
        <w:t>tyto opatření bilancovat a podrobně zhodnotit</w:t>
      </w:r>
      <w:r w:rsidR="0038609C">
        <w:t xml:space="preserve">, z čeho by mohly plynout další doporučení a kroky směřující k zefektivňování vykonávaných aktivit. </w:t>
      </w:r>
    </w:p>
    <w:p w14:paraId="20CAD346" w14:textId="5D49347F" w:rsidR="00C4476E" w:rsidRDefault="00E47EAC" w:rsidP="00F97AE7">
      <w:pPr>
        <w:jc w:val="both"/>
      </w:pPr>
      <w:r>
        <w:t>Co se týče samotné renovace budov,</w:t>
      </w:r>
      <w:r w:rsidR="000C67CC">
        <w:t xml:space="preserve"> opatřeními směřujícími k zvyšování energetické efektivity je možné dosáhnout splnění až 80 % z celkového cíle úspory do roku 2020 dle NAPEE. V</w:t>
      </w:r>
      <w:r>
        <w:t xml:space="preserve"> asociaci Šance pro budovy</w:t>
      </w:r>
      <w:r w:rsidR="000C67CC">
        <w:t xml:space="preserve"> z toho důvodu</w:t>
      </w:r>
      <w:r>
        <w:t xml:space="preserve"> vidíme jako další krok pro</w:t>
      </w:r>
      <w:r w:rsidR="0038609C">
        <w:t xml:space="preserve"> zlepšení současného stavu </w:t>
      </w:r>
      <w:r w:rsidR="0038609C" w:rsidRPr="00424841">
        <w:rPr>
          <w:b/>
        </w:rPr>
        <w:t>důkladn</w:t>
      </w:r>
      <w:r w:rsidR="00F24FCB" w:rsidRPr="00424841">
        <w:rPr>
          <w:b/>
        </w:rPr>
        <w:t>ější</w:t>
      </w:r>
      <w:r w:rsidRPr="00424841">
        <w:rPr>
          <w:b/>
        </w:rPr>
        <w:t xml:space="preserve"> koordinaci a kontrolu</w:t>
      </w:r>
      <w:r w:rsidR="00E156F7" w:rsidRPr="00424841">
        <w:rPr>
          <w:b/>
        </w:rPr>
        <w:t xml:space="preserve"> operačních programů</w:t>
      </w:r>
      <w:r w:rsidRPr="00424841">
        <w:rPr>
          <w:b/>
        </w:rPr>
        <w:t xml:space="preserve"> pro úsporu energie v budovách</w:t>
      </w:r>
      <w:r>
        <w:t>.</w:t>
      </w:r>
      <w:r w:rsidR="00EB520E">
        <w:t xml:space="preserve"> Koordinační výbor na MPO se m</w:t>
      </w:r>
      <w:r w:rsidR="00FD3B59">
        <w:t>ezi jednotlivými rez</w:t>
      </w:r>
      <w:r w:rsidR="00EB520E">
        <w:t xml:space="preserve">orty netěší velké vážnosti, a pokud i nadále budou jednotlivé státní a evropské programy řízené minimálně čtyřmi úřady, jakékoliv snahy vlády o koordinaci budou i nadále neúspěšné. </w:t>
      </w:r>
    </w:p>
    <w:p w14:paraId="7B5F7E12" w14:textId="09F37EF9" w:rsidR="00734755" w:rsidRPr="000C67CC" w:rsidRDefault="00264A7F" w:rsidP="00F97AE7">
      <w:pPr>
        <w:jc w:val="both"/>
        <w:rPr>
          <w:b/>
        </w:rPr>
      </w:pPr>
      <w:r>
        <w:t xml:space="preserve">Odstranění nedostatků v jednotlivých programech by také představovalo nezanedbatelné zlepšení současného stavu. </w:t>
      </w:r>
      <w:r w:rsidRPr="00424841">
        <w:rPr>
          <w:b/>
        </w:rPr>
        <w:t>Nedostatečná alokace finančních prostředků</w:t>
      </w:r>
      <w:r>
        <w:t>, které ani zdaleka nepokrývají efektivně využitelnou absorpční kapacitu programů, je jedním z nejvýznamnějších faktorů brzdících snahy o zvyšování energetické efektivity českého hospodá</w:t>
      </w:r>
      <w:r w:rsidR="00424841">
        <w:t xml:space="preserve">řství. </w:t>
      </w:r>
      <w:r w:rsidR="00424841" w:rsidRPr="00424841">
        <w:rPr>
          <w:b/>
        </w:rPr>
        <w:t>Složitá administrativa, nesprávně nastavené hodnotící kritéria či nereflektování připomínek zainteresovaných skupin řídícími orgány</w:t>
      </w:r>
      <w:r w:rsidR="00424841">
        <w:t xml:space="preserve"> jednotlivých projektů</w:t>
      </w:r>
      <w:r w:rsidR="00424841" w:rsidRPr="00424841">
        <w:rPr>
          <w:b/>
        </w:rPr>
        <w:t xml:space="preserve"> jsou</w:t>
      </w:r>
      <w:r w:rsidR="00424841">
        <w:t xml:space="preserve"> </w:t>
      </w:r>
      <w:r w:rsidR="00424841" w:rsidRPr="00424841">
        <w:rPr>
          <w:b/>
        </w:rPr>
        <w:t>dalšími z problémů, které by se měly neodkladně řešit.</w:t>
      </w:r>
    </w:p>
    <w:p w14:paraId="385B144D" w14:textId="025F9899" w:rsidR="00B15C54" w:rsidRPr="00B15C54" w:rsidRDefault="00FF3A9B" w:rsidP="00B15C54">
      <w:pPr>
        <w:jc w:val="both"/>
      </w:pPr>
      <w:r>
        <w:t>Naplňování plánu rekonstrukce budov dle článku 5 EED je v</w:t>
      </w:r>
      <w:r w:rsidR="00D37936">
        <w:t xml:space="preserve"> současnosti </w:t>
      </w:r>
      <w:r w:rsidRPr="00D86824">
        <w:rPr>
          <w:b/>
        </w:rPr>
        <w:t>pozadu</w:t>
      </w:r>
      <w:r w:rsidR="00D37936" w:rsidRPr="00D86824">
        <w:rPr>
          <w:b/>
        </w:rPr>
        <w:t xml:space="preserve"> o téměř 50 %</w:t>
      </w:r>
      <w:r w:rsidR="00D37936">
        <w:t xml:space="preserve"> původního plánu dosahovaných úspor, jelikož kalkulovaný výsledný efekt dosáhl stěží 464 MWh energetických úspor</w:t>
      </w:r>
      <w:r w:rsidR="00D86824">
        <w:t xml:space="preserve"> oproti plánovaným 909 MWh</w:t>
      </w:r>
      <w:r w:rsidR="00C0259F">
        <w:rPr>
          <w:rStyle w:val="Znakapoznpodarou"/>
        </w:rPr>
        <w:footnoteReference w:id="19"/>
      </w:r>
      <w:r>
        <w:t xml:space="preserve">. </w:t>
      </w:r>
      <w:r w:rsidR="00D37936">
        <w:t xml:space="preserve">Je dále velice </w:t>
      </w:r>
      <w:r w:rsidR="00D37936" w:rsidRPr="004E4357">
        <w:rPr>
          <w:b/>
        </w:rPr>
        <w:t>pravděpodobné, že trend neplnění plánu bude pokračovat</w:t>
      </w:r>
      <w:r w:rsidR="00D37936">
        <w:t>, jelikož z</w:t>
      </w:r>
      <w:r>
        <w:t xml:space="preserve"> původně plánovaných 975 objektů, které měly být rekonstruovány, </w:t>
      </w:r>
      <w:r w:rsidRPr="004E4357">
        <w:rPr>
          <w:b/>
        </w:rPr>
        <w:t>byl celkový počet budov zredukován na třetinu, tj. 324</w:t>
      </w:r>
      <w:r w:rsidR="00D37936" w:rsidRPr="004E4357">
        <w:rPr>
          <w:b/>
        </w:rPr>
        <w:t xml:space="preserve"> budov</w:t>
      </w:r>
      <w:r>
        <w:t xml:space="preserve">, které v aktualizaci plánu zůstaly. </w:t>
      </w:r>
      <w:r w:rsidR="00632540">
        <w:t xml:space="preserve">V případě neplnění závazků vyplývajících ze směrnice 2012/27/EU tak </w:t>
      </w:r>
      <w:r w:rsidR="00632540" w:rsidRPr="004E4357">
        <w:rPr>
          <w:b/>
        </w:rPr>
        <w:t xml:space="preserve">hrozí České republice nejenže </w:t>
      </w:r>
      <w:r w:rsidR="00632540" w:rsidRPr="004E4357">
        <w:rPr>
          <w:b/>
        </w:rPr>
        <w:lastRenderedPageBreak/>
        <w:t xml:space="preserve">nedočerpání operačních programů, ale především i </w:t>
      </w:r>
      <w:r w:rsidR="001B210B">
        <w:rPr>
          <w:b/>
        </w:rPr>
        <w:t>potenciální penalizace</w:t>
      </w:r>
      <w:r w:rsidR="00632540" w:rsidRPr="004E4357">
        <w:rPr>
          <w:b/>
        </w:rPr>
        <w:t xml:space="preserve"> ze strany Evropské komise.</w:t>
      </w:r>
      <w:r w:rsidR="00632540">
        <w:t xml:space="preserve"> </w:t>
      </w:r>
    </w:p>
    <w:p w14:paraId="41CA5425" w14:textId="73C89E2C" w:rsidR="00FF3A9B" w:rsidRDefault="00D37936" w:rsidP="00F97AE7">
      <w:pPr>
        <w:jc w:val="both"/>
      </w:pPr>
      <w:r>
        <w:t xml:space="preserve">Kvůli problematické rekonstrukci památkově chráněných budov byl už z tak sníženého celkového plánu rekonstrukcí </w:t>
      </w:r>
      <w:r w:rsidRPr="004E4357">
        <w:rPr>
          <w:b/>
        </w:rPr>
        <w:t>dále snížen poměr historických objektů</w:t>
      </w:r>
      <w:r>
        <w:t>, z obav nešetrných zásahů do vzezření chráněných památek. Zvýšení energetického standardu budov, a tudíž snížení energetické náročnosti však lze dosáhnout i jinými prostředky, než venkovním fasádním zateplením, které by mohlo změnit vzhled historických objektů</w:t>
      </w:r>
      <w:r w:rsidR="0098611A">
        <w:t xml:space="preserve">. Zde můžeme </w:t>
      </w:r>
      <w:r w:rsidR="00A3403C">
        <w:t>vz</w:t>
      </w:r>
      <w:r w:rsidR="0098611A">
        <w:t xml:space="preserve">pomenout například </w:t>
      </w:r>
      <w:r w:rsidR="0098611A" w:rsidRPr="00734755">
        <w:rPr>
          <w:b/>
        </w:rPr>
        <w:t>standardy a technologie využívané</w:t>
      </w:r>
      <w:r w:rsidR="006A1C95" w:rsidRPr="00734755">
        <w:rPr>
          <w:b/>
        </w:rPr>
        <w:t xml:space="preserve"> </w:t>
      </w:r>
      <w:r w:rsidR="006A1C95" w:rsidRPr="00734755">
        <w:rPr>
          <w:b/>
        </w:rPr>
        <w:br/>
      </w:r>
      <w:r w:rsidR="0098611A" w:rsidRPr="00734755">
        <w:rPr>
          <w:b/>
        </w:rPr>
        <w:t>v nízkoenergetických nebo pasivních stavbách</w:t>
      </w:r>
      <w:r w:rsidR="0098611A">
        <w:rPr>
          <w:rStyle w:val="Znakapoznpodarou"/>
        </w:rPr>
        <w:footnoteReference w:id="20"/>
      </w:r>
      <w:r w:rsidR="00734755">
        <w:rPr>
          <w:b/>
        </w:rPr>
        <w:t>.</w:t>
      </w:r>
      <w:r w:rsidR="0098611A">
        <w:t xml:space="preserve"> </w:t>
      </w:r>
    </w:p>
    <w:p w14:paraId="176CE0DD" w14:textId="7E326603" w:rsidR="00582199" w:rsidRDefault="00C56EC2" w:rsidP="00F97AE7">
      <w:pPr>
        <w:jc w:val="both"/>
      </w:pPr>
      <w:r w:rsidRPr="00582199">
        <w:t xml:space="preserve">Aby byla stanovená úroveň úspor alespoň zdánlivě naplněna, byla </w:t>
      </w:r>
      <w:r w:rsidRPr="00582199">
        <w:rPr>
          <w:b/>
        </w:rPr>
        <w:t>do celkových úspor za rok 2014 a 2015 započtena plocha prodaných budov</w:t>
      </w:r>
      <w:r w:rsidRPr="00582199">
        <w:t xml:space="preserve"> a energetické úspory </w:t>
      </w:r>
      <w:r w:rsidR="00582199" w:rsidRPr="00582199">
        <w:t>z věcně ukončené spotřeby energie u těchto objektů</w:t>
      </w:r>
      <w:r w:rsidR="00582199">
        <w:rPr>
          <w:rStyle w:val="Znakapoznpodarou"/>
        </w:rPr>
        <w:footnoteReference w:id="21"/>
      </w:r>
      <w:r w:rsidR="00582199" w:rsidRPr="00582199">
        <w:t xml:space="preserve">. Se započítáním budov, u kterých došlo ke změně vlastnických struktur, a spadaly do plnění článku 5 EED, není možné počítat jako s energetickými úsporami. </w:t>
      </w:r>
      <w:r w:rsidR="00582199">
        <w:rPr>
          <w:b/>
        </w:rPr>
        <w:t>P</w:t>
      </w:r>
      <w:r w:rsidR="00582199" w:rsidRPr="00582199">
        <w:rPr>
          <w:b/>
        </w:rPr>
        <w:t>rodaná plocha</w:t>
      </w:r>
      <w:r w:rsidR="00582199">
        <w:rPr>
          <w:b/>
        </w:rPr>
        <w:t>,</w:t>
      </w:r>
      <w:r w:rsidR="00582199" w:rsidRPr="00582199">
        <w:rPr>
          <w:b/>
        </w:rPr>
        <w:t xml:space="preserve"> </w:t>
      </w:r>
      <w:r w:rsidRPr="00582199">
        <w:rPr>
          <w:b/>
        </w:rPr>
        <w:t>u které nebylo dosaženo energetické náročnosti v klasifikační třídě C před prodejem, nijak nesplňovala tyto nároky ani po jejím prodeji.</w:t>
      </w:r>
      <w:r w:rsidRPr="00582199">
        <w:t xml:space="preserve"> Z hlediska energetických úspor tedy nedošlo k žádným změnám, ale pouze ke změně vlastnických struktur</w:t>
      </w:r>
      <w:r w:rsidR="00582199" w:rsidRPr="00582199">
        <w:t>.</w:t>
      </w:r>
    </w:p>
    <w:p w14:paraId="4AD4A8A3" w14:textId="3A176349" w:rsidR="00B2271B" w:rsidRPr="00734755" w:rsidRDefault="00734755" w:rsidP="00F97AE7">
      <w:pPr>
        <w:jc w:val="both"/>
      </w:pPr>
      <w:r>
        <w:t xml:space="preserve">Dalším z doporučení je </w:t>
      </w:r>
      <w:r w:rsidRPr="004F4352">
        <w:rPr>
          <w:b/>
        </w:rPr>
        <w:t>zpracování Průkazů energetické náročnosti budov</w:t>
      </w:r>
      <w:r w:rsidR="004F4352" w:rsidRPr="004F4352">
        <w:rPr>
          <w:b/>
        </w:rPr>
        <w:t xml:space="preserve"> (PENB)</w:t>
      </w:r>
      <w:r>
        <w:t xml:space="preserve"> nejen u veřejných objektů, které podléhají současnému plánu rekonstrukcí dle článku 5 EED, ale</w:t>
      </w:r>
      <w:r w:rsidR="004F4352">
        <w:t xml:space="preserve"> přednostně</w:t>
      </w:r>
      <w:r>
        <w:t xml:space="preserve"> i u dalších objektů, kterých by se mohlo týkat rozší</w:t>
      </w:r>
      <w:r w:rsidR="004F4352">
        <w:t>ření plánovaného počtu. PENB by nejenže sloužily jako zdroj dat k plnění požadavků na energetikou efektivitu budov spadajících pod působnost článku 5 směrnice EED, ale zároveň by tak byla splněná zákonná povinnost platná od roku 2015 o zpracování PENB pr</w:t>
      </w:r>
      <w:r w:rsidR="003E6A51">
        <w:t>o všechny veřejné budovy užívané</w:t>
      </w:r>
      <w:r w:rsidR="004F4352">
        <w:t xml:space="preserve"> orgány veřejné moci. V případě, že veřejné objekty mají mít dle článku 5 EED příkladnou roli, jsou </w:t>
      </w:r>
      <w:r w:rsidR="004F4352" w:rsidRPr="004F4352">
        <w:rPr>
          <w:b/>
        </w:rPr>
        <w:t>PENB dalším nástrojem, který by naplňování tohoto cíle umožňoval</w:t>
      </w:r>
      <w:r w:rsidR="004F4352">
        <w:t xml:space="preserve">. Výhodou zpracování PENB by mohla být i </w:t>
      </w:r>
      <w:r w:rsidR="004F4352" w:rsidRPr="00B2271B">
        <w:rPr>
          <w:b/>
        </w:rPr>
        <w:t>změna současné metodiky určování standardizované spotřeby</w:t>
      </w:r>
      <w:r w:rsidR="00B2271B">
        <w:t>,</w:t>
      </w:r>
      <w:r w:rsidR="004F4352">
        <w:t xml:space="preserve"> z kt</w:t>
      </w:r>
      <w:r w:rsidR="00B2271B">
        <w:t>erých</w:t>
      </w:r>
      <w:r w:rsidR="004F4352">
        <w:t xml:space="preserve"> jsou </w:t>
      </w:r>
      <w:r w:rsidR="003E670E">
        <w:t>vytyčené</w:t>
      </w:r>
      <w:r w:rsidR="004F4352">
        <w:t xml:space="preserve"> plánované objemy </w:t>
      </w:r>
      <w:r w:rsidR="003E36F9">
        <w:t>úspor energií, v současné době stanovující úroveň 25 457 MWh v roce 2020.</w:t>
      </w:r>
      <w:r w:rsidR="00B2271B">
        <w:t xml:space="preserve"> Získáním přesnějších dat z měření spadajících pod realizaci PENB by plánované objemy úspor energií získaly v</w:t>
      </w:r>
      <w:r w:rsidR="00281F70">
        <w:t>ětší relevanci a umožnili přesnější aktualizace plánů do roku 2020.</w:t>
      </w:r>
    </w:p>
    <w:p w14:paraId="31745084" w14:textId="0FEC4736" w:rsidR="003E36F9" w:rsidRPr="001E42BD" w:rsidRDefault="00BC260C" w:rsidP="00F97AE7">
      <w:pPr>
        <w:jc w:val="both"/>
        <w:rPr>
          <w:b/>
        </w:rPr>
      </w:pPr>
      <w:r>
        <w:t xml:space="preserve">Jedním z problematických aspektů je i pouze doporučující úloha plánu rekonstrukcí, který </w:t>
      </w:r>
      <w:r w:rsidRPr="00993C5B">
        <w:rPr>
          <w:b/>
        </w:rPr>
        <w:t>není direktivní</w:t>
      </w:r>
      <w:r>
        <w:t xml:space="preserve">. </w:t>
      </w:r>
      <w:r w:rsidR="00FD3B59">
        <w:t xml:space="preserve">Dotčené subjekty sice mají vlastní zájem o renovaci objektů, které využívají, ale mohou se zde vyskytnout problémy ohledně personálního zabezpečení realizace jednotlivých projektových plánů, či celkového administrativního zajištění. Jelikož </w:t>
      </w:r>
      <w:r w:rsidR="00FD3B59" w:rsidRPr="00993C5B">
        <w:rPr>
          <w:b/>
        </w:rPr>
        <w:t>pravděpodobnost realizace závisí na způsobu financování a spoluúčasti z vlastních rezortních zdrojů, personálním a administrativním zabezpečení</w:t>
      </w:r>
      <w:r w:rsidR="001B210B">
        <w:rPr>
          <w:b/>
        </w:rPr>
        <w:t>m</w:t>
      </w:r>
      <w:r w:rsidR="00FD3B59">
        <w:t xml:space="preserve">, je i naplnění vytyčené úrovně úspor zatím pouze idealizovaným plánem. </w:t>
      </w:r>
      <w:r w:rsidR="00993C5B">
        <w:t xml:space="preserve">Kvůli naplnění povinných závazků proto </w:t>
      </w:r>
      <w:r w:rsidR="00993C5B" w:rsidRPr="001E42BD">
        <w:rPr>
          <w:b/>
        </w:rPr>
        <w:t xml:space="preserve">doporučujeme </w:t>
      </w:r>
      <w:r w:rsidR="001E42BD" w:rsidRPr="001E42BD">
        <w:rPr>
          <w:b/>
        </w:rPr>
        <w:t xml:space="preserve">v </w:t>
      </w:r>
      <w:r w:rsidR="00993C5B" w:rsidRPr="001E42BD">
        <w:rPr>
          <w:b/>
        </w:rPr>
        <w:t>aktualizaci</w:t>
      </w:r>
      <w:r w:rsidR="001E42BD" w:rsidRPr="001E42BD">
        <w:rPr>
          <w:b/>
        </w:rPr>
        <w:t xml:space="preserve"> plánu rekonstrukce objektů v působnosti článku 5 EED přistoupit k direktivnímu návrhu plánu renovací v gesci MPO.</w:t>
      </w:r>
    </w:p>
    <w:p w14:paraId="1DBCDA88" w14:textId="74005C89" w:rsidR="00424841" w:rsidRDefault="00FF3A9B" w:rsidP="00F97AE7">
      <w:pPr>
        <w:jc w:val="both"/>
      </w:pPr>
      <w:r w:rsidRPr="00F31246">
        <w:rPr>
          <w:b/>
        </w:rPr>
        <w:t>Příkladná role veřejných institucí se pří snížení původně plánovaného počtu rekonstruovaných budov o dvě třetiny bude naplňovat jen ztěžka</w:t>
      </w:r>
      <w:r>
        <w:t>. Skutečnost, že z už tak limitovaného počtu budov zbyl jen mi</w:t>
      </w:r>
      <w:r w:rsidR="00632540">
        <w:t>nimální počet historických objektů</w:t>
      </w:r>
      <w:r>
        <w:t xml:space="preserve">, které se nacházejí v centrech měst, a jsou tak </w:t>
      </w:r>
      <w:r w:rsidR="00632540">
        <w:t xml:space="preserve">nejvíc </w:t>
      </w:r>
      <w:r>
        <w:t xml:space="preserve">na očích </w:t>
      </w:r>
      <w:r>
        <w:lastRenderedPageBreak/>
        <w:t xml:space="preserve">veřejnosti, také </w:t>
      </w:r>
      <w:r w:rsidR="00F06A4C">
        <w:rPr>
          <w:b/>
        </w:rPr>
        <w:t>nepřispívá k naplňování idey</w:t>
      </w:r>
      <w:r w:rsidRPr="00F31246">
        <w:rPr>
          <w:b/>
        </w:rPr>
        <w:t xml:space="preserve"> článku 5 EED o příkladné úloze budov veřejných subjektů</w:t>
      </w:r>
      <w:r>
        <w:t xml:space="preserve">. </w:t>
      </w:r>
    </w:p>
    <w:p w14:paraId="71E01973" w14:textId="03188EE9" w:rsidR="00FF3A9B" w:rsidRDefault="00F64B0A" w:rsidP="00FF3A9B">
      <w:pPr>
        <w:jc w:val="both"/>
      </w:pPr>
      <w:r>
        <w:t xml:space="preserve">Podpora úspor energie v budovách má </w:t>
      </w:r>
      <w:r w:rsidR="001B210B">
        <w:t xml:space="preserve">v neposlední řadě </w:t>
      </w:r>
      <w:r w:rsidRPr="00C56EC2">
        <w:rPr>
          <w:b/>
        </w:rPr>
        <w:t>pozitivní ekonomické efekty</w:t>
      </w:r>
      <w:r>
        <w:t>, které jsou vyčísleny</w:t>
      </w:r>
      <w:r>
        <w:rPr>
          <w:rStyle w:val="Znakapoznpodarou"/>
        </w:rPr>
        <w:footnoteReference w:id="22"/>
      </w:r>
      <w:r>
        <w:t xml:space="preserve"> z investované 1 mld. Kč návratnost 0,97 až 1,21 mld. Kč, zároveň může indukovat růst HDP ve výši 2,13 až 3,59 mld. Kč. </w:t>
      </w:r>
      <w:r w:rsidR="001B210B">
        <w:t>Energetické efektivita je tak mimo jiné nástro</w:t>
      </w:r>
      <w:r w:rsidR="006B0493">
        <w:t xml:space="preserve">jem podpory růstu domácího HDP. Plnění povinností z článku 5 EED, tak lze zároveň využít jako nástroj k podpoře a rozvoji investic v sektoru stavebnictví, který je podstatným zaměstnavatelem na trhu práce v České republice. </w:t>
      </w:r>
    </w:p>
    <w:p w14:paraId="279A8809" w14:textId="7AA62E1C" w:rsidR="005E19D6" w:rsidRDefault="00F02C73" w:rsidP="001B210B">
      <w:pPr>
        <w:pStyle w:val="Nadpis1"/>
      </w:pPr>
      <w:bookmarkStart w:id="8" w:name="_Toc451460898"/>
      <w:r>
        <w:t>3. Závěr</w:t>
      </w:r>
      <w:r w:rsidR="006A706C">
        <w:t>y</w:t>
      </w:r>
      <w:r w:rsidR="00817E73">
        <w:t xml:space="preserve"> a shrnutí doporučení</w:t>
      </w:r>
      <w:bookmarkEnd w:id="8"/>
    </w:p>
    <w:p w14:paraId="5443E407" w14:textId="1D4CFE73" w:rsidR="001B210B" w:rsidRPr="001B210B" w:rsidRDefault="001B210B" w:rsidP="001B210B">
      <w:pPr>
        <w:jc w:val="both"/>
      </w:pPr>
      <w:r>
        <w:t xml:space="preserve">Výstupem tohoto dokumentu je shrnutí výše zmíněné argumentační linie do několika doporučení, jež by mohly napomoci k efektivnějšímu plnění závazků plynoucích z článku 5 EED pro Českou republiku. Konkrétně se jedná o: </w:t>
      </w:r>
    </w:p>
    <w:p w14:paraId="0E865139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D55">
        <w:t>Redefinování a pravidelná aktualizace současných koncepcí, především Národního akčního plánu energetické účinnosti (NAPEE) a Plánu rekonstrukce objektů, v působnosti článku 5 směrnice EED</w:t>
      </w:r>
    </w:p>
    <w:p w14:paraId="51E6A4E3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D55">
        <w:t>Vytvoření konkrétních doporučení k jednotlivým opatřením k zvyšování energetické účinnosti v rámci NAPEE</w:t>
      </w:r>
    </w:p>
    <w:p w14:paraId="1850869D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D55">
        <w:t>Rozpracování konkrétních doporučení plánovaným opatřením</w:t>
      </w:r>
    </w:p>
    <w:p w14:paraId="6448E8F5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D55">
        <w:t>Vyčíslení a bilancování dosavadních opatření a aktivit realizovaných za účelem zvyšování energetických úspor</w:t>
      </w:r>
    </w:p>
    <w:p w14:paraId="5C1DFA7C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D55">
        <w:t>Důkladnější koordinace a kontrola operačních programů pro úsporu energie v</w:t>
      </w:r>
      <w:r>
        <w:t> </w:t>
      </w:r>
      <w:r w:rsidRPr="00E94D55">
        <w:t>budovách</w:t>
      </w:r>
    </w:p>
    <w:p w14:paraId="051F4E14" w14:textId="77777777" w:rsidR="00B15C54" w:rsidRPr="00E94D55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Alokace finančních prostředků v jednotlivých operačních programech dle efektivně využitelné absorpční kapacity programů</w:t>
      </w:r>
    </w:p>
    <w:p w14:paraId="1D02FF61" w14:textId="77777777" w:rsidR="00B15C54" w:rsidRPr="00904957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Snížení administrativní zátěže, kvalitnější nastavení hodnotících kritérií a reflektování připomínek zainteresovaných skupin v rámci jednotlivých operačních programů úspor energie v budovách</w:t>
      </w:r>
    </w:p>
    <w:p w14:paraId="170BE2DD" w14:textId="77777777" w:rsidR="00B15C54" w:rsidRPr="00904957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Redefinice plánu rekonstrukce budov spadajících pod článek 5 směrnice EED ve smyslu zvýšení počtu dotčených objektů a vyšší alokace finančních prostředků v rámci programu Nová zelená úsporám</w:t>
      </w:r>
    </w:p>
    <w:p w14:paraId="3E0AFBB9" w14:textId="77777777" w:rsidR="00B15C54" w:rsidRPr="00904957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Zvýšení počtu památkově chráněných budov a historických objektů spadajících pod článek 5 směrnice EED podléhajícím rekonstrukčním aktivitám</w:t>
      </w:r>
    </w:p>
    <w:p w14:paraId="4667ADF7" w14:textId="7CFB0C93" w:rsidR="00B15C54" w:rsidRPr="00904957" w:rsidRDefault="00B15C54" w:rsidP="00B15C5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Využívání standardů a technologií využívaných v nízkoenergetických a pasivních stavbách, které by nenarušoval</w:t>
      </w:r>
      <w:r w:rsidR="00735642">
        <w:t>y</w:t>
      </w:r>
      <w:r>
        <w:t xml:space="preserve"> historický vzhled dotčených budov</w:t>
      </w:r>
    </w:p>
    <w:p w14:paraId="1289BAB2" w14:textId="77777777" w:rsidR="00B15C54" w:rsidRPr="00904957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Zpracování Průkazů energetické náročnosti budov (PENB) u veřejných budov</w:t>
      </w:r>
    </w:p>
    <w:p w14:paraId="48CBE999" w14:textId="77777777" w:rsidR="00B15C54" w:rsidRPr="00904957" w:rsidRDefault="00B15C54" w:rsidP="00B15C5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Aktualizace plánovaných objemů úspor dle dat získaných z realizace PENB veřejných budov místo v současné době využívané metodiky určování standardizované spotřeby</w:t>
      </w:r>
    </w:p>
    <w:p w14:paraId="51CD6F7E" w14:textId="77777777" w:rsidR="00B15C54" w:rsidRPr="00B15C54" w:rsidRDefault="00B15C54" w:rsidP="00B15C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Přistoupení k direktivnímu návrhu plánu renovací v gesci MPO v nejnovější aktualizaci Plánu rekonstrukce objektů v působnosti článku 5 EED</w:t>
      </w:r>
    </w:p>
    <w:p w14:paraId="67A56AD4" w14:textId="3035D265" w:rsidR="00E83C1B" w:rsidRDefault="00E83C1B" w:rsidP="00E83C1B">
      <w:pPr>
        <w:tabs>
          <w:tab w:val="left" w:pos="5820"/>
        </w:tabs>
        <w:jc w:val="both"/>
      </w:pPr>
      <w:r>
        <w:t xml:space="preserve">Dle výše zmíněných bodů vidíme při implementaci článku 5 EED prostor pro zlepšení plnění z ní vycházejících závazků pro Českou republiku. Energetická efektivita je nejen nástrojem snižování spotřeby energie, ale také potenciálním nástrojem zahraniční politiky, rozvoje domácí ekonomiky a snížení míry nezaměstnanosti. V souladu s plněním státních závazků na evropské úrovni tedy </w:t>
      </w:r>
      <w:r w:rsidR="00F41E3F">
        <w:lastRenderedPageBreak/>
        <w:t>doporučujeme využít příležitost</w:t>
      </w:r>
      <w:r>
        <w:t xml:space="preserve"> implementace článku 5 EED a postupovat dle výše zmíněných doporučení, která </w:t>
      </w:r>
      <w:r w:rsidR="00F41E3F">
        <w:t xml:space="preserve">by mohla napomoci k nápravě situace v ČR a mimo jiné vygenerovat zmíněné pozitivní vedlejší efekty. </w:t>
      </w:r>
    </w:p>
    <w:p w14:paraId="1917B887" w14:textId="7D3D6693" w:rsidR="004155F4" w:rsidRPr="00582199" w:rsidRDefault="00F02C73" w:rsidP="00582199">
      <w:pPr>
        <w:pStyle w:val="Nadpis1"/>
      </w:pPr>
      <w:r w:rsidRPr="00E83C1B">
        <w:br w:type="page"/>
      </w:r>
      <w:bookmarkStart w:id="9" w:name="_Toc451460899"/>
      <w:r w:rsidR="003C4F59">
        <w:lastRenderedPageBreak/>
        <w:t>4</w:t>
      </w:r>
      <w:r w:rsidR="004155F4">
        <w:t>. Zdroje</w:t>
      </w:r>
      <w:bookmarkEnd w:id="9"/>
    </w:p>
    <w:p w14:paraId="3E0ECF10" w14:textId="77777777" w:rsidR="004155F4" w:rsidRDefault="004155F4" w:rsidP="004155F4">
      <w:pPr>
        <w:jc w:val="both"/>
        <w:rPr>
          <w:rStyle w:val="Hypertextovodkaz"/>
        </w:rPr>
      </w:pPr>
      <w:r>
        <w:t xml:space="preserve">Eur-lex (2012): </w:t>
      </w:r>
      <w:r w:rsidRPr="00406CCD">
        <w:rPr>
          <w:i/>
        </w:rPr>
        <w:t>Směrnice Evropského parlamentu a Rady 2012/27/Eu</w:t>
      </w:r>
      <w:r>
        <w:rPr>
          <w:i/>
        </w:rPr>
        <w:t xml:space="preserve">. </w:t>
      </w:r>
      <w:r>
        <w:t xml:space="preserve">On-line: </w:t>
      </w:r>
      <w:hyperlink r:id="rId9" w:history="1">
        <w:r w:rsidRPr="002C6C8B">
          <w:rPr>
            <w:rStyle w:val="Hypertextovodkaz"/>
          </w:rPr>
          <w:t>http://eur-lex.europa.eu/legal-content/CS/TXT/PDF/?uri=CELEX:32012L0027&amp;from=CS</w:t>
        </w:r>
      </w:hyperlink>
      <w:r>
        <w:rPr>
          <w:rStyle w:val="Hypertextovodkaz"/>
        </w:rPr>
        <w:t>.</w:t>
      </w:r>
    </w:p>
    <w:p w14:paraId="5BB043B5" w14:textId="77777777" w:rsidR="00582199" w:rsidRPr="003C4F59" w:rsidRDefault="00582199" w:rsidP="00582199">
      <w:pPr>
        <w:jc w:val="both"/>
      </w:pPr>
      <w:r>
        <w:rPr>
          <w:lang w:val="sk-SK"/>
        </w:rPr>
        <w:t>Ministerstvo pr</w:t>
      </w:r>
      <w:r>
        <w:t>ůmyslu a obchodu (2015a):</w:t>
      </w:r>
      <w:r w:rsidRPr="00CF0382">
        <w:rPr>
          <w:i/>
        </w:rPr>
        <w:t xml:space="preserve"> Seznam budov ústředních a vládních institucí v působnosti čl. 5 směrnice 2012/27/EU o energetické účinnosti.</w:t>
      </w:r>
      <w:r>
        <w:rPr>
          <w:i/>
        </w:rPr>
        <w:t xml:space="preserve"> </w:t>
      </w:r>
      <w:r>
        <w:t xml:space="preserve">On-line: </w:t>
      </w:r>
      <w:r w:rsidRPr="00CF0382">
        <w:t>http://download.mpo.cz/get/49664/61204/637198/priloha001.pdf</w:t>
      </w:r>
      <w:r>
        <w:t>.</w:t>
      </w:r>
    </w:p>
    <w:p w14:paraId="1422626E" w14:textId="77777777" w:rsidR="00582199" w:rsidRDefault="00582199" w:rsidP="00582199">
      <w:pPr>
        <w:jc w:val="both"/>
      </w:pPr>
      <w:r w:rsidRPr="00406CCD">
        <w:rPr>
          <w:lang w:val="sk-SK"/>
        </w:rPr>
        <w:t>Ministerstvo průmyslu a obchodu (2015</w:t>
      </w:r>
      <w:r>
        <w:rPr>
          <w:lang w:val="sk-SK"/>
        </w:rPr>
        <w:t>b</w:t>
      </w:r>
      <w:r w:rsidRPr="00406CCD">
        <w:rPr>
          <w:lang w:val="sk-SK"/>
        </w:rPr>
        <w:t>):</w:t>
      </w:r>
      <w:r w:rsidRPr="00406CCD">
        <w:t xml:space="preserve"> </w:t>
      </w:r>
      <w:r w:rsidRPr="00406CCD">
        <w:rPr>
          <w:i/>
        </w:rPr>
        <w:t>Plán rekonstrukce objektů, v působnosti článku 5 směrnice Evropského parlamentu a Rady 2012/27/EU ze dne 25. října 2012 o energetické účinnosti, pro rok 2016 s výhledem do roku 2020</w:t>
      </w:r>
      <w:r>
        <w:rPr>
          <w:i/>
        </w:rPr>
        <w:t>.</w:t>
      </w:r>
      <w:r w:rsidRPr="00406CCD">
        <w:t xml:space="preserve"> On-line: </w:t>
      </w:r>
      <w:hyperlink r:id="rId10" w:history="1">
        <w:r w:rsidRPr="00CF25B7">
          <w:rPr>
            <w:rStyle w:val="Hypertextovodkaz"/>
          </w:rPr>
          <w:t>http://www.komora.cz/download.aspx?dontparse=true&amp;FileID=18715</w:t>
        </w:r>
      </w:hyperlink>
      <w:r w:rsidRPr="00406CCD">
        <w:t>.</w:t>
      </w:r>
    </w:p>
    <w:p w14:paraId="0626CA1D" w14:textId="77777777" w:rsidR="00582199" w:rsidRPr="00445D7F" w:rsidRDefault="00582199" w:rsidP="00582199">
      <w:pPr>
        <w:jc w:val="both"/>
        <w:rPr>
          <w:lang w:val="sk-SK"/>
        </w:rPr>
      </w:pPr>
      <w:r>
        <w:rPr>
          <w:lang w:val="sk-SK"/>
        </w:rPr>
        <w:t xml:space="preserve">Ministerstsvo průmyslu a obchodu (2016a): </w:t>
      </w:r>
      <w:r>
        <w:rPr>
          <w:i/>
          <w:lang w:val="sk-SK"/>
        </w:rPr>
        <w:t xml:space="preserve">Národní akční plán energetické účinnosti ČR dle čl. 24 odst. 2 směrnice Evropského parlamentu a Rady 2012/27/EU ze dne 25. října 2012 o energetické účinnosti. </w:t>
      </w:r>
      <w:r>
        <w:rPr>
          <w:lang w:val="sk-SK"/>
        </w:rPr>
        <w:t xml:space="preserve">Odbor energetické účinnosti a úspor. On-line: </w:t>
      </w:r>
      <w:hyperlink r:id="rId11" w:history="1">
        <w:r w:rsidRPr="00D63233">
          <w:rPr>
            <w:rStyle w:val="Hypertextovodkaz"/>
            <w:lang w:val="sk-SK"/>
          </w:rPr>
          <w:t>http://download.mpo.cz/get/50711/63238/651838/priloha004.pdf</w:t>
        </w:r>
      </w:hyperlink>
      <w:r>
        <w:rPr>
          <w:lang w:val="sk-SK"/>
        </w:rPr>
        <w:t>.</w:t>
      </w:r>
    </w:p>
    <w:p w14:paraId="7B969A74" w14:textId="280A1ED4" w:rsidR="00582199" w:rsidRPr="00582199" w:rsidRDefault="00582199" w:rsidP="00582199">
      <w:pPr>
        <w:rPr>
          <w:color w:val="0563C1" w:themeColor="hyperlink"/>
          <w:u w:val="single"/>
        </w:rPr>
      </w:pPr>
      <w:r>
        <w:t>Ministerstvo pr</w:t>
      </w:r>
      <w:r w:rsidRPr="00207C99">
        <w:t>ů</w:t>
      </w:r>
      <w:r>
        <w:t xml:space="preserve">myslu a obchodu (2016b): </w:t>
      </w:r>
      <w:r w:rsidRPr="00445D7F">
        <w:rPr>
          <w:i/>
        </w:rPr>
        <w:t>Zpráva o pokroku v oblasti plnění vnitrostátních cílů energetické účinnosti v České republice (podle čl. 24 směrnice 2012/27/EU o energetické účinnosti)</w:t>
      </w:r>
      <w:r>
        <w:t>. O</w:t>
      </w:r>
      <w:r w:rsidRPr="00445D7F">
        <w:t>n-line</w:t>
      </w:r>
      <w:r>
        <w:t xml:space="preserve">: </w:t>
      </w:r>
      <w:hyperlink r:id="rId12" w:history="1">
        <w:r w:rsidRPr="00A21AA6">
          <w:rPr>
            <w:rStyle w:val="Hypertextovodkaz"/>
          </w:rPr>
          <w:t>http://www.mpo.cz/dokument172771.html</w:t>
        </w:r>
      </w:hyperlink>
      <w:r>
        <w:rPr>
          <w:rStyle w:val="Hypertextovodkaz"/>
        </w:rPr>
        <w:t>.</w:t>
      </w:r>
    </w:p>
    <w:p w14:paraId="592A5F3E" w14:textId="77777777" w:rsidR="004155F4" w:rsidRDefault="004155F4" w:rsidP="004155F4">
      <w:pPr>
        <w:jc w:val="both"/>
        <w:rPr>
          <w:lang w:val="sk-SK"/>
        </w:rPr>
      </w:pPr>
      <w:r>
        <w:rPr>
          <w:lang w:val="sk-SK"/>
        </w:rPr>
        <w:t xml:space="preserve">Šance pro budovy (2014): </w:t>
      </w:r>
      <w:r>
        <w:rPr>
          <w:i/>
          <w:lang w:val="sk-SK"/>
        </w:rPr>
        <w:t xml:space="preserve">Vysvědčení připravenosti jednotlivých operačních programů z hlediska úspor energie v budovách. </w:t>
      </w:r>
      <w:r>
        <w:rPr>
          <w:lang w:val="sk-SK"/>
        </w:rPr>
        <w:t xml:space="preserve">On-line: </w:t>
      </w:r>
      <w:hyperlink r:id="rId13" w:history="1">
        <w:r w:rsidRPr="00A16ECE">
          <w:rPr>
            <w:rStyle w:val="Hypertextovodkaz"/>
            <w:lang w:val="sk-SK"/>
          </w:rPr>
          <w:t>http://www.sanceprobudovy.cz/assets/files/vysvedceni_EUfondy_200314.pdf</w:t>
        </w:r>
      </w:hyperlink>
      <w:r>
        <w:rPr>
          <w:lang w:val="sk-SK"/>
        </w:rPr>
        <w:t>.</w:t>
      </w:r>
    </w:p>
    <w:p w14:paraId="4994C3D6" w14:textId="77777777" w:rsidR="004155F4" w:rsidRDefault="004155F4" w:rsidP="004155F4">
      <w:pPr>
        <w:jc w:val="both"/>
        <w:rPr>
          <w:lang w:val="sk-SK"/>
        </w:rPr>
      </w:pPr>
      <w:r>
        <w:t xml:space="preserve">Šance pro budovy (2016): </w:t>
      </w:r>
      <w:r>
        <w:rPr>
          <w:i/>
        </w:rPr>
        <w:t xml:space="preserve">Stát ví, kolik má uspořit energie, ale neví, jestli se mu to povede a co pro to má udělat. </w:t>
      </w:r>
      <w:r>
        <w:t xml:space="preserve">On-line: </w:t>
      </w:r>
      <w:r w:rsidRPr="003A2D59">
        <w:t>http://www.sanceprobudovy.cz/pro-media/tiskove-zpravy/stat-vi-kolik-ma-usporit-energie-ale-nevi-jestli-se-mu-to-povede-a-co-pro-to-ma-udelat</w:t>
      </w:r>
      <w:r>
        <w:t>.</w:t>
      </w:r>
    </w:p>
    <w:p w14:paraId="6B29BB50" w14:textId="77777777" w:rsidR="004155F4" w:rsidRDefault="004155F4" w:rsidP="004155F4">
      <w:pPr>
        <w:jc w:val="both"/>
      </w:pPr>
      <w:r>
        <w:t xml:space="preserve">Šance pro budovy – Renovujdům.cz (2016): </w:t>
      </w:r>
      <w:r w:rsidRPr="003A2D59">
        <w:rPr>
          <w:i/>
        </w:rPr>
        <w:t>Dů</w:t>
      </w:r>
      <w:r>
        <w:rPr>
          <w:i/>
        </w:rPr>
        <w:t>ležité informace o možnostech získání podpory na renovace dom</w:t>
      </w:r>
      <w:r w:rsidRPr="003A2D59">
        <w:rPr>
          <w:i/>
        </w:rPr>
        <w:t>ů</w:t>
      </w:r>
      <w:r>
        <w:rPr>
          <w:i/>
        </w:rPr>
        <w:t xml:space="preserve"> i byt</w:t>
      </w:r>
      <w:r w:rsidRPr="003A2D59">
        <w:rPr>
          <w:i/>
        </w:rPr>
        <w:t>ů</w:t>
      </w:r>
      <w:r>
        <w:rPr>
          <w:i/>
        </w:rPr>
        <w:t xml:space="preserve"> na jednom místě. </w:t>
      </w:r>
      <w:r>
        <w:t xml:space="preserve">On-line: </w:t>
      </w:r>
      <w:hyperlink r:id="rId14" w:history="1">
        <w:r w:rsidRPr="00A16ECE">
          <w:rPr>
            <w:rStyle w:val="Hypertextovodkaz"/>
          </w:rPr>
          <w:t>http://www.renovujdum.cz/</w:t>
        </w:r>
      </w:hyperlink>
      <w:r>
        <w:t>.</w:t>
      </w:r>
    </w:p>
    <w:p w14:paraId="4E28E6C4" w14:textId="77777777" w:rsidR="00445D7F" w:rsidRDefault="00445D7F" w:rsidP="00445D7F"/>
    <w:p w14:paraId="0A74C939" w14:textId="121ED1C9" w:rsidR="00445D7F" w:rsidRDefault="00445D7F" w:rsidP="00445D7F">
      <w:pPr>
        <w:pStyle w:val="Textpoznpodarou"/>
        <w:jc w:val="both"/>
      </w:pPr>
    </w:p>
    <w:p w14:paraId="5CB75DAD" w14:textId="77777777" w:rsidR="004155F4" w:rsidRDefault="004155F4" w:rsidP="004155F4">
      <w:bookmarkStart w:id="10" w:name="_GoBack"/>
    </w:p>
    <w:bookmarkEnd w:id="10"/>
    <w:p w14:paraId="068C3AA5" w14:textId="50744EB3" w:rsidR="0032140D" w:rsidRDefault="004155F4" w:rsidP="004155F4">
      <w:pPr>
        <w:pStyle w:val="Nadpis1"/>
      </w:pPr>
      <w:r>
        <w:t xml:space="preserve"> </w:t>
      </w:r>
    </w:p>
    <w:p w14:paraId="21632830" w14:textId="77777777" w:rsidR="00083D15" w:rsidRDefault="00083D15"/>
    <w:sectPr w:rsidR="00083D15" w:rsidSect="0018203B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1E92A" w14:textId="77777777" w:rsidR="002F0B1A" w:rsidRDefault="002F0B1A" w:rsidP="0018203B">
      <w:pPr>
        <w:spacing w:after="0" w:line="240" w:lineRule="auto"/>
      </w:pPr>
      <w:r>
        <w:separator/>
      </w:r>
    </w:p>
  </w:endnote>
  <w:endnote w:type="continuationSeparator" w:id="0">
    <w:p w14:paraId="1E658F44" w14:textId="77777777" w:rsidR="002F0B1A" w:rsidRDefault="002F0B1A" w:rsidP="001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135858"/>
      <w:docPartObj>
        <w:docPartGallery w:val="Page Numbers (Bottom of Page)"/>
        <w:docPartUnique/>
      </w:docPartObj>
    </w:sdtPr>
    <w:sdtEndPr/>
    <w:sdtContent>
      <w:p w14:paraId="1BB8F7F0" w14:textId="77777777" w:rsidR="00F24FCB" w:rsidRDefault="00F24F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01">
          <w:rPr>
            <w:noProof/>
          </w:rPr>
          <w:t>11</w:t>
        </w:r>
        <w:r>
          <w:fldChar w:fldCharType="end"/>
        </w:r>
      </w:p>
    </w:sdtContent>
  </w:sdt>
  <w:p w14:paraId="220C7327" w14:textId="77777777" w:rsidR="00F24FCB" w:rsidRDefault="00F2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8D0AB" w14:textId="77777777" w:rsidR="002F0B1A" w:rsidRDefault="002F0B1A" w:rsidP="0018203B">
      <w:pPr>
        <w:spacing w:after="0" w:line="240" w:lineRule="auto"/>
      </w:pPr>
      <w:r>
        <w:separator/>
      </w:r>
    </w:p>
  </w:footnote>
  <w:footnote w:type="continuationSeparator" w:id="0">
    <w:p w14:paraId="63DF6908" w14:textId="77777777" w:rsidR="002F0B1A" w:rsidRDefault="002F0B1A" w:rsidP="0018203B">
      <w:pPr>
        <w:spacing w:after="0" w:line="240" w:lineRule="auto"/>
      </w:pPr>
      <w:r>
        <w:continuationSeparator/>
      </w:r>
    </w:p>
  </w:footnote>
  <w:footnote w:id="1">
    <w:p w14:paraId="16FC3D6B" w14:textId="142A6BA8" w:rsidR="004D24CB" w:rsidRPr="004D24CB" w:rsidRDefault="004D24CB" w:rsidP="004D24CB">
      <w:pPr>
        <w:spacing w:after="0" w:line="240" w:lineRule="auto"/>
        <w:jc w:val="both"/>
        <w:rPr>
          <w:color w:val="0563C1" w:themeColor="hyperlink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4D24CB">
        <w:rPr>
          <w:sz w:val="20"/>
          <w:szCs w:val="20"/>
        </w:rPr>
        <w:t>Viz: Eur-lex (2012): Směrnice Evropského parlamentu a Rady 2012/27/Eu. On-line</w:t>
      </w:r>
      <w:r>
        <w:rPr>
          <w:sz w:val="20"/>
          <w:szCs w:val="20"/>
        </w:rPr>
        <w:t>.</w:t>
      </w:r>
    </w:p>
  </w:footnote>
  <w:footnote w:id="2">
    <w:p w14:paraId="64A17D2A" w14:textId="7C20962F" w:rsidR="00BB61CB" w:rsidRPr="00BB61CB" w:rsidRDefault="00BB61CB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 xml:space="preserve">Viz: </w:t>
      </w:r>
      <w:r w:rsidRPr="00207C99">
        <w:t>Ministerstvo průmyslu a obchodu (2016</w:t>
      </w:r>
      <w:r>
        <w:t>a</w:t>
      </w:r>
      <w:r w:rsidRPr="00207C99">
        <w:t xml:space="preserve">): </w:t>
      </w:r>
      <w:r w:rsidRPr="00207C99">
        <w:rPr>
          <w:i/>
        </w:rPr>
        <w:t>Národní akční plán energetické účinnosti ČR dle čl. 24 odst. 2 směrnice Evropského parlamentu a Rady 2012/27/EU ze dne 25. října 2012 o energetické účinno</w:t>
      </w:r>
      <w:r>
        <w:rPr>
          <w:i/>
        </w:rPr>
        <w:t>sti</w:t>
      </w:r>
      <w:r w:rsidRPr="00207C99">
        <w:t>.</w:t>
      </w:r>
      <w:r w:rsidRPr="00207C99">
        <w:rPr>
          <w:i/>
        </w:rPr>
        <w:t xml:space="preserve"> </w:t>
      </w:r>
      <w:r w:rsidRPr="00207C99">
        <w:t>Odbor energetické účinnosti a úspor. On-line.</w:t>
      </w:r>
    </w:p>
  </w:footnote>
  <w:footnote w:id="3">
    <w:p w14:paraId="56C67B64" w14:textId="659339B1" w:rsidR="00F24FCB" w:rsidRPr="00207C99" w:rsidRDefault="00F24FCB" w:rsidP="00C367A6">
      <w:pPr>
        <w:pStyle w:val="Textpoznpodarou"/>
      </w:pPr>
      <w:r w:rsidRPr="00207C99">
        <w:rPr>
          <w:rStyle w:val="Znakapoznpodarou"/>
        </w:rPr>
        <w:footnoteRef/>
      </w:r>
      <w:r w:rsidRPr="00207C99">
        <w:t xml:space="preserve"> Význam příkladné úlohy ústředních vládních institucí je dále zdůrazňována v úvodu Směrnice EED odstavec 19, v článku 5. bod 7a, článku 6 odstavec 3 (pro další implementaci na regionální a místní úrovni).</w:t>
      </w:r>
    </w:p>
  </w:footnote>
  <w:footnote w:id="4">
    <w:p w14:paraId="0C54AC2C" w14:textId="2FA8E4D0" w:rsidR="00F24FCB" w:rsidRPr="00207C99" w:rsidRDefault="00F24FCB" w:rsidP="0075035F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Česká republika se v rámci NAPEE zavázala, že do roku 2020 dosáhne energetických úspor v hodnotě 5</w:t>
      </w:r>
      <w:r w:rsidR="00823902">
        <w:t>0,67</w:t>
      </w:r>
      <w:r w:rsidRPr="00207C99">
        <w:t xml:space="preserve"> PJ. Blíže viz: Šance pro budovy (2016): </w:t>
      </w:r>
      <w:r w:rsidRPr="00207C99">
        <w:rPr>
          <w:i/>
        </w:rPr>
        <w:t xml:space="preserve">Stát ví, kolik má uspořit energie, ale neví, jestli se mu to povede a co pro to má udělat. </w:t>
      </w:r>
      <w:r w:rsidRPr="00207C99">
        <w:t>On-line.</w:t>
      </w:r>
    </w:p>
  </w:footnote>
  <w:footnote w:id="5">
    <w:p w14:paraId="48EC0E39" w14:textId="6DEE6924" w:rsidR="00F24FCB" w:rsidRPr="00207C99" w:rsidRDefault="00F24FCB" w:rsidP="0075035F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Alternativní přístup k článku 5 EED je v NAPEE definován takto</w:t>
      </w:r>
      <w:r w:rsidRPr="00207C99">
        <w:rPr>
          <w:i/>
        </w:rPr>
        <w:t>: „Mezi alternativní opatření, která chce ČR přijmout, jsou změny chování při hospodaření s budovami, tzn. beznákladová resp. nízkonákladová opatření. Poté budou realizována opatření s ekonomickou návratností do 10 let, především rekonstrukce zdrojů tepla, otopné soustavy včetně zavedení účinné regulace u budov, kde nejdou realizovat potřebná opatření v jejich stavební části (zateplení, výměna oken). Následně bude přistoupeno k opatřením u budov vyžadujících a umožňující realizaci stavebně technických opatření. Tento přístup je stanoven s ohledem na finanční náročnost, přičemž je nutné upřednostnit opatření vedoucí k maximálním úsporám energie.“</w:t>
      </w:r>
      <w:r w:rsidRPr="00207C99">
        <w:t xml:space="preserve"> Blíže viz: Ministerstvo průmyslu a obchodu (2016</w:t>
      </w:r>
      <w:r w:rsidR="00445D7F">
        <w:t>a</w:t>
      </w:r>
      <w:r w:rsidRPr="00207C99">
        <w:t xml:space="preserve">): </w:t>
      </w:r>
      <w:r w:rsidRPr="00207C99">
        <w:rPr>
          <w:i/>
        </w:rPr>
        <w:t xml:space="preserve">Národní akční plán energetické účinnosti ČR dle čl. 24 odst. 2 směrnice Evropského parlamentu a Rady 2012/27/EU ze dne 25. října 2012 o energetické účinnosti, </w:t>
      </w:r>
      <w:r w:rsidRPr="00207C99">
        <w:t>s. 33.</w:t>
      </w:r>
      <w:r w:rsidRPr="00207C99">
        <w:rPr>
          <w:i/>
        </w:rPr>
        <w:t xml:space="preserve"> </w:t>
      </w:r>
      <w:r w:rsidRPr="00207C99">
        <w:t>Odbor energetické účinnosti a úspor. On-line.</w:t>
      </w:r>
    </w:p>
  </w:footnote>
  <w:footnote w:id="6">
    <w:p w14:paraId="757DB54F" w14:textId="1D201D70" w:rsidR="00F24FCB" w:rsidRPr="00207C99" w:rsidRDefault="00F24FCB" w:rsidP="0075035F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Viz: Šance pro budovy (2016): </w:t>
      </w:r>
      <w:r w:rsidRPr="00207C99">
        <w:rPr>
          <w:i/>
        </w:rPr>
        <w:t xml:space="preserve">Stát ví, kolik má uspořit energie, ale neví, jestli se mu to povede a co pro to má udělat. </w:t>
      </w:r>
      <w:r w:rsidRPr="00207C99">
        <w:t>On-line.</w:t>
      </w:r>
    </w:p>
  </w:footnote>
  <w:footnote w:id="7">
    <w:p w14:paraId="441D7558" w14:textId="2BB0FA21" w:rsidR="00F24FCB" w:rsidRPr="00207C99" w:rsidRDefault="00F24FCB" w:rsidP="00AF48B4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Mezi programy úspor v současné době patří: Nová zelená úsporám pro novostavby rodinných domů; Nová zelená úsporám pro renovace bytových domů v Praze; Nová zelená úsporám pro renovace rodinných domů; Nová zelená úsporám pro novostavby bytových domů; Operační program životního prostředí (dále OPŽP) pro renovace a výměny zdroje vytápění u veřejných budov; OPŽP tzv. kotlíkové dotace; OPŽP pro novostavby veřejných budov; Operační program Podnikání a inovace pro konkurenceschopnost pro novostavby komerčních budov; Operační program Podnikání a inovace pro konkurenceschopnost pro renovace a výměny zdroje u komerčních budov mimo Prahu; Integrovaný regionální operační program (dále IROP) na realizaci úspor energie v bytových domech mimo území hl. m. Prahy; Národní program Životní prostředí na renovaci veřejných budov; Program Jessica na rozvoj znevýhodněných městských zón; Program EFEKT – Program Ministerstva průmyslu a obchodu na podporu realizace úspor energie; Zvýhodněný úvěr Panel 2013+ – Program podpory výstavby nájemních bytů poskytováním úvěru se zvýhodněným úročením. </w:t>
      </w:r>
    </w:p>
    <w:p w14:paraId="392B99CB" w14:textId="77777777" w:rsidR="00F24FCB" w:rsidRPr="00207C99" w:rsidRDefault="00F24FCB" w:rsidP="00AF48B4">
      <w:pPr>
        <w:pStyle w:val="Textpoznpodarou"/>
        <w:jc w:val="both"/>
      </w:pPr>
      <w:r w:rsidRPr="00207C99">
        <w:t xml:space="preserve">Mezi řídící orgány jednotlivých programů patří: Ministerstvo průmyslu a obchodu; Ministerstvo životního prostředí; Ministerstvo pro místní rozvoj; Státní fond rozvoje bydlení. </w:t>
      </w:r>
    </w:p>
    <w:p w14:paraId="774A8FFB" w14:textId="6D5575BE" w:rsidR="00F24FCB" w:rsidRPr="00207C99" w:rsidRDefault="00F24FCB" w:rsidP="00AF48B4">
      <w:pPr>
        <w:pStyle w:val="Textpoznpodarou"/>
        <w:jc w:val="both"/>
      </w:pPr>
      <w:r w:rsidRPr="00207C99">
        <w:t xml:space="preserve">Blíže viz: Šance pro budovy – Renovujdům.cz (2016): </w:t>
      </w:r>
      <w:r w:rsidRPr="00207C99">
        <w:rPr>
          <w:i/>
        </w:rPr>
        <w:t xml:space="preserve">Důležité informace o možnostech získání podpory na renovace domů i bytů na jednom místě. </w:t>
      </w:r>
      <w:r w:rsidRPr="00207C99">
        <w:t>On-line.</w:t>
      </w:r>
    </w:p>
  </w:footnote>
  <w:footnote w:id="8">
    <w:p w14:paraId="3A75D57A" w14:textId="189F518C" w:rsidR="00F24FCB" w:rsidRPr="00207C99" w:rsidRDefault="00F24FCB" w:rsidP="00AF48B4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Viz: Šance pro budovy (2014): </w:t>
      </w:r>
      <w:r w:rsidRPr="00207C99">
        <w:rPr>
          <w:i/>
        </w:rPr>
        <w:t xml:space="preserve">Vysvědčení připravenosti jednotlivých operačních programů z hlediska úspor energie v budovách. </w:t>
      </w:r>
      <w:r w:rsidRPr="00207C99">
        <w:t>On-line.</w:t>
      </w:r>
    </w:p>
  </w:footnote>
  <w:footnote w:id="9">
    <w:p w14:paraId="36A50511" w14:textId="6B940130" w:rsidR="00F24FCB" w:rsidRPr="00207C99" w:rsidRDefault="00F24FCB" w:rsidP="00AF48B4">
      <w:pPr>
        <w:pStyle w:val="Textpoznpodarou"/>
        <w:jc w:val="both"/>
      </w:pPr>
      <w:r w:rsidRPr="00207C99">
        <w:rPr>
          <w:rStyle w:val="Znakapoznpodarou"/>
        </w:rPr>
        <w:footnoteRef/>
      </w:r>
      <w:r w:rsidR="007D7C92">
        <w:t xml:space="preserve"> Viz: tamtéž</w:t>
      </w:r>
      <w:r w:rsidRPr="00207C99">
        <w:t>.</w:t>
      </w:r>
    </w:p>
  </w:footnote>
  <w:footnote w:id="10">
    <w:p w14:paraId="7E6FBA5D" w14:textId="62033E24" w:rsidR="00F24FCB" w:rsidRPr="00207C99" w:rsidRDefault="00F24FCB" w:rsidP="00AF48B4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Viz: Šance pro budovy (2016): </w:t>
      </w:r>
      <w:r w:rsidRPr="00207C99">
        <w:rPr>
          <w:i/>
        </w:rPr>
        <w:t xml:space="preserve">Stát ví, kolik má uspořit energie, ale neví, jestli se mu to povede a co pro to má udělat. </w:t>
      </w:r>
      <w:r w:rsidRPr="00207C99">
        <w:t>On-line.</w:t>
      </w:r>
    </w:p>
  </w:footnote>
  <w:footnote w:id="11">
    <w:p w14:paraId="75FD169A" w14:textId="351FDECC" w:rsidR="00F24FCB" w:rsidRPr="00207C99" w:rsidRDefault="00F24FCB">
      <w:pPr>
        <w:pStyle w:val="Textpoznpodarou"/>
      </w:pPr>
      <w:r w:rsidRPr="00207C99">
        <w:rPr>
          <w:rStyle w:val="Znakapoznpodarou"/>
        </w:rPr>
        <w:footnoteRef/>
      </w:r>
      <w:r w:rsidRPr="00207C99">
        <w:t xml:space="preserve"> Blíže viz: Ministerstvo průmyslu a obchodu (2015):</w:t>
      </w:r>
      <w:r w:rsidRPr="00207C99">
        <w:rPr>
          <w:i/>
        </w:rPr>
        <w:t xml:space="preserve"> Seznam budov ústředních a vládních institucí v působnosti čl. 5 směrnice 2012/27/EU o energetické účinnosti. </w:t>
      </w:r>
      <w:r w:rsidRPr="00207C99">
        <w:t>On-line.</w:t>
      </w:r>
    </w:p>
  </w:footnote>
  <w:footnote w:id="12">
    <w:p w14:paraId="784F9E19" w14:textId="1D41117F" w:rsidR="00F24FCB" w:rsidRPr="00207C99" w:rsidRDefault="00F24FCB" w:rsidP="000E4286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207C99">
        <w:rPr>
          <w:rStyle w:val="Znakapoznpodarou"/>
        </w:rPr>
        <w:footnoteRef/>
      </w:r>
      <w:r w:rsidRPr="00207C99">
        <w:t xml:space="preserve"> </w:t>
      </w:r>
      <w:r w:rsidRPr="00207C99">
        <w:rPr>
          <w:sz w:val="20"/>
          <w:szCs w:val="20"/>
        </w:rPr>
        <w:t xml:space="preserve">Snížení počtu budov proběhlo po žádosti Ministerstva obrany, které zažádalo o snížení počtu budov z důvodu neplnění podmínek společného vlastnictví a užívání. Vězeňská služba dále zažádala o úplné vyčlenění svého rezortu z působnosti článku 5 směrnice. Ze závazku byly dle Ministerstva průmyslu a obchodu dále vyloučeny: </w:t>
      </w:r>
      <w:r w:rsidRPr="00207C99">
        <w:rPr>
          <w:i/>
          <w:sz w:val="20"/>
          <w:szCs w:val="20"/>
        </w:rPr>
        <w:t>„… v souladu se směrnicí budovy ve vlastnictví ozbrojených sil nebo ústředních vládních institucí, které slouží k účelům národní obrany, […] budovy užívané pro bohoslužby a náboženské účely.“</w:t>
      </w:r>
      <w:r w:rsidRPr="00207C99">
        <w:rPr>
          <w:sz w:val="20"/>
          <w:szCs w:val="20"/>
        </w:rPr>
        <w:t xml:space="preserve"> a </w:t>
      </w:r>
      <w:r w:rsidRPr="00207C99">
        <w:rPr>
          <w:i/>
          <w:sz w:val="20"/>
          <w:szCs w:val="20"/>
        </w:rPr>
        <w:t>„Článek 5 EED dále umožňuje nestanovit a neuplatňovat požadavky na minimální energetickou náročnost u budov úředně chráněných jako součást vymezeného prostředí nebo vzhledem k jejich zvláštní architektonické nebo historické hodnotě, pokud by splnění požadavků na minimální energetickou náročnost nepřijatelně změnilo jejich charakter nebo vzhled</w:t>
      </w:r>
      <w:r w:rsidRPr="00207C99">
        <w:rPr>
          <w:i/>
        </w:rPr>
        <w:t>.“</w:t>
      </w:r>
      <w:r w:rsidRPr="00207C99">
        <w:t xml:space="preserve"> </w:t>
      </w:r>
      <w:r w:rsidRPr="00207C99">
        <w:rPr>
          <w:sz w:val="20"/>
          <w:szCs w:val="20"/>
        </w:rPr>
        <w:t>Viz: Ministerstvo průmyslu a obchodu (2015b):</w:t>
      </w:r>
      <w:r w:rsidRPr="00207C99">
        <w:t xml:space="preserve"> </w:t>
      </w:r>
      <w:r w:rsidRPr="00207C99">
        <w:rPr>
          <w:i/>
          <w:sz w:val="20"/>
          <w:szCs w:val="20"/>
        </w:rPr>
        <w:t xml:space="preserve">Plán rekonstrukce objektů, v působnosti článku 5 směrnice Evropského parlamentu a Rady 2012/27/EU ze dne 25. října 2012 o energetické účinnosti, pro rok 2016 s výhledem do roku 2020, </w:t>
      </w:r>
      <w:r w:rsidRPr="00207C99">
        <w:rPr>
          <w:sz w:val="20"/>
          <w:szCs w:val="20"/>
        </w:rPr>
        <w:t>s.</w:t>
      </w:r>
      <w:r w:rsidR="00734755" w:rsidRPr="00207C99">
        <w:rPr>
          <w:sz w:val="20"/>
          <w:szCs w:val="20"/>
        </w:rPr>
        <w:t xml:space="preserve"> </w:t>
      </w:r>
      <w:r w:rsidRPr="00207C99">
        <w:rPr>
          <w:sz w:val="20"/>
          <w:szCs w:val="20"/>
        </w:rPr>
        <w:t>4-5. On-line.</w:t>
      </w:r>
    </w:p>
  </w:footnote>
  <w:footnote w:id="13">
    <w:p w14:paraId="3CB97908" w14:textId="2B6C5503" w:rsidR="00F24FCB" w:rsidRPr="00207C99" w:rsidRDefault="00F24FCB" w:rsidP="000E4286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Viz: tam</w:t>
      </w:r>
      <w:r w:rsidR="000A519C">
        <w:t>té</w:t>
      </w:r>
      <w:r w:rsidRPr="00207C99">
        <w:t>ž.</w:t>
      </w:r>
    </w:p>
  </w:footnote>
  <w:footnote w:id="14">
    <w:p w14:paraId="5B993858" w14:textId="3D6CD34F" w:rsidR="00F24FCB" w:rsidRPr="00207C99" w:rsidRDefault="00F24FCB" w:rsidP="000E4286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207C99">
        <w:rPr>
          <w:rStyle w:val="Znakapoznpodarou"/>
        </w:rPr>
        <w:footnoteRef/>
      </w:r>
      <w:r w:rsidRPr="00207C99">
        <w:t xml:space="preserve"> Viz: </w:t>
      </w:r>
      <w:r w:rsidRPr="00207C99">
        <w:rPr>
          <w:sz w:val="20"/>
          <w:szCs w:val="20"/>
        </w:rPr>
        <w:t>Ministerstvo průmyslu a obchodu (2015b):</w:t>
      </w:r>
      <w:r w:rsidRPr="00207C99">
        <w:t xml:space="preserve"> </w:t>
      </w:r>
      <w:r w:rsidRPr="00207C99">
        <w:rPr>
          <w:i/>
          <w:sz w:val="20"/>
          <w:szCs w:val="20"/>
        </w:rPr>
        <w:t xml:space="preserve">Plán rekonstrukce objektů, v působnosti článku 5 směrnice Evropského parlamentu a Rady 2012/27/EU ze dne 25. října 2012 o energetické účinnosti, pro rok 2016 s výhledem do roku 2020, </w:t>
      </w:r>
      <w:r w:rsidRPr="00207C99">
        <w:rPr>
          <w:sz w:val="20"/>
          <w:szCs w:val="20"/>
        </w:rPr>
        <w:t>s.</w:t>
      </w:r>
      <w:r w:rsidR="00734755" w:rsidRPr="00207C99">
        <w:rPr>
          <w:sz w:val="20"/>
          <w:szCs w:val="20"/>
        </w:rPr>
        <w:t xml:space="preserve"> </w:t>
      </w:r>
      <w:r w:rsidRPr="00207C99">
        <w:rPr>
          <w:sz w:val="20"/>
          <w:szCs w:val="20"/>
        </w:rPr>
        <w:t>6. On-line.</w:t>
      </w:r>
    </w:p>
  </w:footnote>
  <w:footnote w:id="15">
    <w:p w14:paraId="40644CB8" w14:textId="40A9C87E" w:rsidR="00F24FCB" w:rsidRPr="00207C99" w:rsidRDefault="00F24FCB" w:rsidP="000E4286">
      <w:pPr>
        <w:pStyle w:val="Textpoznpodarou"/>
        <w:jc w:val="both"/>
      </w:pPr>
      <w:r w:rsidRPr="00207C99">
        <w:rPr>
          <w:rStyle w:val="Znakapoznpodarou"/>
        </w:rPr>
        <w:footnoteRef/>
      </w:r>
      <w:r w:rsidR="006E281F">
        <w:t xml:space="preserve"> Viz: tamtéž</w:t>
      </w:r>
      <w:r w:rsidRPr="00207C99">
        <w:t>.</w:t>
      </w:r>
    </w:p>
  </w:footnote>
  <w:footnote w:id="16">
    <w:p w14:paraId="03EEAA8F" w14:textId="12F35CF0" w:rsidR="00F24FCB" w:rsidRPr="00207C99" w:rsidRDefault="00F24FCB" w:rsidP="000E4286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Administrativní zabezpečení předpokládá </w:t>
      </w:r>
      <w:r w:rsidRPr="00207C99">
        <w:rPr>
          <w:i/>
        </w:rPr>
        <w:t>„…zadání projektové dokumentace, vypsání veřejné zakázky, v případě financování přes dotační program podání žádosti, vykazování.“</w:t>
      </w:r>
      <w:r w:rsidRPr="00207C99">
        <w:t xml:space="preserve"> Viz: Ministerstvo průmyslu a obchodu (2015b): </w:t>
      </w:r>
      <w:r w:rsidRPr="00207C99">
        <w:rPr>
          <w:i/>
        </w:rPr>
        <w:t xml:space="preserve">Plán rekonstrukce objektů, v působnosti článku 5 směrnice Evropského parlamentu a Rady 2012/27/EU ze dne 25. října 2012 o energetické účinnosti, pro rok 2016 s výhledem do roku 2020, </w:t>
      </w:r>
      <w:r w:rsidRPr="00207C99">
        <w:t>s.</w:t>
      </w:r>
      <w:r w:rsidR="00734755" w:rsidRPr="00207C99">
        <w:t xml:space="preserve"> </w:t>
      </w:r>
      <w:r w:rsidRPr="00207C99">
        <w:t>8-9. On-line.</w:t>
      </w:r>
    </w:p>
  </w:footnote>
  <w:footnote w:id="17">
    <w:p w14:paraId="2457CC0A" w14:textId="73CEB4D0" w:rsidR="00F24FCB" w:rsidRPr="00207C99" w:rsidRDefault="00F24FCB">
      <w:pPr>
        <w:pStyle w:val="Textpoznpodarou"/>
      </w:pPr>
      <w:r w:rsidRPr="00207C99">
        <w:rPr>
          <w:rStyle w:val="Znakapoznpodarou"/>
        </w:rPr>
        <w:footnoteRef/>
      </w:r>
      <w:r w:rsidR="006E281F">
        <w:t xml:space="preserve"> Viz: tamtéž</w:t>
      </w:r>
      <w:r w:rsidRPr="00207C99">
        <w:t>.</w:t>
      </w:r>
    </w:p>
  </w:footnote>
  <w:footnote w:id="18">
    <w:p w14:paraId="3EA665DB" w14:textId="77777777" w:rsidR="00E4202A" w:rsidRDefault="00E4202A" w:rsidP="00E4202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Viz: </w:t>
      </w:r>
      <w:r w:rsidRPr="00207C99">
        <w:t>Ministerstvo průmyslu a obchodu (2016</w:t>
      </w:r>
      <w:r>
        <w:t>a</w:t>
      </w:r>
      <w:r w:rsidRPr="00207C99">
        <w:t xml:space="preserve">): </w:t>
      </w:r>
      <w:r w:rsidRPr="00207C99">
        <w:rPr>
          <w:i/>
        </w:rPr>
        <w:t xml:space="preserve">Národní akční plán energetické účinnosti ČR dle čl. 24 odst. 2 směrnice Evropského parlamentu a Rady 2012/27/EU ze dne 25. října 2012 o energetické účinnosti, </w:t>
      </w:r>
      <w:r>
        <w:t>s. 11</w:t>
      </w:r>
      <w:r w:rsidRPr="00207C99">
        <w:t>.</w:t>
      </w:r>
      <w:r w:rsidRPr="00207C99">
        <w:rPr>
          <w:i/>
        </w:rPr>
        <w:t xml:space="preserve"> </w:t>
      </w:r>
      <w:r w:rsidRPr="00207C99">
        <w:t>Odbor energetické účinnosti a úspor. On-line.</w:t>
      </w:r>
    </w:p>
  </w:footnote>
  <w:footnote w:id="19">
    <w:p w14:paraId="286DE772" w14:textId="09F1D020" w:rsidR="00C0259F" w:rsidRPr="00C0259F" w:rsidRDefault="00C0259F" w:rsidP="00F64411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207C99">
        <w:t xml:space="preserve">Viz: Ministerstvo průmyslu a obchodu (2015b): </w:t>
      </w:r>
      <w:r w:rsidRPr="00207C99">
        <w:rPr>
          <w:i/>
        </w:rPr>
        <w:t xml:space="preserve">Plán rekonstrukce objektů, v působnosti článku 5 směrnice Evropského parlamentu a Rady 2012/27/EU ze dne 25. října 2012 o energetické účinnosti, pro rok 2016 s výhledem do roku 2020, </w:t>
      </w:r>
      <w:r w:rsidRPr="00207C99">
        <w:t>s. 8-9. On-line.</w:t>
      </w:r>
    </w:p>
  </w:footnote>
  <w:footnote w:id="20">
    <w:p w14:paraId="36578969" w14:textId="4A0A3482" w:rsidR="0098611A" w:rsidRPr="00207C99" w:rsidRDefault="0098611A" w:rsidP="00445D7F">
      <w:pPr>
        <w:pStyle w:val="Textpoznpodarou"/>
        <w:jc w:val="both"/>
      </w:pPr>
      <w:r w:rsidRPr="00207C99">
        <w:rPr>
          <w:rStyle w:val="Znakapoznpodarou"/>
        </w:rPr>
        <w:footnoteRef/>
      </w:r>
      <w:r w:rsidRPr="00207C99">
        <w:t xml:space="preserve"> Využitelné technologie by v tomto případě mohly zahrnovat osazení třívrstvých oken, vyloučení tepelných mostů a vazeb, a vnitřní izolace, řízené větrání s rekuperací tepla či optimalizované vytápění. Žádný z těchto zásahů by nezměnil venkovní vzhled památkově chráněných budov a při šetrné rekonstrukci by i interiérové zásahy mohly být nepatrné. </w:t>
      </w:r>
    </w:p>
  </w:footnote>
  <w:footnote w:id="21">
    <w:p w14:paraId="6746F42A" w14:textId="7EC398DD" w:rsidR="00582199" w:rsidRPr="00582199" w:rsidRDefault="00582199" w:rsidP="00582199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07C99">
        <w:rPr>
          <w:sz w:val="20"/>
          <w:szCs w:val="20"/>
        </w:rPr>
        <w:t>Ministerstvo průmyslu a obchodu (2015b):</w:t>
      </w:r>
      <w:r w:rsidRPr="00207C99">
        <w:t xml:space="preserve"> </w:t>
      </w:r>
      <w:r w:rsidRPr="00207C99">
        <w:rPr>
          <w:i/>
          <w:sz w:val="20"/>
          <w:szCs w:val="20"/>
        </w:rPr>
        <w:t xml:space="preserve">Plán rekonstrukce objektů, v působnosti článku 5 směrnice Evropského parlamentu a Rady 2012/27/EU ze dne 25. října 2012 o energetické účinnosti, pro rok 2016 s výhledem do roku 2020, </w:t>
      </w:r>
      <w:r w:rsidRPr="00207C99">
        <w:rPr>
          <w:sz w:val="20"/>
          <w:szCs w:val="20"/>
        </w:rPr>
        <w:t>s. 4-5. On-line.</w:t>
      </w:r>
    </w:p>
  </w:footnote>
  <w:footnote w:id="22">
    <w:p w14:paraId="771CA9A2" w14:textId="1954936E" w:rsidR="00F64B0A" w:rsidRDefault="00F64B0A" w:rsidP="00445D7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4. </w:t>
      </w:r>
      <w:r w:rsidR="00445D7F">
        <w:t>Viz: Ministerstvo pr</w:t>
      </w:r>
      <w:r w:rsidR="00445D7F" w:rsidRPr="00207C99">
        <w:t>ů</w:t>
      </w:r>
      <w:r w:rsidR="00445D7F">
        <w:t xml:space="preserve">myslu a obchodu (2016b): </w:t>
      </w:r>
      <w:r w:rsidR="00445D7F" w:rsidRPr="00445D7F">
        <w:rPr>
          <w:i/>
        </w:rPr>
        <w:t>Z</w:t>
      </w:r>
      <w:r w:rsidRPr="00445D7F">
        <w:rPr>
          <w:i/>
        </w:rPr>
        <w:t>práva o pokroku v oblasti plnění vnitrostátních cílů energetické účinnosti v České republice (podle čl. 24 směrnice 2012/27/EU o energetické účinnosti)</w:t>
      </w:r>
      <w:r w:rsidR="005B0317">
        <w:t>, str. 6. O</w:t>
      </w:r>
      <w:r w:rsidRPr="00445D7F">
        <w:t>n-line.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11E"/>
    <w:multiLevelType w:val="hybridMultilevel"/>
    <w:tmpl w:val="A6A464C2"/>
    <w:lvl w:ilvl="0" w:tplc="2AA2F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5D9"/>
    <w:multiLevelType w:val="hybridMultilevel"/>
    <w:tmpl w:val="1A244972"/>
    <w:lvl w:ilvl="0" w:tplc="2AA2F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3967"/>
    <w:multiLevelType w:val="hybridMultilevel"/>
    <w:tmpl w:val="D7323BE6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A8D37C7"/>
    <w:multiLevelType w:val="hybridMultilevel"/>
    <w:tmpl w:val="0AAA9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17A10"/>
    <w:multiLevelType w:val="hybridMultilevel"/>
    <w:tmpl w:val="F13C0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A0E6E"/>
    <w:multiLevelType w:val="hybridMultilevel"/>
    <w:tmpl w:val="7B6EB8AC"/>
    <w:lvl w:ilvl="0" w:tplc="2AA2F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11AB"/>
    <w:multiLevelType w:val="hybridMultilevel"/>
    <w:tmpl w:val="09CE8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8AA"/>
    <w:multiLevelType w:val="hybridMultilevel"/>
    <w:tmpl w:val="B35E93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1840"/>
    <w:multiLevelType w:val="hybridMultilevel"/>
    <w:tmpl w:val="0ED2F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A51FB"/>
    <w:multiLevelType w:val="hybridMultilevel"/>
    <w:tmpl w:val="C2C0F6C8"/>
    <w:lvl w:ilvl="0" w:tplc="041B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E2D39E9"/>
    <w:multiLevelType w:val="hybridMultilevel"/>
    <w:tmpl w:val="B35E93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9AE"/>
    <w:multiLevelType w:val="hybridMultilevel"/>
    <w:tmpl w:val="734A69C6"/>
    <w:lvl w:ilvl="0" w:tplc="2AA2F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877BA"/>
    <w:multiLevelType w:val="hybridMultilevel"/>
    <w:tmpl w:val="DAC42314"/>
    <w:lvl w:ilvl="0" w:tplc="2AA2F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69E"/>
    <w:multiLevelType w:val="hybridMultilevel"/>
    <w:tmpl w:val="229CFFEE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D306744"/>
    <w:multiLevelType w:val="hybridMultilevel"/>
    <w:tmpl w:val="DAFC9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97D32"/>
    <w:multiLevelType w:val="hybridMultilevel"/>
    <w:tmpl w:val="79344014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6326753"/>
    <w:multiLevelType w:val="hybridMultilevel"/>
    <w:tmpl w:val="CFCA205A"/>
    <w:lvl w:ilvl="0" w:tplc="07D6E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A369A"/>
    <w:multiLevelType w:val="hybridMultilevel"/>
    <w:tmpl w:val="EBE40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7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5D"/>
    <w:rsid w:val="0000214E"/>
    <w:rsid w:val="000137D4"/>
    <w:rsid w:val="000546B9"/>
    <w:rsid w:val="000715D5"/>
    <w:rsid w:val="000801C1"/>
    <w:rsid w:val="00083D15"/>
    <w:rsid w:val="00095E00"/>
    <w:rsid w:val="000A519C"/>
    <w:rsid w:val="000B6F04"/>
    <w:rsid w:val="000C2D6E"/>
    <w:rsid w:val="000C67CC"/>
    <w:rsid w:val="000D2CA2"/>
    <w:rsid w:val="000E4286"/>
    <w:rsid w:val="000E6FF7"/>
    <w:rsid w:val="000F5FF2"/>
    <w:rsid w:val="00104649"/>
    <w:rsid w:val="0012474B"/>
    <w:rsid w:val="00134BA2"/>
    <w:rsid w:val="00171464"/>
    <w:rsid w:val="001716F1"/>
    <w:rsid w:val="0018203B"/>
    <w:rsid w:val="001A1770"/>
    <w:rsid w:val="001B210B"/>
    <w:rsid w:val="001B21DD"/>
    <w:rsid w:val="001C2FE0"/>
    <w:rsid w:val="001C3051"/>
    <w:rsid w:val="001E3FDF"/>
    <w:rsid w:val="001E42BD"/>
    <w:rsid w:val="00207C99"/>
    <w:rsid w:val="00212C91"/>
    <w:rsid w:val="002257D8"/>
    <w:rsid w:val="00241E49"/>
    <w:rsid w:val="00264A7F"/>
    <w:rsid w:val="002808DB"/>
    <w:rsid w:val="00281F70"/>
    <w:rsid w:val="00297CB8"/>
    <w:rsid w:val="002A2715"/>
    <w:rsid w:val="002B2841"/>
    <w:rsid w:val="002D387F"/>
    <w:rsid w:val="002E2BD0"/>
    <w:rsid w:val="002F0B1A"/>
    <w:rsid w:val="002F1324"/>
    <w:rsid w:val="002F4C23"/>
    <w:rsid w:val="00316D7F"/>
    <w:rsid w:val="0032140D"/>
    <w:rsid w:val="00330F04"/>
    <w:rsid w:val="003732A9"/>
    <w:rsid w:val="003741BC"/>
    <w:rsid w:val="0038609C"/>
    <w:rsid w:val="003A2D59"/>
    <w:rsid w:val="003A51FD"/>
    <w:rsid w:val="003C4F59"/>
    <w:rsid w:val="003E36F9"/>
    <w:rsid w:val="003E670E"/>
    <w:rsid w:val="003E6A51"/>
    <w:rsid w:val="003F3877"/>
    <w:rsid w:val="0040062B"/>
    <w:rsid w:val="00406CCD"/>
    <w:rsid w:val="00407C49"/>
    <w:rsid w:val="004155F4"/>
    <w:rsid w:val="00424841"/>
    <w:rsid w:val="004267C0"/>
    <w:rsid w:val="00427A86"/>
    <w:rsid w:val="004344B6"/>
    <w:rsid w:val="00437D81"/>
    <w:rsid w:val="00445D7F"/>
    <w:rsid w:val="00454856"/>
    <w:rsid w:val="004654F5"/>
    <w:rsid w:val="00486CCE"/>
    <w:rsid w:val="004A67E3"/>
    <w:rsid w:val="004D24CB"/>
    <w:rsid w:val="004E4357"/>
    <w:rsid w:val="004E676A"/>
    <w:rsid w:val="004F4352"/>
    <w:rsid w:val="005079C3"/>
    <w:rsid w:val="005127AA"/>
    <w:rsid w:val="005149B4"/>
    <w:rsid w:val="00520287"/>
    <w:rsid w:val="00541585"/>
    <w:rsid w:val="005419F9"/>
    <w:rsid w:val="00574A13"/>
    <w:rsid w:val="00582199"/>
    <w:rsid w:val="005A7F41"/>
    <w:rsid w:val="005B0317"/>
    <w:rsid w:val="005E19D6"/>
    <w:rsid w:val="005E65CD"/>
    <w:rsid w:val="005F06BE"/>
    <w:rsid w:val="0060295A"/>
    <w:rsid w:val="00616072"/>
    <w:rsid w:val="00627750"/>
    <w:rsid w:val="00632420"/>
    <w:rsid w:val="00632540"/>
    <w:rsid w:val="006749D9"/>
    <w:rsid w:val="00681D37"/>
    <w:rsid w:val="00691354"/>
    <w:rsid w:val="00691FBE"/>
    <w:rsid w:val="00694D81"/>
    <w:rsid w:val="0069701A"/>
    <w:rsid w:val="006A011D"/>
    <w:rsid w:val="006A1C95"/>
    <w:rsid w:val="006A4C67"/>
    <w:rsid w:val="006A706C"/>
    <w:rsid w:val="006B0493"/>
    <w:rsid w:val="006C5063"/>
    <w:rsid w:val="006E281F"/>
    <w:rsid w:val="00734755"/>
    <w:rsid w:val="00735642"/>
    <w:rsid w:val="0075035F"/>
    <w:rsid w:val="00763F78"/>
    <w:rsid w:val="007B60BD"/>
    <w:rsid w:val="007D7C92"/>
    <w:rsid w:val="007F32D3"/>
    <w:rsid w:val="007F58F8"/>
    <w:rsid w:val="00815DF1"/>
    <w:rsid w:val="00817E73"/>
    <w:rsid w:val="00823902"/>
    <w:rsid w:val="008239DF"/>
    <w:rsid w:val="00837A6C"/>
    <w:rsid w:val="008544E4"/>
    <w:rsid w:val="00870CCF"/>
    <w:rsid w:val="00884783"/>
    <w:rsid w:val="008C416D"/>
    <w:rsid w:val="008D2778"/>
    <w:rsid w:val="008D2C64"/>
    <w:rsid w:val="008D315B"/>
    <w:rsid w:val="00904957"/>
    <w:rsid w:val="00957370"/>
    <w:rsid w:val="0098611A"/>
    <w:rsid w:val="00987C06"/>
    <w:rsid w:val="009935C3"/>
    <w:rsid w:val="00993C5B"/>
    <w:rsid w:val="009C059A"/>
    <w:rsid w:val="009C2985"/>
    <w:rsid w:val="009C6342"/>
    <w:rsid w:val="009F046F"/>
    <w:rsid w:val="00A235AA"/>
    <w:rsid w:val="00A3403C"/>
    <w:rsid w:val="00A60568"/>
    <w:rsid w:val="00A63212"/>
    <w:rsid w:val="00A71991"/>
    <w:rsid w:val="00A726E0"/>
    <w:rsid w:val="00AC02E2"/>
    <w:rsid w:val="00AD4A7E"/>
    <w:rsid w:val="00AF275D"/>
    <w:rsid w:val="00AF2FFD"/>
    <w:rsid w:val="00AF48B4"/>
    <w:rsid w:val="00B00041"/>
    <w:rsid w:val="00B1489A"/>
    <w:rsid w:val="00B15C54"/>
    <w:rsid w:val="00B1607F"/>
    <w:rsid w:val="00B2271B"/>
    <w:rsid w:val="00B40FC3"/>
    <w:rsid w:val="00B4144C"/>
    <w:rsid w:val="00B55314"/>
    <w:rsid w:val="00B65615"/>
    <w:rsid w:val="00B84152"/>
    <w:rsid w:val="00B939C1"/>
    <w:rsid w:val="00BB61CB"/>
    <w:rsid w:val="00BC260C"/>
    <w:rsid w:val="00BE3AE9"/>
    <w:rsid w:val="00C0259F"/>
    <w:rsid w:val="00C367A6"/>
    <w:rsid w:val="00C4476E"/>
    <w:rsid w:val="00C53644"/>
    <w:rsid w:val="00C56EC2"/>
    <w:rsid w:val="00C65A4C"/>
    <w:rsid w:val="00C65D01"/>
    <w:rsid w:val="00C715FE"/>
    <w:rsid w:val="00CB57F9"/>
    <w:rsid w:val="00CE60C8"/>
    <w:rsid w:val="00CF0382"/>
    <w:rsid w:val="00D1290F"/>
    <w:rsid w:val="00D14001"/>
    <w:rsid w:val="00D27916"/>
    <w:rsid w:val="00D306F6"/>
    <w:rsid w:val="00D328C8"/>
    <w:rsid w:val="00D37936"/>
    <w:rsid w:val="00D86824"/>
    <w:rsid w:val="00D91A80"/>
    <w:rsid w:val="00DB204E"/>
    <w:rsid w:val="00DC1255"/>
    <w:rsid w:val="00DF7C63"/>
    <w:rsid w:val="00E13077"/>
    <w:rsid w:val="00E13726"/>
    <w:rsid w:val="00E156F7"/>
    <w:rsid w:val="00E4202A"/>
    <w:rsid w:val="00E47EAC"/>
    <w:rsid w:val="00E6421C"/>
    <w:rsid w:val="00E83C1B"/>
    <w:rsid w:val="00E84789"/>
    <w:rsid w:val="00E85456"/>
    <w:rsid w:val="00E94D55"/>
    <w:rsid w:val="00EA67AD"/>
    <w:rsid w:val="00EB520E"/>
    <w:rsid w:val="00EC4C5E"/>
    <w:rsid w:val="00EC64D8"/>
    <w:rsid w:val="00ED4AE5"/>
    <w:rsid w:val="00EE458F"/>
    <w:rsid w:val="00EE49E6"/>
    <w:rsid w:val="00F02C73"/>
    <w:rsid w:val="00F054A8"/>
    <w:rsid w:val="00F06A4C"/>
    <w:rsid w:val="00F123FD"/>
    <w:rsid w:val="00F24FCB"/>
    <w:rsid w:val="00F31246"/>
    <w:rsid w:val="00F41E3F"/>
    <w:rsid w:val="00F557BE"/>
    <w:rsid w:val="00F64411"/>
    <w:rsid w:val="00F64501"/>
    <w:rsid w:val="00F64B0A"/>
    <w:rsid w:val="00F86081"/>
    <w:rsid w:val="00F937A4"/>
    <w:rsid w:val="00F97AE7"/>
    <w:rsid w:val="00FC1B07"/>
    <w:rsid w:val="00FC3C24"/>
    <w:rsid w:val="00FD3B59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31A6"/>
  <w15:chartTrackingRefBased/>
  <w15:docId w15:val="{E3D77745-3F6B-4B1F-9149-96EF1F7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C64"/>
  </w:style>
  <w:style w:type="paragraph" w:styleId="Nadpis1">
    <w:name w:val="heading 1"/>
    <w:basedOn w:val="Normln"/>
    <w:next w:val="Normln"/>
    <w:link w:val="Nadpis1Char"/>
    <w:uiPriority w:val="9"/>
    <w:qFormat/>
    <w:rsid w:val="00CB5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B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64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5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8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03B"/>
  </w:style>
  <w:style w:type="paragraph" w:styleId="Zpat">
    <w:name w:val="footer"/>
    <w:basedOn w:val="Normln"/>
    <w:link w:val="ZpatChar"/>
    <w:uiPriority w:val="99"/>
    <w:unhideWhenUsed/>
    <w:rsid w:val="0018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0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49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49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49B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23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9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9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9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9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F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B84152"/>
    <w:pPr>
      <w:outlineLvl w:val="9"/>
    </w:pPr>
    <w:rPr>
      <w:lang w:val="sk-SK" w:eastAsia="sk-SK"/>
    </w:rPr>
  </w:style>
  <w:style w:type="paragraph" w:styleId="Obsah1">
    <w:name w:val="toc 1"/>
    <w:basedOn w:val="Normln"/>
    <w:next w:val="Normln"/>
    <w:autoRedefine/>
    <w:uiPriority w:val="39"/>
    <w:unhideWhenUsed/>
    <w:rsid w:val="00B84152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B84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B84152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F12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ceprobudovy.cz/assets/files/vysvedceni_EUfondy_2003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o.cz/dokument17277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wnload.mpo.cz/get/50711/63238/651838/priloha00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mora.cz/download.aspx?dontparse=true&amp;FileID=18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PDF/?uri=CELEX:32012L0027&amp;from=CS" TargetMode="External"/><Relationship Id="rId14" Type="http://schemas.openxmlformats.org/officeDocument/2006/relationships/hyperlink" Target="http://www.renovujd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3102-206F-4F33-8C00-DB445B9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3435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Metzl</dc:creator>
  <cp:keywords/>
  <dc:description/>
  <cp:lastModifiedBy>Filip Černoch</cp:lastModifiedBy>
  <cp:revision>2</cp:revision>
  <dcterms:created xsi:type="dcterms:W3CDTF">2016-09-22T12:22:00Z</dcterms:created>
  <dcterms:modified xsi:type="dcterms:W3CDTF">2016-09-22T12:22:00Z</dcterms:modified>
</cp:coreProperties>
</file>