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B05D" w14:textId="0EE87DA9" w:rsidR="00E32487" w:rsidRPr="00966A92" w:rsidRDefault="00BA49C0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POL505</w:t>
      </w:r>
      <w:r w:rsidR="63E3042E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Politický marketing</w:t>
      </w:r>
      <w:r w:rsidR="63E3042E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– východiska, teorie a koncepty</w:t>
      </w:r>
    </w:p>
    <w:p w14:paraId="0E58B19C" w14:textId="77777777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Přednášející: </w:t>
      </w:r>
    </w:p>
    <w:p w14:paraId="7C380ED3" w14:textId="155163D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Otto Eibl, Ph.D. (</w:t>
      </w:r>
      <w:hyperlink r:id="rId5" w:history="1">
        <w:r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eibl@fss.muni.cz</w:t>
        </w:r>
      </w:hyperlink>
      <w:r w:rsidRPr="00966A92">
        <w:rPr>
          <w:rFonts w:ascii="Times New Roman" w:eastAsia="Times New Roman" w:hAnsi="Times New Roman"/>
          <w:szCs w:val="24"/>
          <w:lang w:val="cs-CZ"/>
        </w:rPr>
        <w:t>)</w:t>
      </w:r>
    </w:p>
    <w:p w14:paraId="2E5B78C0" w14:textId="40E2392A" w:rsidR="00E32487" w:rsidRPr="00966A92" w:rsidRDefault="270AABA9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Miloš Gregor (</w:t>
      </w:r>
      <w:hyperlink r:id="rId6">
        <w:r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mgregor@fss.muni.cz</w:t>
        </w:r>
      </w:hyperlink>
      <w:r w:rsidRPr="00966A92">
        <w:rPr>
          <w:rFonts w:ascii="Times New Roman" w:eastAsia="Times New Roman" w:hAnsi="Times New Roman"/>
          <w:szCs w:val="24"/>
          <w:lang w:val="cs-CZ"/>
        </w:rPr>
        <w:t xml:space="preserve">) </w:t>
      </w:r>
    </w:p>
    <w:p w14:paraId="6E6F0252" w14:textId="526C5FD5" w:rsidR="0010723B" w:rsidRPr="00966A92" w:rsidRDefault="0010723B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Lenka Hrbková</w:t>
      </w:r>
      <w:r w:rsidR="008551DC" w:rsidRPr="00966A92">
        <w:rPr>
          <w:rFonts w:ascii="Times New Roman" w:eastAsia="Times New Roman" w:hAnsi="Times New Roman"/>
          <w:szCs w:val="24"/>
          <w:lang w:val="cs-CZ"/>
        </w:rPr>
        <w:t xml:space="preserve"> (</w:t>
      </w:r>
      <w:hyperlink r:id="rId7" w:history="1">
        <w:r w:rsidR="008551DC"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hrbkova@fss.muni.cz)</w:t>
        </w:r>
      </w:hyperlink>
      <w:r w:rsidR="008551DC" w:rsidRPr="00966A92">
        <w:rPr>
          <w:rFonts w:ascii="Times New Roman" w:eastAsia="Times New Roman" w:hAnsi="Times New Roman"/>
          <w:szCs w:val="24"/>
          <w:lang w:val="cs-CZ"/>
        </w:rPr>
        <w:t xml:space="preserve"> </w:t>
      </w:r>
    </w:p>
    <w:p w14:paraId="19B68841" w14:textId="77777777" w:rsidR="00E32487" w:rsidRPr="00966A92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CC9154F" w14:textId="0BFC7498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Výuka: </w:t>
      </w:r>
      <w:r w:rsidR="008551DC" w:rsidRPr="00966A92">
        <w:rPr>
          <w:rFonts w:ascii="Times New Roman" w:eastAsia="Times New Roman" w:hAnsi="Times New Roman"/>
          <w:b/>
          <w:bCs/>
          <w:szCs w:val="24"/>
          <w:lang w:val="cs-CZ"/>
        </w:rPr>
        <w:t>úterý, 13:30-15:00</w:t>
      </w:r>
    </w:p>
    <w:p w14:paraId="49436219" w14:textId="22A544B3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Učebna:</w:t>
      </w:r>
      <w:r w:rsidR="008551DC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41</w:t>
      </w:r>
    </w:p>
    <w:p w14:paraId="0E4FB533" w14:textId="77777777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060AD388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6861CF47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Anotace:</w:t>
      </w:r>
    </w:p>
    <w:p w14:paraId="7809E8B4" w14:textId="77777777" w:rsidR="00012FDC" w:rsidRPr="00966A92" w:rsidRDefault="00153098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Cílem kurzu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Politický marketing – východiska, teorie a koncepty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je seznámit studenty s vybranými oblastmi 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>a teorie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>mi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 politického marketingu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 xml:space="preserve">. </w:t>
      </w:r>
    </w:p>
    <w:p w14:paraId="559B823F" w14:textId="3C958438" w:rsidR="0010723B" w:rsidRPr="00966A92" w:rsidRDefault="0010723B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V úvodu kurzu se studenti seznámí s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 xml:space="preserve"> tím, z jakých základů politický marketing vychází, jak jej vlastně chápat a s přístupy, jak lze na marketing v politice nahlížet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>(reflektován bude i vztah marketingových technik v politice k vnímané kvalitě demokracie).</w:t>
      </w:r>
    </w:p>
    <w:p w14:paraId="0B59C14C" w14:textId="02401D8C" w:rsidR="00153098" w:rsidRPr="00966A92" w:rsidRDefault="0010723B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Další část kurzu pak podrobně představuje nejvlivnější teoretické </w:t>
      </w:r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>koncepty, které se v 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 xml:space="preserve">současnosti s politickým marketingem spojují (koncepty 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R.</w:t>
      </w:r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 xml:space="preserve"> Ormroda, J. Lees-Marshment, B. 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Newmana a dalších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>). P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o seznámení s obecnějšími koncepty bude pozornost věnována metodologii výzkumu kampaní, negativním kampaním, permanentním kampaním, brandingu atd.</w:t>
      </w:r>
    </w:p>
    <w:p w14:paraId="43748207" w14:textId="216FFF5A" w:rsidR="00707888" w:rsidRPr="00966A92" w:rsidRDefault="00707888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V průběhu kurzu studenti provedou </w:t>
      </w:r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>situační analýzu, analýzu volebních programů a kampaně na sociálních sítích. kandidujících aktérů v krajských volbách v roce 2016.</w:t>
      </w:r>
    </w:p>
    <w:p w14:paraId="33F06D7E" w14:textId="77777777" w:rsidR="00153098" w:rsidRPr="00966A92" w:rsidRDefault="00153098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29A53718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Typ výuky a zkoušky, požadavky na ukončení předmětu: </w:t>
      </w:r>
    </w:p>
    <w:p w14:paraId="49BCA59F" w14:textId="77777777" w:rsidR="00012FDC" w:rsidRPr="00966A92" w:rsidRDefault="00012FDC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3608B769" w14:textId="77777777" w:rsidR="00345F96" w:rsidRPr="00966A92" w:rsidRDefault="00345F96" w:rsidP="00345F96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Výuka probíhá formou přednášek a seminářů. Během semestru musí studenti splnit několik povinností:</w:t>
      </w:r>
    </w:p>
    <w:p w14:paraId="27275B12" w14:textId="77777777" w:rsidR="00A2037F" w:rsidRPr="00966A92" w:rsidRDefault="00A2037F" w:rsidP="00345F96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20C1633C" w14:textId="19A1391E" w:rsidR="00345F96" w:rsidRPr="00966A92" w:rsidRDefault="00A2037F" w:rsidP="00A2037F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Analýza – krajské volby 2016</w:t>
      </w:r>
      <w:r w:rsidR="008551DC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(50 b.)</w:t>
      </w:r>
    </w:p>
    <w:p w14:paraId="0AD77B8D" w14:textId="2DB2AD01" w:rsidR="00345F96" w:rsidRPr="00966A92" w:rsidRDefault="00DE4B56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Studenti</w:t>
      </w:r>
      <w:r w:rsidR="000E198B" w:rsidRPr="00966A92">
        <w:rPr>
          <w:rFonts w:ascii="Times New Roman" w:eastAsia="Times New Roman" w:hAnsi="Times New Roman"/>
          <w:bCs/>
          <w:szCs w:val="24"/>
          <w:lang w:val="cs-CZ"/>
        </w:rPr>
        <w:t xml:space="preserve"> se rozdělí do skupin o dvou členech a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 v průběhu semestru zpracují </w:t>
      </w:r>
      <w:r w:rsidR="000E198B" w:rsidRPr="00966A92">
        <w:rPr>
          <w:rFonts w:ascii="Times New Roman" w:eastAsia="Times New Roman" w:hAnsi="Times New Roman"/>
          <w:bCs/>
          <w:szCs w:val="24"/>
          <w:lang w:val="cs-CZ"/>
        </w:rPr>
        <w:t xml:space="preserve">situační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analýzu </w:t>
      </w:r>
      <w:r w:rsidR="00345F96" w:rsidRPr="00966A92">
        <w:rPr>
          <w:rFonts w:ascii="Times New Roman" w:eastAsia="Times New Roman" w:hAnsi="Times New Roman"/>
          <w:bCs/>
          <w:szCs w:val="24"/>
          <w:lang w:val="cs-CZ"/>
        </w:rPr>
        <w:t>před volbami do krajských zastupitelstev v roce 2016</w:t>
      </w:r>
      <w:r w:rsidR="00C30537" w:rsidRPr="00966A92">
        <w:rPr>
          <w:rFonts w:ascii="Times New Roman" w:eastAsia="Times New Roman" w:hAnsi="Times New Roman"/>
          <w:bCs/>
          <w:szCs w:val="24"/>
          <w:lang w:val="cs-CZ"/>
        </w:rPr>
        <w:t xml:space="preserve">. </w:t>
      </w:r>
      <w:r w:rsidR="00345F96" w:rsidRPr="00966A92">
        <w:rPr>
          <w:rFonts w:ascii="Times New Roman" w:eastAsia="Times New Roman" w:hAnsi="Times New Roman"/>
          <w:bCs/>
          <w:szCs w:val="24"/>
          <w:lang w:val="cs-CZ"/>
        </w:rPr>
        <w:t>Důraz bude kladen na výchozí situaci (jaká strana do voleb vstupuje s jakou pozicí),</w:t>
      </w:r>
      <w:r w:rsidR="00A2037F" w:rsidRPr="00966A92">
        <w:rPr>
          <w:rFonts w:ascii="Times New Roman" w:eastAsia="Times New Roman" w:hAnsi="Times New Roman"/>
          <w:bCs/>
          <w:szCs w:val="24"/>
          <w:lang w:val="cs-CZ"/>
        </w:rPr>
        <w:t xml:space="preserve"> identitu kandidujících aktér, </w:t>
      </w:r>
      <w:r w:rsidR="00345F96" w:rsidRPr="00966A92">
        <w:rPr>
          <w:rFonts w:ascii="Times New Roman" w:eastAsia="Times New Roman" w:hAnsi="Times New Roman"/>
          <w:bCs/>
          <w:szCs w:val="24"/>
          <w:lang w:val="cs-CZ"/>
        </w:rPr>
        <w:t xml:space="preserve">jejich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>pro</w:t>
      </w:r>
      <w:r w:rsidR="00345F96" w:rsidRPr="00966A92">
        <w:rPr>
          <w:rFonts w:ascii="Times New Roman" w:eastAsia="Times New Roman" w:hAnsi="Times New Roman"/>
          <w:bCs/>
          <w:szCs w:val="24"/>
          <w:lang w:val="cs-CZ"/>
        </w:rPr>
        <w:t>gramové dokumenty</w:t>
      </w:r>
      <w:r w:rsidR="00A2037F" w:rsidRPr="00966A92">
        <w:rPr>
          <w:rFonts w:ascii="Times New Roman" w:eastAsia="Times New Roman" w:hAnsi="Times New Roman"/>
          <w:bCs/>
          <w:szCs w:val="24"/>
          <w:lang w:val="cs-CZ"/>
        </w:rPr>
        <w:t xml:space="preserve"> a aktivitu na sociálních médiích</w:t>
      </w:r>
      <w:r w:rsidR="00345F96" w:rsidRPr="00966A92">
        <w:rPr>
          <w:rFonts w:ascii="Times New Roman" w:eastAsia="Times New Roman" w:hAnsi="Times New Roman"/>
          <w:bCs/>
          <w:szCs w:val="24"/>
          <w:lang w:val="cs-CZ"/>
        </w:rPr>
        <w:t>. Analýza programů pak bude hlavní část analýzy. Cílem bude zjistit, následující:</w:t>
      </w:r>
    </w:p>
    <w:p w14:paraId="7202F205" w14:textId="4C9D5909" w:rsidR="00DE4B56" w:rsidRPr="00966A92" w:rsidRDefault="00345F96" w:rsidP="00345F96">
      <w:pPr>
        <w:pStyle w:val="Normln1"/>
        <w:numPr>
          <w:ilvl w:val="0"/>
          <w:numId w:val="11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lastRenderedPageBreak/>
        <w:t>jakým tématům se jednotlivé strany věnují,</w:t>
      </w:r>
      <w:r w:rsidR="000E198B" w:rsidRPr="00966A92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</w:p>
    <w:p w14:paraId="67478AF8" w14:textId="4C8C71ED" w:rsidR="00345F96" w:rsidRPr="00966A92" w:rsidRDefault="00345F96" w:rsidP="00345F96">
      <w:pPr>
        <w:pStyle w:val="Normln1"/>
        <w:numPr>
          <w:ilvl w:val="0"/>
          <w:numId w:val="11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jsou tato témata krajská či celostátní,</w:t>
      </w:r>
    </w:p>
    <w:p w14:paraId="3EAB4BEC" w14:textId="643BF7E6" w:rsidR="00345F96" w:rsidRPr="00966A92" w:rsidRDefault="00345F96" w:rsidP="00345F96">
      <w:pPr>
        <w:pStyle w:val="Normln1"/>
        <w:numPr>
          <w:ilvl w:val="0"/>
          <w:numId w:val="11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je nabídka unikátní, či dochází mezi stranami k překryvům?</w:t>
      </w:r>
    </w:p>
    <w:p w14:paraId="3AA3BF5A" w14:textId="36F0BE2E" w:rsidR="00A2037F" w:rsidRPr="00966A92" w:rsidRDefault="00A2037F" w:rsidP="00A2037F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Analýza aktivit na sociálních médiích bude zahrnovat monitor frekvence aktivit, tonality a témat, které tímto kanálem strana komunikuje.</w:t>
      </w:r>
    </w:p>
    <w:p w14:paraId="2C95B3FF" w14:textId="2BDD8593" w:rsidR="00A2037F" w:rsidRPr="00966A92" w:rsidRDefault="00A2037F" w:rsidP="00A2037F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Detaily ohledně kódování programových materiálů a aktivit na facebooku budou sděleny na začátku semestru. </w:t>
      </w:r>
    </w:p>
    <w:p w14:paraId="23A88169" w14:textId="77777777" w:rsidR="00A2037F" w:rsidRPr="00966A92" w:rsidRDefault="00A2037F" w:rsidP="00A2037F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5437ED84" w14:textId="0D5D31EF" w:rsidR="00A2037F" w:rsidRPr="00966A92" w:rsidRDefault="00A2037F" w:rsidP="00A2037F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Povinná struktura analýzy:</w:t>
      </w:r>
    </w:p>
    <w:p w14:paraId="009FCBE1" w14:textId="292EC9FF" w:rsidR="00A2037F" w:rsidRPr="00966A92" w:rsidRDefault="00A2037F" w:rsidP="00A2037F">
      <w:pPr>
        <w:pStyle w:val="Normln1"/>
        <w:numPr>
          <w:ilvl w:val="0"/>
          <w:numId w:val="12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seznámení s kandidujícími subjekty (počet, jejich pozice – nová vs. tradiční strana, součást krajské koalice vs. opozice a krátký profil zaměření strany)</w:t>
      </w:r>
    </w:p>
    <w:p w14:paraId="5B3F5F10" w14:textId="43B2E2BD" w:rsidR="00A2037F" w:rsidRPr="00966A92" w:rsidRDefault="00A2037F" w:rsidP="00A2037F">
      <w:pPr>
        <w:pStyle w:val="Normln1"/>
        <w:numPr>
          <w:ilvl w:val="0"/>
          <w:numId w:val="12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představení programového dokumentu (rozsah, výstup vlastní analýzy, komparace s programy dalších kandidujících subjektů)</w:t>
      </w:r>
    </w:p>
    <w:p w14:paraId="69C4F333" w14:textId="40B14620" w:rsidR="00A2037F" w:rsidRPr="00966A92" w:rsidRDefault="00A2037F" w:rsidP="00A2037F">
      <w:pPr>
        <w:pStyle w:val="Normln1"/>
        <w:numPr>
          <w:ilvl w:val="0"/>
          <w:numId w:val="12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výstupy analýzy aktivit na sociální síti (facebooku).</w:t>
      </w:r>
    </w:p>
    <w:p w14:paraId="48D8C4D8" w14:textId="77777777" w:rsidR="00C5500D" w:rsidRPr="00966A92" w:rsidRDefault="00C5500D" w:rsidP="00184594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3DC6542F" w14:textId="3BD75627" w:rsidR="00C5500D" w:rsidRPr="00966A92" w:rsidRDefault="00C5500D" w:rsidP="00184594">
      <w:pPr>
        <w:pStyle w:val="Normln1"/>
        <w:tabs>
          <w:tab w:val="left" w:pos="9132"/>
        </w:tabs>
        <w:spacing w:line="360" w:lineRule="auto"/>
        <w:rPr>
          <w:rFonts w:ascii="Times New Roman" w:hAnsi="Times New Roman"/>
          <w:color w:val="1287DE"/>
          <w:szCs w:val="24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Seznam kandidujících subjektů dle krajů:</w:t>
      </w:r>
      <w:r w:rsidR="001E3AF6" w:rsidRPr="00966A92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r w:rsidR="001E3AF6" w:rsidRPr="00966A92">
        <w:rPr>
          <w:rFonts w:ascii="Times New Roman" w:hAnsi="Times New Roman"/>
          <w:color w:val="1287DE"/>
          <w:szCs w:val="24"/>
        </w:rPr>
        <w:t>goo.gl/h2wj6t</w:t>
      </w:r>
    </w:p>
    <w:p w14:paraId="3F193E2F" w14:textId="705C24B7" w:rsidR="00BD12AE" w:rsidRPr="00966A92" w:rsidRDefault="00BD12AE" w:rsidP="00184594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Rozsah: 12 NS</w:t>
      </w:r>
    </w:p>
    <w:p w14:paraId="6BDC0ED1" w14:textId="77777777" w:rsidR="00A2037F" w:rsidRPr="00966A92" w:rsidRDefault="00A2037F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365F311C" w14:textId="04C0E85D" w:rsidR="008551DC" w:rsidRPr="00966A92" w:rsidRDefault="008551DC" w:rsidP="008551DC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Průběžné písemné přezkoušení</w:t>
      </w:r>
      <w:r w:rsid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8. 11.</w:t>
      </w:r>
      <w:bookmarkStart w:id="0" w:name="_GoBack"/>
      <w:bookmarkEnd w:id="0"/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(1</w:t>
      </w:r>
      <w:r w:rsidR="00153098" w:rsidRPr="00966A92">
        <w:rPr>
          <w:rFonts w:ascii="Times New Roman" w:eastAsia="Times New Roman" w:hAnsi="Times New Roman"/>
          <w:b/>
          <w:bCs/>
          <w:szCs w:val="24"/>
          <w:lang w:val="cs-CZ"/>
        </w:rPr>
        <w:t>0 b.</w:t>
      </w: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; jedna otevřená otázka, délka 10 minut</w:t>
      </w:r>
      <w:r w:rsidR="00153098" w:rsidRPr="00966A92">
        <w:rPr>
          <w:rFonts w:ascii="Times New Roman" w:eastAsia="Times New Roman" w:hAnsi="Times New Roman"/>
          <w:b/>
          <w:bCs/>
          <w:szCs w:val="24"/>
          <w:lang w:val="cs-CZ"/>
        </w:rPr>
        <w:t>)</w:t>
      </w:r>
    </w:p>
    <w:p w14:paraId="47E19D37" w14:textId="61A958C9" w:rsidR="00153098" w:rsidRPr="00966A92" w:rsidRDefault="008551DC" w:rsidP="008551DC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Z</w:t>
      </w:r>
      <w:r w:rsidR="00153098" w:rsidRPr="00966A92">
        <w:rPr>
          <w:rFonts w:ascii="Times New Roman" w:eastAsia="Times New Roman" w:hAnsi="Times New Roman"/>
          <w:b/>
          <w:bCs/>
          <w:szCs w:val="24"/>
          <w:lang w:val="cs-CZ"/>
        </w:rPr>
        <w:t>ávěrečné písemné přezkoušení (40 b.</w:t>
      </w: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; </w:t>
      </w:r>
      <w:r w:rsidRPr="00966A92">
        <w:rPr>
          <w:rFonts w:ascii="Times New Roman" w:eastAsia="Times New Roman" w:hAnsi="Times New Roman"/>
          <w:szCs w:val="24"/>
          <w:lang w:val="cs-CZ"/>
        </w:rPr>
        <w:t xml:space="preserve">. Obsah testu </w:t>
      </w: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odpovídá rozsahu odpřednášených témat a zadané literatury</w:t>
      </w:r>
      <w:r w:rsidRPr="00966A92">
        <w:rPr>
          <w:rFonts w:ascii="Times New Roman" w:eastAsia="Times New Roman" w:hAnsi="Times New Roman"/>
          <w:szCs w:val="24"/>
          <w:lang w:val="cs-CZ"/>
        </w:rPr>
        <w:t>. Struktura testu: maximum 40 bodů (otevřené otázky; 4 otázky za 10 bodů), délka 60 minut.</w:t>
      </w:r>
      <w:r w:rsidR="00153098" w:rsidRPr="00966A92">
        <w:rPr>
          <w:rFonts w:ascii="Times New Roman" w:eastAsia="Times New Roman" w:hAnsi="Times New Roman"/>
          <w:b/>
          <w:bCs/>
          <w:szCs w:val="24"/>
          <w:lang w:val="cs-CZ"/>
        </w:rPr>
        <w:t>)</w:t>
      </w:r>
    </w:p>
    <w:p w14:paraId="67E67752" w14:textId="77777777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</w:p>
    <w:p w14:paraId="0F7C769C" w14:textId="0C5D9FAA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Maximální počet bodu, které je možné v kurzu získat je 100 bodů. Minimální počet bodů pro absolvování kurzu je 60 bodů:</w:t>
      </w:r>
    </w:p>
    <w:p w14:paraId="22E714E2" w14:textId="77777777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14:paraId="34DEEEC7" w14:textId="549D8D38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A: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100-93</w:t>
      </w:r>
    </w:p>
    <w:p w14:paraId="77A01DA0" w14:textId="5BB630E5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B: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92-84</w:t>
      </w:r>
    </w:p>
    <w:p w14:paraId="0B732745" w14:textId="53A672D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C: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83-76</w:t>
      </w:r>
    </w:p>
    <w:p w14:paraId="521390CA" w14:textId="759BF97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D: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75-68</w:t>
      </w:r>
    </w:p>
    <w:p w14:paraId="2959D062" w14:textId="2D09545C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E: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67-60</w:t>
      </w:r>
    </w:p>
    <w:p w14:paraId="7BBD6CF1" w14:textId="24E86DFE" w:rsidR="008551DC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F: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méně než 60 bodů</w:t>
      </w:r>
    </w:p>
    <w:p w14:paraId="4DD89620" w14:textId="70262E02" w:rsidR="00E32487" w:rsidRPr="00966A92" w:rsidRDefault="008551DC" w:rsidP="008551DC">
      <w:pPr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</w:rPr>
        <w:br w:type="page"/>
      </w:r>
    </w:p>
    <w:p w14:paraId="2939922A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1.</w:t>
      </w:r>
    </w:p>
    <w:p w14:paraId="20A91D91" w14:textId="4AC627FB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20. 9.</w:t>
      </w:r>
    </w:p>
    <w:p w14:paraId="12E00205" w14:textId="2CCDBA85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Úvodní hodina – seznámení s obsahem kurzu</w:t>
      </w:r>
    </w:p>
    <w:p w14:paraId="62C14DAC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B793D88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11390EE" w14:textId="51BEA69D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2.</w:t>
      </w:r>
    </w:p>
    <w:p w14:paraId="66ABA265" w14:textId="4F0E683C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27. 9.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 Seminář – situační analýza, analýza programových dokumentů, kódovací knihy</w:t>
      </w:r>
    </w:p>
    <w:p w14:paraId="36BA3217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8AC8C71" w14:textId="76C1AAF2" w:rsidR="00B000BA" w:rsidRPr="00966A92" w:rsidRDefault="00B000BA" w:rsidP="00966A92">
      <w:pPr>
        <w:pStyle w:val="Odstavecseseznamem"/>
        <w:numPr>
          <w:ilvl w:val="0"/>
          <w:numId w:val="21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Werner, A., Lacewell, O. and Volkens, A. (2011). Manifesto Coding Instructions (4th fully revised edition), May 2011. On-line [https://manifesto-project.wzb.eu/down/papers/handbook_v4.pdf]</w:t>
      </w:r>
    </w:p>
    <w:p w14:paraId="21FD9792" w14:textId="037D9FE0" w:rsidR="00B000BA" w:rsidRPr="00966A92" w:rsidRDefault="00B000BA" w:rsidP="00966A92">
      <w:pPr>
        <w:pStyle w:val="Odstavecseseznamem"/>
        <w:numPr>
          <w:ilvl w:val="0"/>
          <w:numId w:val="21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Gemenis, K. 2013. „What to Do (and Not to Do) with the Comparative Manifestos Project Data". Political Studies 61: 3-23. </w:t>
      </w:r>
      <w:hyperlink r:id="rId8" w:history="1">
        <w:r w:rsidR="005A72C9" w:rsidRPr="00966A92">
          <w:rPr>
            <w:rStyle w:val="Hypertextovodkaz"/>
            <w:rFonts w:ascii="Times New Roman" w:eastAsia="Times New Roman" w:hAnsi="Times New Roman" w:cs="Times New Roman"/>
            <w:bCs/>
            <w:lang w:eastAsia="en-GB"/>
          </w:rPr>
          <w:t>http://dx.doi.org/10.1111/1467-9248.12015</w:t>
        </w:r>
      </w:hyperlink>
      <w:r w:rsidRPr="00966A92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056AFB31" w14:textId="77777777" w:rsidR="005A72C9" w:rsidRPr="00966A92" w:rsidRDefault="005A72C9" w:rsidP="00966A92">
      <w:pPr>
        <w:pStyle w:val="Odstavecseseznamem"/>
        <w:numPr>
          <w:ilvl w:val="0"/>
          <w:numId w:val="21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Macková, A. (2012). Výzkumné designy v politickém marketingu. In: Chytilek, R. – Eibl, O. – Matušková, A.: Teorie a metody politického marketingu. </w:t>
      </w:r>
    </w:p>
    <w:p w14:paraId="60C0FDA6" w14:textId="77777777" w:rsidR="005A72C9" w:rsidRPr="00966A92" w:rsidRDefault="005A72C9" w:rsidP="00B000BA">
      <w:p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</w:p>
    <w:p w14:paraId="76AAFE35" w14:textId="77777777" w:rsidR="00592C7D" w:rsidRPr="00966A92" w:rsidRDefault="00592C7D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5BDDDE9" w14:textId="77777777" w:rsidR="00592C7D" w:rsidRPr="00966A92" w:rsidRDefault="00592C7D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D498E10" w14:textId="59DBAC71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3.</w:t>
      </w:r>
    </w:p>
    <w:p w14:paraId="6F7D1821" w14:textId="2765D5FE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4. 10. </w:t>
      </w:r>
    </w:p>
    <w:p w14:paraId="5F0E0639" w14:textId="2D139058" w:rsidR="005B7B6B" w:rsidRPr="00966A92" w:rsidRDefault="005B7B6B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Marketing v politice 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I. </w:t>
      </w:r>
    </w:p>
    <w:p w14:paraId="74F425AB" w14:textId="77777777" w:rsidR="00115DEC" w:rsidRPr="00966A92" w:rsidRDefault="00115DEC" w:rsidP="008551DC">
      <w:p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</w:p>
    <w:p w14:paraId="2E85B174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Schumpeter, J. (2004): Kapitalismus, socialismus a demokracie. Brno: CDK – kapitoly XXI-XXIII; s. 268-320.</w:t>
      </w:r>
    </w:p>
    <w:p w14:paraId="59F56E74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Hindmoor, A. (2006). Rational Choice. NY: Palgrave Macmillan – kapitola 2 (Anthony Downs and the Spatial Theory of Party Competition; s. 22-48).</w:t>
      </w:r>
    </w:p>
    <w:p w14:paraId="379B44A3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Savigny, H. (2008). The problem of political marketing. Continuum – kapitola 2 (...and rational choice theory; s. 29-45).</w:t>
      </w:r>
    </w:p>
    <w:p w14:paraId="5AA4FBA7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Downs, A. (1956): </w:t>
      </w:r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An Economic Theory of Political Action in a Democracy. 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 Journal of Political Economy</w:t>
      </w:r>
      <w:r w:rsidRPr="00966A92">
        <w:rPr>
          <w:rFonts w:ascii="Times New Roman" w:eastAsia="Times New Roman" w:hAnsi="Times New Roman" w:cs="Times New Roman"/>
          <w:lang w:eastAsia="en-GB"/>
        </w:rPr>
        <w:t>, Vol. 65, No. 2. (Apr., 1957), pp. 135-150.</w:t>
      </w:r>
    </w:p>
    <w:p w14:paraId="3651078F" w14:textId="77777777" w:rsidR="00E21B59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Thomas, M. (2000): Niccolò Machiavelli as relationship marketing guru. In P. Harris, A. Locke and P. Rees (eds.) Machiavelli, Marketing and Management. London and New York: Routledge, pp.  67-80.</w:t>
      </w:r>
    </w:p>
    <w:p w14:paraId="5D9BB843" w14:textId="77777777" w:rsidR="00E21B59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Henneberg, S. (2004): The views of an advocatus dei: Political marketing and its critics. Journal of Public Affairs 4 (3): 225-243.</w:t>
      </w:r>
    </w:p>
    <w:p w14:paraId="2E7B09BA" w14:textId="3DAAAC96" w:rsidR="008551DC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Henneberg, S. C., M. Scammell, N. J. O'Shaughnessy. (2009). Political marketing management and theories of democracy. Marketing Theory 9 (2): 165-188.</w:t>
      </w:r>
    </w:p>
    <w:p w14:paraId="4130E636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74DED21" w14:textId="72997103" w:rsidR="00E21B59" w:rsidRPr="00966A92" w:rsidRDefault="00E21B59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338F074C" w14:textId="6D426692" w:rsidR="00E21B59" w:rsidRPr="00966A92" w:rsidRDefault="00E21B59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11</w:t>
      </w: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10. </w:t>
      </w:r>
    </w:p>
    <w:p w14:paraId="1117AF33" w14:textId="7C89B64E" w:rsidR="00E21B59" w:rsidRPr="00966A92" w:rsidRDefault="00E21B59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Marketing v politice </w:t>
      </w: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II</w:t>
      </w: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. </w:t>
      </w:r>
    </w:p>
    <w:p w14:paraId="4A23C7DF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9B78177" w14:textId="19B2CEB3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Literatura viz 4. 10.</w:t>
      </w:r>
    </w:p>
    <w:p w14:paraId="6FEE88B2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CFF0608" w14:textId="5B449742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5.</w:t>
      </w:r>
    </w:p>
    <w:p w14:paraId="3D4E4A2F" w14:textId="11148525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18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10.</w:t>
      </w:r>
    </w:p>
    <w:p w14:paraId="7F80D093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Teoretické modely v politickém marketingu I</w:t>
      </w:r>
    </w:p>
    <w:p w14:paraId="0BCEA000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D2A3056" w14:textId="77777777" w:rsidR="00966A92" w:rsidRPr="00966A92" w:rsidRDefault="00966A92" w:rsidP="00966A92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DCB758C" w14:textId="1E3A7C08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Lees-Marshment, J. 2001a. The product, sales and market-oriented party: How Labour learnt to market the product, not just the presentation. In: European Journal of Marketing, Vol. 35, No. 9-10, s. 1074–1084.</w:t>
      </w:r>
    </w:p>
    <w:p w14:paraId="709C4A9C" w14:textId="47CCFE09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Newman, B. I. 1994. The Marketing of the President: Political Marketing as Campaign Strategy. California: Sage Publications, str. 1–23.</w:t>
      </w:r>
    </w:p>
    <w:p w14:paraId="6164D877" w14:textId="0D531804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Wring, D. 1997. Reconciling Marketing with Political Science: Theories of Political Marketing. In: Journal of Marketing Management, Vol. 13, No. 7, s. 651–663.</w:t>
      </w:r>
    </w:p>
    <w:p w14:paraId="18923B2B" w14:textId="3F5A7BFB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Wring, D. 2002. Conceptualising Political Marketing: A Framework for Election Campaign Analysis. In: O’Shaughnessy, N. J. – Henneberg, S. C. M. (Eds.) The Idea of Political Marketing. Westpoint: Praeger, s. 171–185.</w:t>
      </w:r>
    </w:p>
    <w:p w14:paraId="3CF4A123" w14:textId="77777777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Ormrod, R. P. 2005. A Conceptual Model of Political Market Orientation. In: Lees- Marshment, J. – Wymer, W. W. (eds.) Current Issues in Political Marketing. Binghamton: The Haworth Press.</w:t>
      </w:r>
    </w:p>
    <w:p w14:paraId="32B6427B" w14:textId="3A21D7A4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Ormrod, R. P. 2006. A Critique of the Lees-Marshment Market-Oriented Party Model. In: Politics, Vol. 26, No. 2, s. 110–118.</w:t>
      </w:r>
    </w:p>
    <w:p w14:paraId="10DCD893" w14:textId="15212B5F" w:rsidR="008551DC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O’Cass, A. 2001. Political Marketing: An investigation of the political marketing concept and political market orientation in Australian politics. In: European Journal of Marketing, Vol. 35, No. 9/10, s. 1003–1025.</w:t>
      </w:r>
    </w:p>
    <w:p w14:paraId="7B4890EA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F71BE68" w14:textId="648F534A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6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9A25792" w14:textId="74C8E588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25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10.</w:t>
      </w:r>
    </w:p>
    <w:p w14:paraId="14067A4C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Teoretické modely v politickém marketingu II</w:t>
      </w:r>
    </w:p>
    <w:p w14:paraId="0DC11E66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4B7F38A" w14:textId="14DB5724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Literatura v</w:t>
      </w:r>
      <w:r w:rsidR="008551DC" w:rsidRPr="00966A92">
        <w:rPr>
          <w:rFonts w:ascii="Times New Roman" w:eastAsia="Times New Roman" w:hAnsi="Times New Roman" w:cs="Times New Roman"/>
          <w:lang w:eastAsia="en-GB"/>
        </w:rPr>
        <w:t>iz 29. 9.</w:t>
      </w:r>
    </w:p>
    <w:p w14:paraId="2D7013EC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06CFB8" w14:textId="3585C0A2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7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C37F07D" w14:textId="5A072D92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1. 11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23B628DD" w14:textId="663B4BB4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Čtecí týden</w:t>
      </w:r>
    </w:p>
    <w:p w14:paraId="0924DCE7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1E4A63CE" w14:textId="7F72749B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8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26E38E2F" w14:textId="329E5D7E" w:rsidR="008551DC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8. 11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06C2D5A" w14:textId="3114C471" w:rsidR="00966A92" w:rsidRPr="00966A92" w:rsidRDefault="00966A9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Průběžný test</w:t>
      </w:r>
    </w:p>
    <w:p w14:paraId="02D26B55" w14:textId="353FA5CC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Persuaze v politice</w:t>
      </w:r>
    </w:p>
    <w:p w14:paraId="5D6C4F94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51A5BED5" w14:textId="77777777" w:rsidR="00E21B59" w:rsidRPr="00966A92" w:rsidRDefault="00E21B59" w:rsidP="00966A92">
      <w:pPr>
        <w:pStyle w:val="Odstavecseseznamem"/>
        <w:numPr>
          <w:ilvl w:val="0"/>
          <w:numId w:val="18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Wood, Wendy. 2000. Attitude Change: Persuasion and Social Influence. Annual Review of Psychology, 51, 539-570.</w:t>
      </w:r>
    </w:p>
    <w:p w14:paraId="4F7730C4" w14:textId="5E96C466" w:rsidR="008551DC" w:rsidRPr="00966A92" w:rsidRDefault="00E21B59" w:rsidP="00966A92">
      <w:pPr>
        <w:pStyle w:val="Odstavecseseznamem"/>
        <w:numPr>
          <w:ilvl w:val="0"/>
          <w:numId w:val="18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Minozzi, William, Neblo, Michael A., Esterling, Kevin M., Lazer, David M. J. 2015. Field Experiment of substantive, attributional, and behavioural persuasion by members of Congress in online town halls. PNAS, 112(13), 3937-3942.</w:t>
      </w:r>
    </w:p>
    <w:p w14:paraId="70EA713D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AD51E33" w14:textId="47EC4F4F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9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CF45467" w14:textId="7C0842F5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15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11.</w:t>
      </w:r>
    </w:p>
    <w:p w14:paraId="7456F75D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Negativní kampaň</w:t>
      </w:r>
    </w:p>
    <w:p w14:paraId="475CA60B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FB2F70C" w14:textId="77777777" w:rsidR="008551DC" w:rsidRPr="00966A92" w:rsidRDefault="008551DC" w:rsidP="00966A92">
      <w:pPr>
        <w:pStyle w:val="Odstavecseseznamem"/>
        <w:numPr>
          <w:ilvl w:val="0"/>
          <w:numId w:val="17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Mark, D. (2006): 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Going dirty: the art of negative campaigning</w:t>
      </w:r>
      <w:r w:rsidRPr="00966A92">
        <w:rPr>
          <w:rFonts w:ascii="Times New Roman" w:eastAsia="Times New Roman" w:hAnsi="Times New Roman" w:cs="Times New Roman"/>
          <w:lang w:eastAsia="en-GB"/>
        </w:rPr>
        <w:t>. Lanham : Rowman &amp; Littlefield Publishers, str. 1-17, 39-54.</w:t>
      </w:r>
    </w:p>
    <w:p w14:paraId="0FBC7C1A" w14:textId="77777777" w:rsidR="008551DC" w:rsidRPr="00966A92" w:rsidRDefault="008551DC" w:rsidP="00966A92">
      <w:pPr>
        <w:pStyle w:val="Odstavecseseznamem"/>
        <w:numPr>
          <w:ilvl w:val="0"/>
          <w:numId w:val="17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Kahn, K.F. - Kenney, P.J. (1999): Do Negative Campaigns Mobilize or Suppress Turnout? Clarifying the Relationship between Negativity and Participation, The American Political Science Review, Vol. 93, No. 4, Pp. 877 – 889</w:t>
      </w:r>
    </w:p>
    <w:p w14:paraId="703B2AD9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E41D449" w14:textId="17028A50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10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5E79C73D" w14:textId="06A64C74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22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11.</w:t>
      </w:r>
    </w:p>
    <w:p w14:paraId="00DD5D62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Branding – politika jako značka, osobnostní rozměr politiky</w:t>
      </w:r>
    </w:p>
    <w:p w14:paraId="4754337F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09F88848" w14:textId="77777777" w:rsidR="008551DC" w:rsidRPr="00966A92" w:rsidRDefault="008551DC" w:rsidP="00966A92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Bettman, J. R. - Sujan, M. (1989): 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The Effects of Brand Positioning Strategies on Consumers' Brand and Category Perceptions: Some Insights from Schema Research, </w:t>
      </w:r>
      <w:r w:rsidRPr="00966A92">
        <w:rPr>
          <w:rFonts w:ascii="Times New Roman" w:eastAsia="Times New Roman" w:hAnsi="Times New Roman" w:cs="Times New Roman"/>
          <w:lang w:eastAsia="en-GB"/>
        </w:rPr>
        <w:t xml:space="preserve">Journal of Marketing Research, roč. 26, č. 4, s. 454-467. </w:t>
      </w:r>
    </w:p>
    <w:p w14:paraId="1E90E9D5" w14:textId="77777777" w:rsidR="008551DC" w:rsidRPr="00966A92" w:rsidRDefault="008551DC" w:rsidP="00966A92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Needham, C. (2005). Brand Leaders: Clinton, Blair and the Limitations of the Permanent Campaign. In: 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Political Studies</w:t>
      </w:r>
      <w:r w:rsidRPr="00966A92">
        <w:rPr>
          <w:rFonts w:ascii="Times New Roman" w:eastAsia="Times New Roman" w:hAnsi="Times New Roman" w:cs="Times New Roman"/>
          <w:iCs/>
          <w:lang w:eastAsia="en-GB"/>
        </w:rPr>
        <w:t xml:space="preserve">, </w:t>
      </w:r>
      <w:r w:rsidRPr="00966A92">
        <w:rPr>
          <w:rFonts w:ascii="Times New Roman" w:eastAsia="Times New Roman" w:hAnsi="Times New Roman" w:cs="Times New Roman"/>
          <w:lang w:eastAsia="en-GB"/>
        </w:rPr>
        <w:t xml:space="preserve">53, 6, s. 343–361. </w:t>
      </w:r>
    </w:p>
    <w:p w14:paraId="38674248" w14:textId="77777777" w:rsidR="008551DC" w:rsidRPr="00966A92" w:rsidRDefault="008551DC" w:rsidP="00966A92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Needham, C. (2006). Brands and Political Loyalty. In: 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Brand Management,</w:t>
      </w:r>
      <w:r w:rsidRPr="00966A92">
        <w:rPr>
          <w:rFonts w:ascii="Times New Roman" w:eastAsia="Times New Roman" w:hAnsi="Times New Roman" w:cs="Times New Roman"/>
          <w:iCs/>
          <w:lang w:eastAsia="en-GB"/>
        </w:rPr>
        <w:t xml:space="preserve"> 3, </w:t>
      </w:r>
      <w:r w:rsidRPr="00966A92">
        <w:rPr>
          <w:rFonts w:ascii="Times New Roman" w:eastAsia="Times New Roman" w:hAnsi="Times New Roman" w:cs="Times New Roman"/>
          <w:lang w:eastAsia="en-GB"/>
        </w:rPr>
        <w:t>13, s. 178–87. Text dostupný on-line: &lt;</w:t>
      </w:r>
      <w:hyperlink r:id="rId9" w:history="1">
        <w:r w:rsidRPr="00966A92">
          <w:rPr>
            <w:rStyle w:val="Hypertextovodkaz"/>
            <w:rFonts w:ascii="Times New Roman" w:eastAsia="Times New Roman" w:hAnsi="Times New Roman" w:cs="Times New Roman"/>
            <w:lang w:eastAsia="en-GB"/>
          </w:rPr>
          <w:t>http://www.scribd.com/doc/6830773/Special-issue-papers-Brands-and-political-loyalty-2005</w:t>
        </w:r>
      </w:hyperlink>
      <w:r w:rsidRPr="00966A92">
        <w:rPr>
          <w:rFonts w:ascii="Times New Roman" w:eastAsia="Times New Roman" w:hAnsi="Times New Roman" w:cs="Times New Roman"/>
          <w:lang w:eastAsia="en-GB"/>
        </w:rPr>
        <w:t>&gt;.</w:t>
      </w:r>
    </w:p>
    <w:p w14:paraId="6C669CF2" w14:textId="77777777" w:rsidR="008551DC" w:rsidRPr="00966A92" w:rsidRDefault="008551DC" w:rsidP="00966A92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Scammell, M. (2007). Political Brands and Consumer Citizens: The Rebranding of Tony Blair. In: 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 ANNALS of the American Academy of Political and Social Science</w:t>
      </w:r>
      <w:r w:rsidRPr="00966A92">
        <w:rPr>
          <w:rFonts w:ascii="Times New Roman" w:eastAsia="Times New Roman" w:hAnsi="Times New Roman" w:cs="Times New Roman"/>
          <w:iCs/>
          <w:lang w:eastAsia="en-GB"/>
        </w:rPr>
        <w:t xml:space="preserve">, </w:t>
      </w:r>
      <w:r w:rsidRPr="00966A92">
        <w:rPr>
          <w:rFonts w:ascii="Times New Roman" w:eastAsia="Times New Roman" w:hAnsi="Times New Roman" w:cs="Times New Roman"/>
          <w:lang w:eastAsia="en-GB"/>
        </w:rPr>
        <w:t>611, 1, s. 176–192.</w:t>
      </w:r>
    </w:p>
    <w:p w14:paraId="379FD31F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4C15F67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975B8A1" w14:textId="1C964653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11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2438B389" w14:textId="50B58A86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29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11.</w:t>
      </w:r>
    </w:p>
    <w:p w14:paraId="479C6F5E" w14:textId="7C1C1700" w:rsidR="00F05FE2" w:rsidRPr="00966A92" w:rsidRDefault="00F05FE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Permanentní kampaň</w:t>
      </w:r>
    </w:p>
    <w:p w14:paraId="49EC57B3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10BA4CE" w14:textId="77777777" w:rsidR="00274498" w:rsidRPr="00966A92" w:rsidRDefault="00274498" w:rsidP="00966A92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Heclo, H. (2000): Campaigning and Governing: A Conspectus. In Ornstein, J. N. and Mann, T. E. (eds.): The Permanent Campaign and Its Future. Washington: American Enterprise Institute and The Brookings Institution, s. 1-37.</w:t>
      </w:r>
    </w:p>
    <w:p w14:paraId="16BE6FF8" w14:textId="77777777" w:rsidR="00274498" w:rsidRPr="00966A92" w:rsidRDefault="00274498" w:rsidP="00966A92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Loomis, B. A. (2000): The Never Ending Story: Campaigns without Elections. In Ornstein, J. N. and Mann, T. E. (eds.): The Permanent Campaign and Its Future. Washington: American Enterprise Institute and The Brookings Institution, s. 162-184.</w:t>
      </w:r>
    </w:p>
    <w:p w14:paraId="22DA3D9C" w14:textId="77777777" w:rsidR="00274498" w:rsidRPr="00966A92" w:rsidRDefault="00274498" w:rsidP="00966A92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Needham, C. (2005). Brand leaders: Clinton, Blair and the limitations of the permanent campaign. </w:t>
      </w:r>
      <w:r w:rsidRPr="00966A92">
        <w:rPr>
          <w:rFonts w:ascii="Times New Roman" w:eastAsia="Times New Roman" w:hAnsi="Times New Roman" w:cs="Times New Roman"/>
          <w:i/>
          <w:lang w:eastAsia="en-GB"/>
        </w:rPr>
        <w:t>Polit Stud-london</w:t>
      </w:r>
      <w:r w:rsidRPr="00966A92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966A92">
        <w:rPr>
          <w:rFonts w:ascii="Times New Roman" w:eastAsia="Times New Roman" w:hAnsi="Times New Roman" w:cs="Times New Roman"/>
          <w:i/>
          <w:lang w:eastAsia="en-GB"/>
        </w:rPr>
        <w:t>53</w:t>
      </w:r>
      <w:r w:rsidRPr="00966A92">
        <w:rPr>
          <w:rFonts w:ascii="Times New Roman" w:eastAsia="Times New Roman" w:hAnsi="Times New Roman" w:cs="Times New Roman"/>
          <w:lang w:eastAsia="en-GB"/>
        </w:rPr>
        <w:t>(2), 343-361.</w:t>
      </w:r>
    </w:p>
    <w:p w14:paraId="152C56D3" w14:textId="77777777" w:rsidR="00274498" w:rsidRPr="00966A92" w:rsidRDefault="00274498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C3AC7C6" w14:textId="2017407D" w:rsidR="008551DC" w:rsidRPr="00966A92" w:rsidRDefault="00F05FE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12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760F036B" w14:textId="1C1EB90A" w:rsidR="008551DC" w:rsidRPr="00966A92" w:rsidRDefault="00F05FE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6. 12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39030FE4" w14:textId="3570B6E9" w:rsidR="008551DC" w:rsidRPr="00966A92" w:rsidRDefault="00F05FE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Nové trendy v politickém marketingu</w:t>
      </w:r>
    </w:p>
    <w:p w14:paraId="1DD24BCA" w14:textId="77777777" w:rsidR="00966A92" w:rsidRPr="00966A92" w:rsidRDefault="00966A92" w:rsidP="00966A92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F40349C" w14:textId="5D1F9329" w:rsidR="00966A92" w:rsidRPr="00966A92" w:rsidRDefault="00966A92" w:rsidP="00966A92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Street, J. 2004. Celebrity Politicians: Popular Culture and Political Representation. In. British Journal of Politics and International Relations. Vol. 6, str. 435–452.</w:t>
      </w:r>
    </w:p>
    <w:p w14:paraId="7A386E1F" w14:textId="1F5D81FC" w:rsidR="00966A92" w:rsidRPr="00966A92" w:rsidRDefault="00966A92" w:rsidP="00966A92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Drake, P.; Higgins, M. 2006. I’m a Celebrity, Get Me into Politics: The Political Celebrity and the Celebrity Politician. In Holme, S.; Redmond, S. (Eds). Framing Celebrity: New Directions in celebrity Culture. London: Routledge. str. 88–100.</w:t>
      </w:r>
    </w:p>
    <w:p w14:paraId="45856695" w14:textId="61E58B34" w:rsidR="008551DC" w:rsidRPr="00966A92" w:rsidRDefault="00966A92" w:rsidP="00966A92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Richards, B. (2004). The Emotional Deficit in Political Communication. In: Political Communication. Vol. 21, No. 3, str. 339–352.</w:t>
      </w:r>
    </w:p>
    <w:p w14:paraId="5DD77210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D3FBBB6" w14:textId="4034E0AF" w:rsidR="008551DC" w:rsidRPr="00966A92" w:rsidRDefault="00F05FE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13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0110FE2D" w14:textId="13B8E6CA" w:rsidR="008551DC" w:rsidRPr="00966A92" w:rsidRDefault="00F05FE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23. 12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03F3BBA6" w14:textId="75185A9F" w:rsidR="008551DC" w:rsidRPr="00966A92" w:rsidRDefault="00F05FE2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První písemné přezkoušení</w:t>
      </w:r>
    </w:p>
    <w:p w14:paraId="387284BB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E763D95" w14:textId="5708915A" w:rsidR="006D05AB" w:rsidRPr="00966A92" w:rsidRDefault="00026CD4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br w:type="textWrapping" w:clear="all"/>
      </w:r>
    </w:p>
    <w:p w14:paraId="475CA722" w14:textId="77777777" w:rsidR="001E247D" w:rsidRPr="00966A92" w:rsidRDefault="001E247D">
      <w:pPr>
        <w:rPr>
          <w:rFonts w:ascii="Times New Roman" w:hAnsi="Times New Roman" w:cs="Times New Roman"/>
        </w:rPr>
      </w:pPr>
    </w:p>
    <w:p w14:paraId="5807BD38" w14:textId="77777777" w:rsidR="000679AB" w:rsidRPr="00966A92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966A92" w:rsidRDefault="000679AB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  <w:lang w:val="cs-CZ"/>
        </w:rPr>
      </w:pPr>
      <w:bookmarkStart w:id="1" w:name="OLE_LINK19"/>
      <w:bookmarkStart w:id="2" w:name="OLE_LINK20"/>
      <w:r w:rsidRPr="00966A92">
        <w:rPr>
          <w:rFonts w:ascii="Times New Roman" w:eastAsia="Times New Roman" w:hAnsi="Times New Roman"/>
          <w:i/>
          <w:iCs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966A92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  <w:lang w:val="cs-CZ"/>
        </w:rPr>
      </w:pP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966A92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val="cs-CZ" w:eastAsia="en-GB" w:bidi="x-none"/>
        </w:rPr>
      </w:pP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966A92">
        <w:rPr>
          <w:rFonts w:ascii="Times New Roman" w:eastAsia="Times New Roman" w:hAnsi="Times New Roman"/>
          <w:b/>
          <w:bCs/>
          <w:color w:val="FF0000"/>
          <w:szCs w:val="24"/>
          <w:lang w:val="cs-CZ"/>
        </w:rPr>
        <w:t>nepodmínečným vyloučením ze studia</w:t>
      </w: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966A92">
        <w:rPr>
          <w:rFonts w:ascii="Times New Roman" w:eastAsia="Times New Roman" w:hAnsi="Times New Roman"/>
          <w:szCs w:val="24"/>
          <w:lang w:val="cs-CZ"/>
        </w:rPr>
        <w:t xml:space="preserve"> </w:t>
      </w:r>
      <w:bookmarkEnd w:id="1"/>
      <w:bookmarkEnd w:id="2"/>
    </w:p>
    <w:p w14:paraId="3BF301DC" w14:textId="77777777" w:rsidR="000679AB" w:rsidRPr="00966A92" w:rsidRDefault="000679AB">
      <w:pPr>
        <w:rPr>
          <w:rFonts w:ascii="Times New Roman" w:hAnsi="Times New Roman" w:cs="Times New Roman"/>
        </w:rPr>
      </w:pPr>
    </w:p>
    <w:sectPr w:rsidR="000679AB" w:rsidRPr="00966A92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59AC"/>
    <w:multiLevelType w:val="hybridMultilevel"/>
    <w:tmpl w:val="6CD47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73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AD2D31"/>
    <w:multiLevelType w:val="hybridMultilevel"/>
    <w:tmpl w:val="F574F826"/>
    <w:lvl w:ilvl="0" w:tplc="4F3C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2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C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E7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E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E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22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A12BB"/>
    <w:multiLevelType w:val="hybridMultilevel"/>
    <w:tmpl w:val="7C8C9828"/>
    <w:lvl w:ilvl="0" w:tplc="A3FA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A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B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D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C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1407E"/>
    <w:multiLevelType w:val="hybridMultilevel"/>
    <w:tmpl w:val="CF48B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F61D1"/>
    <w:multiLevelType w:val="hybridMultilevel"/>
    <w:tmpl w:val="908E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D3C2E"/>
    <w:multiLevelType w:val="hybridMultilevel"/>
    <w:tmpl w:val="E482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471C4"/>
    <w:multiLevelType w:val="hybridMultilevel"/>
    <w:tmpl w:val="7D465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06F7E"/>
    <w:multiLevelType w:val="hybridMultilevel"/>
    <w:tmpl w:val="048A9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B0792"/>
    <w:multiLevelType w:val="hybridMultilevel"/>
    <w:tmpl w:val="27B6B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C4352"/>
    <w:multiLevelType w:val="hybridMultilevel"/>
    <w:tmpl w:val="92EE3A02"/>
    <w:lvl w:ilvl="0" w:tplc="9F9A4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A30BE"/>
    <w:multiLevelType w:val="hybridMultilevel"/>
    <w:tmpl w:val="44166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F633A"/>
    <w:multiLevelType w:val="hybridMultilevel"/>
    <w:tmpl w:val="DFA0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247FF"/>
    <w:multiLevelType w:val="hybridMultilevel"/>
    <w:tmpl w:val="A1445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22DC9"/>
    <w:multiLevelType w:val="hybridMultilevel"/>
    <w:tmpl w:val="E2D48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4"/>
    </w:lvlOverride>
  </w:num>
  <w:num w:numId="5">
    <w:abstractNumId w:val="11"/>
  </w:num>
  <w:num w:numId="6">
    <w:abstractNumId w:val="15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6"/>
  </w:num>
  <w:num w:numId="12">
    <w:abstractNumId w:val="1"/>
  </w:num>
  <w:num w:numId="13">
    <w:abstractNumId w:val="20"/>
  </w:num>
  <w:num w:numId="14">
    <w:abstractNumId w:val="18"/>
  </w:num>
  <w:num w:numId="15">
    <w:abstractNumId w:val="14"/>
  </w:num>
  <w:num w:numId="16">
    <w:abstractNumId w:val="19"/>
  </w:num>
  <w:num w:numId="17">
    <w:abstractNumId w:val="13"/>
  </w:num>
  <w:num w:numId="18">
    <w:abstractNumId w:val="8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7"/>
    <w:rsid w:val="00012FDC"/>
    <w:rsid w:val="00026CD4"/>
    <w:rsid w:val="000679AB"/>
    <w:rsid w:val="000E198B"/>
    <w:rsid w:val="0010723B"/>
    <w:rsid w:val="00115DEC"/>
    <w:rsid w:val="0013410D"/>
    <w:rsid w:val="00153098"/>
    <w:rsid w:val="00170550"/>
    <w:rsid w:val="00184594"/>
    <w:rsid w:val="001E247D"/>
    <w:rsid w:val="001E3AF6"/>
    <w:rsid w:val="002553EF"/>
    <w:rsid w:val="00274498"/>
    <w:rsid w:val="0028637C"/>
    <w:rsid w:val="002F0654"/>
    <w:rsid w:val="00345F96"/>
    <w:rsid w:val="003D5332"/>
    <w:rsid w:val="004A41A7"/>
    <w:rsid w:val="004B705A"/>
    <w:rsid w:val="005013C3"/>
    <w:rsid w:val="00592C7D"/>
    <w:rsid w:val="005A72C9"/>
    <w:rsid w:val="005B7B6B"/>
    <w:rsid w:val="006948A9"/>
    <w:rsid w:val="006D05AB"/>
    <w:rsid w:val="006D1E0D"/>
    <w:rsid w:val="00707888"/>
    <w:rsid w:val="007C0756"/>
    <w:rsid w:val="00815410"/>
    <w:rsid w:val="008551DC"/>
    <w:rsid w:val="0087647D"/>
    <w:rsid w:val="00896ECE"/>
    <w:rsid w:val="00966A92"/>
    <w:rsid w:val="00992E94"/>
    <w:rsid w:val="00A2037F"/>
    <w:rsid w:val="00A84E5B"/>
    <w:rsid w:val="00AD78EB"/>
    <w:rsid w:val="00B000BA"/>
    <w:rsid w:val="00BA49C0"/>
    <w:rsid w:val="00BD12AE"/>
    <w:rsid w:val="00C30537"/>
    <w:rsid w:val="00C45688"/>
    <w:rsid w:val="00C5500D"/>
    <w:rsid w:val="00CA5ABF"/>
    <w:rsid w:val="00D13752"/>
    <w:rsid w:val="00DE4B56"/>
    <w:rsid w:val="00E21B59"/>
    <w:rsid w:val="00E312CB"/>
    <w:rsid w:val="00E32487"/>
    <w:rsid w:val="00E778A3"/>
    <w:rsid w:val="00F05FE2"/>
    <w:rsid w:val="00F17E87"/>
    <w:rsid w:val="00F502F1"/>
    <w:rsid w:val="07F8E632"/>
    <w:rsid w:val="1B97A465"/>
    <w:rsid w:val="270AABA9"/>
    <w:rsid w:val="63E3042E"/>
    <w:rsid w:val="66A5A2E9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000B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textovodkaz">
    <w:name w:val="Hyperlink"/>
    <w:rsid w:val="00E32487"/>
    <w:rPr>
      <w:color w:val="0000FF"/>
      <w:u w:val="single"/>
    </w:rPr>
  </w:style>
  <w:style w:type="table" w:styleId="Mkatabulky">
    <w:name w:val="Table Grid"/>
    <w:basedOn w:val="Normlntabulka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013C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000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hyperlink" Target="mailto:mgregor@fss.muni.cz" TargetMode="External"/><Relationship Id="rId7" Type="http://schemas.openxmlformats.org/officeDocument/2006/relationships/hyperlink" Target="mailto:hrbkova@fss.muni.cz)" TargetMode="External"/><Relationship Id="rId8" Type="http://schemas.openxmlformats.org/officeDocument/2006/relationships/hyperlink" Target="http://dx.doi.org/10.1111/1467-9248.12015" TargetMode="External"/><Relationship Id="rId9" Type="http://schemas.openxmlformats.org/officeDocument/2006/relationships/hyperlink" Target="http://www.scribd.com/doc/6830773/Special-issue-papers-Brands-and-political-loyalty-2005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1472</Words>
  <Characters>8689</Characters>
  <Application>Microsoft Macintosh Word</Application>
  <DocSecurity>0</DocSecurity>
  <Lines>72</Lines>
  <Paragraphs>20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4</cp:revision>
  <dcterms:created xsi:type="dcterms:W3CDTF">2016-09-15T21:05:00Z</dcterms:created>
  <dcterms:modified xsi:type="dcterms:W3CDTF">2016-09-15T21:12:00Z</dcterms:modified>
</cp:coreProperties>
</file>