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3"/>
        <w:spacing w:after="120" w:before="240"/>
        <w:jc w:val="center"/>
      </w:pPr>
      <w:r>
        <w:rPr/>
        <w:t>Informace ke státní závěrečné zkoušce konané ve studijním oboru Vyšší justiční úředník</w:t>
      </w:r>
    </w:p>
    <w:p>
      <w:pPr>
        <w:pStyle w:val="style1"/>
        <w:numPr>
          <w:ilvl w:val="0"/>
          <w:numId w:val="3"/>
        </w:numPr>
      </w:pPr>
      <w:r>
        <w:rPr/>
        <w:t>Součásti státní závěrečné zkoušky</w:t>
      </w:r>
    </w:p>
    <w:p>
      <w:pPr>
        <w:pStyle w:val="style0"/>
      </w:pPr>
      <w:r>
        <w:rPr/>
        <w:t>Státní závěrečná zkouška se skládá ze dvou částí:</w:t>
      </w:r>
    </w:p>
    <w:p>
      <w:pPr>
        <w:pStyle w:val="style45"/>
        <w:numPr>
          <w:ilvl w:val="0"/>
          <w:numId w:val="2"/>
        </w:numPr>
      </w:pPr>
      <w:r>
        <w:rPr/>
        <w:t>ze zpracování a obhajoby diplomového úkolu</w:t>
      </w:r>
    </w:p>
    <w:p>
      <w:pPr>
        <w:pStyle w:val="style45"/>
        <w:numPr>
          <w:ilvl w:val="0"/>
          <w:numId w:val="2"/>
        </w:numPr>
      </w:pPr>
      <w:r>
        <w:rPr/>
        <w:t>z ústní části.</w:t>
      </w:r>
    </w:p>
    <w:p>
      <w:pPr>
        <w:pStyle w:val="style1"/>
        <w:numPr>
          <w:ilvl w:val="0"/>
          <w:numId w:val="3"/>
        </w:numPr>
      </w:pPr>
      <w:r>
        <w:rPr/>
        <w:t>Diplomový úkol</w:t>
      </w:r>
    </w:p>
    <w:p>
      <w:pPr>
        <w:pStyle w:val="style2"/>
        <w:numPr>
          <w:ilvl w:val="1"/>
          <w:numId w:val="3"/>
        </w:numPr>
      </w:pPr>
      <w:r>
        <w:rPr/>
        <w:t>Charakteristika diplomového úkolu</w:t>
      </w:r>
    </w:p>
    <w:p>
      <w:pPr>
        <w:pStyle w:val="style0"/>
      </w:pPr>
      <w:r>
        <w:rPr/>
        <w:t>Diplomový úkol má prověřit schopnost (odbornou způsobilost) studenta vyřešit zadanou kauzu v rozsahu kompetencí vyššího soudního úředníka či vyššího úředníka státního zastupitelství. Vyšší soudní úředníci a vyšší úředníci státního zastupitelství mohou vykonávat úkony jak v civilním řízení soudním, tak i v trestním řízení. V souladu s tím je diplomový úkol rozdělen na dvě dílčí části, resp. dva úkoly:</w:t>
      </w:r>
    </w:p>
    <w:p>
      <w:pPr>
        <w:pStyle w:val="style45"/>
        <w:numPr>
          <w:ilvl w:val="0"/>
          <w:numId w:val="6"/>
        </w:numPr>
      </w:pPr>
      <w:r>
        <w:rPr/>
        <w:t>zpracování a obhajoba úkolu z civilního řízení soudního</w:t>
      </w:r>
    </w:p>
    <w:p>
      <w:pPr>
        <w:pStyle w:val="style45"/>
        <w:numPr>
          <w:ilvl w:val="0"/>
          <w:numId w:val="6"/>
        </w:numPr>
      </w:pPr>
      <w:r>
        <w:rPr/>
        <w:t>zpracování a obhajoba úkolu z trestního řízení.</w:t>
      </w:r>
    </w:p>
    <w:p>
      <w:pPr>
        <w:pStyle w:val="style0"/>
      </w:pPr>
      <w:r>
        <w:rPr/>
        <w:t>Zpracování obou dílčích úkolů je obligatorní, nikoliv volitelné; každý student tedy zpracuje jak úkol z civilního řízení soudního, tak i úkol z oblasti trestního procesu.</w:t>
      </w:r>
    </w:p>
    <w:p>
      <w:pPr>
        <w:pStyle w:val="style2"/>
        <w:numPr>
          <w:ilvl w:val="1"/>
          <w:numId w:val="3"/>
        </w:numPr>
      </w:pPr>
      <w:r>
        <w:rPr/>
        <w:t>Organizace zpracování diplomového úkolu</w:t>
      </w:r>
    </w:p>
    <w:p>
      <w:pPr>
        <w:pStyle w:val="style0"/>
      </w:pPr>
      <w:r>
        <w:rPr/>
        <w:t>Diplomový úkol se bude psát hromadně v jednom termínu v červnu a v jednom termínu v srpnu (viz níže pod bodem 4.). V jiných dnech diplomový úkol psát nelze.</w:t>
      </w:r>
    </w:p>
    <w:p>
      <w:pPr>
        <w:pStyle w:val="style0"/>
      </w:pPr>
      <w:r>
        <w:rPr/>
        <w:t>Zpracovávání diplomového úkolu bude rozděleno do dvou úseků trvajících 90 minut čistého času, oddělených od sebe přestávkou. V jedné fázi se bude psát diplomový úkol z civilního řízení soudního, ve druhé z trestního řízení; diplomový úkol může být zpracováván jenom v rámci toho úseku, který je k jeho zpracování určen, tj. práci nelze prodlužovat do další fáze či ji začínat ve fázi předchozí</w:t>
      </w:r>
      <w:bookmarkStart w:id="0" w:name="_GoBack"/>
      <w:bookmarkEnd w:id="0"/>
      <w:r>
        <w:rPr/>
        <w:t>.</w:t>
      </w:r>
    </w:p>
    <w:p>
      <w:pPr>
        <w:pStyle w:val="style0"/>
      </w:pPr>
      <w:r>
        <w:rPr/>
        <w:t>Práce se bude psát v učebně vybavené fakultními počítači. Každý student bude mít k dispozici počítač, na němž bude diplomový úkol psát. Krom obvyklých kancelářských aplikací bude mít každý počítač přístup k ASPI, k Beck-online a budou na něm uloženy vzory procesních úkonů vydané Ministerstvem spravedlnosti. Přístup k internetu bude (krom aplikace Beck-online) odepřen. Vedle literatury a judikatury přístupné z uvedených právních informačních systémů mohou studenti samostatně používat i vlastní literaturu, kterou si s sebou přinesou (budou-li to považovat za nutné – kupř. komentáře k OSŘ i TŘ jsou k dispozici v elektronické podobě v ASPI i v Beck-online).</w:t>
      </w:r>
    </w:p>
    <w:p>
      <w:pPr>
        <w:pStyle w:val="style0"/>
      </w:pPr>
      <w:r>
        <w:rPr/>
        <w:t>Obhajoba a hodnocení diplomového úkolu bude probíhat v úvodu ústní části státní závěrečné zkoušky. Student si tedy kupř. zvolí, že bude začínat trestním právem. Příslušný zkoušející s ním nejprve probere jeho diplomový úkol, dá mu příležitost se k vytýkaným vadám vyjádřit, zhodnotí jej, a teprve poté se přistoupí k zodpovězení otázky ústní části. Poté bude podle volby studenta následovat např. zkouška z práva občanského, přičemž průběh této zkoušky bude analogický jako u zkoušky z trestního práva. Ústní část zkoušky ze třetího (povinně volitelného) předmětu bude kratší, neboť její součástí již hodnocení diplomového úkolu nebude.</w:t>
      </w:r>
    </w:p>
    <w:p>
      <w:pPr>
        <w:pStyle w:val="style0"/>
      </w:pPr>
      <w:r>
        <w:rPr/>
        <w:t>Diplomový úkol z civilního řízení a z trestního řízení se hodnotí samostatně, tj. obě dílčí části diplomového úkolu budou mít svou samostatnou známku. Proto neuspěje-li student kupř. s diplomovým úkolem z trestního řízení, a z civilního řízení naopak diplomový úkol úspěšně obhájí, bude znovu psát a obhajovat pouze diplomový úkol z trestního řízení.</w:t>
      </w:r>
    </w:p>
    <w:p>
      <w:pPr>
        <w:pStyle w:val="style2"/>
        <w:numPr>
          <w:ilvl w:val="1"/>
          <w:numId w:val="3"/>
        </w:numPr>
      </w:pPr>
      <w:r>
        <w:rPr/>
        <w:t>Vzorový příklad z civilní části</w:t>
      </w:r>
    </w:p>
    <w:p>
      <w:pPr>
        <w:pStyle w:val="style0"/>
      </w:pPr>
      <w:r>
        <w:rPr/>
        <w:t>Příklad zadání, které mohou studenti obdržet:</w:t>
      </w:r>
    </w:p>
    <w:p>
      <w:pPr>
        <w:pStyle w:val="style50"/>
        <w:ind w:hanging="0" w:left="851" w:right="850"/>
      </w:pPr>
      <w:r>
        <w:rPr/>
        <w:t xml:space="preserve">Žalobce Pavel Nožička, narozený 5. ledna 1925, bytem Jihlava, Horáčkova 535, se domáhá návrhem na vydání platebního rozkazu, který podal dne 5. 1. 2011 u Okresního soudu v Uherském Hradišti proti žalovanému nakladatelství Athos, s. r. o., Morávkova 11, Uherské Hradiště, zaplacení částky 250 000,- Kč z titulu uzavřené autorské smlouvy podle autorského zákona, na základě které žalobce napsal zeměpisnou knihu s názvem „Mé druhé mládí na Moravě“, přičemž žalovaný mu smluvně sjednanou autorskou odměnu nevyplatil v dohodnuté lhůtě. </w:t>
      </w:r>
    </w:p>
    <w:p>
      <w:pPr>
        <w:pStyle w:val="style50"/>
        <w:ind w:hanging="0" w:left="851" w:right="850"/>
      </w:pPr>
      <w:r>
        <w:rPr/>
        <w:t xml:space="preserve">Soud vyzval žalovaného, aby se k žalobě vyjádřil ve stanovené lhůtě, což žalovaný učinil. V rámci vyjádření k žalobě žalobcův nárok neuznal a namítal: </w:t>
      </w:r>
    </w:p>
    <w:p>
      <w:pPr>
        <w:pStyle w:val="style50"/>
        <w:numPr>
          <w:ilvl w:val="2"/>
          <w:numId w:val="6"/>
        </w:numPr>
        <w:tabs>
          <w:tab w:leader="none" w:pos="1436" w:val="left"/>
        </w:tabs>
        <w:ind w:hanging="536" w:left="1436" w:right="857"/>
      </w:pPr>
      <w:r>
        <w:rPr/>
        <w:t>nárok žalobce je v rozporu s dobrými mravy, neboť kniha nemá očekávanou prodejnost;</w:t>
      </w:r>
    </w:p>
    <w:p>
      <w:pPr>
        <w:pStyle w:val="style50"/>
        <w:numPr>
          <w:ilvl w:val="2"/>
          <w:numId w:val="6"/>
        </w:numPr>
        <w:ind w:hanging="0" w:left="889" w:right="857"/>
      </w:pPr>
      <w:r>
        <w:rPr/>
        <w:t>nárok žalobce je promlčen;</w:t>
      </w:r>
    </w:p>
    <w:p>
      <w:pPr>
        <w:pStyle w:val="style50"/>
        <w:numPr>
          <w:ilvl w:val="2"/>
          <w:numId w:val="6"/>
        </w:numPr>
        <w:ind w:hanging="0" w:left="889" w:right="857"/>
      </w:pPr>
      <w:r>
        <w:rPr/>
        <w:t>žaloba byla podána u věcně nepříslušného soudu;</w:t>
      </w:r>
    </w:p>
    <w:p>
      <w:pPr>
        <w:pStyle w:val="style50"/>
        <w:numPr>
          <w:ilvl w:val="2"/>
          <w:numId w:val="6"/>
        </w:numPr>
        <w:ind w:hanging="0" w:left="889" w:right="857"/>
      </w:pPr>
      <w:r>
        <w:rPr/>
        <w:t>nárok žalobce dosud není splatný;</w:t>
      </w:r>
    </w:p>
    <w:p>
      <w:pPr>
        <w:pStyle w:val="style50"/>
        <w:numPr>
          <w:ilvl w:val="2"/>
          <w:numId w:val="6"/>
        </w:numPr>
        <w:tabs>
          <w:tab w:leader="none" w:pos="1414" w:val="left"/>
        </w:tabs>
        <w:ind w:hanging="514" w:left="1414" w:right="857"/>
      </w:pPr>
      <w:r>
        <w:rPr/>
        <w:t xml:space="preserve">žalobě nelze vyhovět, protože jejímu podání nepředcházelo obligatorní smírčí jednání u Autorské komise zřízené k rozhodování sporných práv vyplývajících z autorského zákona. </w:t>
      </w:r>
    </w:p>
    <w:p>
      <w:pPr>
        <w:pStyle w:val="style50"/>
        <w:ind w:hanging="0" w:left="851" w:right="850"/>
      </w:pPr>
      <w:r>
        <w:rPr/>
        <w:t>Uveďte, jak byste v dané věci postupovali, a případně připravte písemné vyhotovení příslušných procesních úkonů (s případným využitím vzorů, které jsou k dispozici).</w:t>
      </w:r>
    </w:p>
    <w:p>
      <w:pPr>
        <w:pStyle w:val="style50"/>
        <w:ind w:hanging="0" w:left="851" w:right="850"/>
      </w:pPr>
      <w:r>
        <w:rPr/>
        <w:t>Změnil by se nějakým způsobem tento postup, pokud by žalovaný na usnesení soudu, aby se k žalobě vyjádřil, žádné stanovisko v soudem určené lhůtě soudu nezaslal? Pokud ano, jakým způsobem, pokud ne, uveďte proč.</w:t>
      </w:r>
    </w:p>
    <w:p>
      <w:pPr>
        <w:pStyle w:val="style0"/>
      </w:pPr>
      <w:r>
        <w:rPr/>
        <w:t>Příklad z trestního práva procesního bude koncipován obdobně; z tohoto důvodu jej není nutno samostatně uvádět.</w:t>
      </w:r>
    </w:p>
    <w:p>
      <w:pPr>
        <w:pStyle w:val="style1"/>
        <w:numPr>
          <w:ilvl w:val="0"/>
          <w:numId w:val="3"/>
        </w:numPr>
      </w:pPr>
      <w:r>
        <w:rPr/>
        <w:t>Ústní část</w:t>
      </w:r>
    </w:p>
    <w:p>
      <w:pPr>
        <w:pStyle w:val="style0"/>
      </w:pPr>
      <w:r>
        <w:rPr/>
        <w:t>Ústní část státní závěrečné zkoušky se skládá ze tří předmětů.</w:t>
      </w:r>
    </w:p>
    <w:p>
      <w:pPr>
        <w:pStyle w:val="style0"/>
      </w:pPr>
      <w:r>
        <w:rPr/>
        <w:t>Dva předměty jsou povinné, a to:</w:t>
      </w:r>
    </w:p>
    <w:p>
      <w:pPr>
        <w:pStyle w:val="style45"/>
        <w:numPr>
          <w:ilvl w:val="0"/>
          <w:numId w:val="4"/>
        </w:numPr>
      </w:pPr>
      <w:r>
        <w:rPr/>
        <w:t>Občanské právo (hmotné a procesní) a</w:t>
      </w:r>
    </w:p>
    <w:p>
      <w:pPr>
        <w:pStyle w:val="style45"/>
        <w:numPr>
          <w:ilvl w:val="0"/>
          <w:numId w:val="4"/>
        </w:numPr>
      </w:pPr>
      <w:r>
        <w:rPr/>
        <w:t>Trestní právo (hmotné a procesní).</w:t>
      </w:r>
    </w:p>
    <w:p>
      <w:pPr>
        <w:pStyle w:val="style0"/>
      </w:pPr>
      <w:r>
        <w:rPr/>
        <w:t>Třetí předmět si student povinně zvolí z následujících předmětů:</w:t>
      </w:r>
    </w:p>
    <w:p>
      <w:pPr>
        <w:pStyle w:val="style45"/>
        <w:numPr>
          <w:ilvl w:val="0"/>
          <w:numId w:val="5"/>
        </w:numPr>
      </w:pPr>
      <w:r>
        <w:rPr/>
        <w:t>Obchodní právo</w:t>
      </w:r>
    </w:p>
    <w:p>
      <w:pPr>
        <w:pStyle w:val="style45"/>
        <w:numPr>
          <w:ilvl w:val="0"/>
          <w:numId w:val="5"/>
        </w:numPr>
      </w:pPr>
      <w:r>
        <w:rPr/>
        <w:t>Správní právo</w:t>
      </w:r>
    </w:p>
    <w:p>
      <w:pPr>
        <w:pStyle w:val="style45"/>
        <w:numPr>
          <w:ilvl w:val="0"/>
          <w:numId w:val="5"/>
        </w:numPr>
      </w:pPr>
      <w:r>
        <w:rPr/>
        <w:t>Evropské mezinárodní právo soukromé a procesní.</w:t>
      </w:r>
    </w:p>
    <w:p>
      <w:pPr>
        <w:pStyle w:val="style1"/>
        <w:numPr>
          <w:ilvl w:val="0"/>
          <w:numId w:val="3"/>
        </w:numPr>
      </w:pPr>
      <w:r>
        <w:rPr/>
        <w:t>Termíny</w:t>
      </w:r>
    </w:p>
    <w:p>
      <w:pPr>
        <w:pStyle w:val="style0"/>
      </w:pPr>
      <w:r>
        <w:rPr/>
        <w:t>Ústní část se koná ve dnech 11. až 15. 6. 2012 a 3. až 7. 9. 2012.</w:t>
      </w:r>
    </w:p>
    <w:p>
      <w:pPr>
        <w:pStyle w:val="style0"/>
      </w:pPr>
      <w:r>
        <w:rPr/>
        <w:t>Diplomový úkol se zpracovává dne 4. 6. 2012 a dne 27. 8. 2012.</w:t>
      </w:r>
    </w:p>
    <w:p>
      <w:pPr>
        <w:pStyle w:val="style0"/>
        <w:widowControl/>
        <w:spacing w:after="240" w:before="240"/>
        <w:ind w:hanging="0" w:left="0" w:right="0"/>
        <w:jc w:val="both"/>
      </w:pPr>
      <w:r>
        <w:rPr/>
      </w:r>
    </w:p>
    <w:sectPr>
      <w:footerReference r:id="rId2" w:type="default"/>
      <w:type w:val="nextPage"/>
      <w:pgSz w:h="16838" w:w="11906"/>
      <w:pgMar w:bottom="1417" w:footer="708" w:gutter="0" w:header="0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7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47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Letter"/>
      <w:lvlText w:val="%3)"/>
      <w:lvlJc w:val="left"/>
      <w:pPr>
        <w:ind w:hanging="360" w:left="234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>
        <w:tab w:leader="none" w:pos="708" w:val="left"/>
      </w:tabs>
      <w:suppressAutoHyphens w:val="true"/>
      <w:spacing w:after="240" w:before="240" w:line="288" w:lineRule="auto"/>
      <w:ind w:hanging="0" w:left="0" w:right="0"/>
      <w:jc w:val="both"/>
    </w:pPr>
    <w:rPr>
      <w:rFonts w:ascii="Calibri" w:cs="" w:eastAsia="SimSun" w:hAnsi="Calibri"/>
      <w:color w:val="5A5A5A"/>
      <w:sz w:val="20"/>
      <w:szCs w:val="20"/>
      <w:lang w:bidi="ar-SA" w:eastAsia="en-US" w:val="cs-CZ"/>
    </w:rPr>
  </w:style>
  <w:style w:styleId="style1" w:type="paragraph">
    <w:name w:val="Nadpis 1"/>
    <w:basedOn w:val="style0"/>
    <w:next w:val="style39"/>
    <w:pPr>
      <w:spacing w:after="60" w:before="400" w:line="100" w:lineRule="atLeast"/>
      <w:ind w:hanging="0" w:left="0" w:right="0"/>
    </w:pPr>
    <w:rPr>
      <w:rFonts w:ascii="Cambria" w:cs="" w:hAnsi="Cambria"/>
      <w:smallCaps/>
      <w:color w:val="0F243E"/>
      <w:spacing w:val="20"/>
      <w:sz w:val="32"/>
      <w:szCs w:val="32"/>
    </w:rPr>
  </w:style>
  <w:style w:styleId="style2" w:type="paragraph">
    <w:name w:val="Nadpis 2"/>
    <w:basedOn w:val="style0"/>
    <w:next w:val="style39"/>
    <w:pPr>
      <w:numPr>
        <w:ilvl w:val="1"/>
        <w:numId w:val="1"/>
      </w:numPr>
      <w:spacing w:after="60" w:before="120" w:line="100" w:lineRule="atLeast"/>
      <w:outlineLvl w:val="1"/>
    </w:pPr>
    <w:rPr>
      <w:rFonts w:ascii="Cambria" w:cs="" w:hAnsi="Cambria"/>
      <w:smallCaps/>
      <w:color w:val="17365D"/>
      <w:spacing w:val="20"/>
      <w:sz w:val="28"/>
      <w:szCs w:val="28"/>
    </w:rPr>
  </w:style>
  <w:style w:styleId="style3" w:type="paragraph">
    <w:name w:val="Nadpis 3"/>
    <w:basedOn w:val="style0"/>
    <w:next w:val="style39"/>
    <w:pPr>
      <w:numPr>
        <w:ilvl w:val="2"/>
        <w:numId w:val="1"/>
      </w:numPr>
      <w:spacing w:after="60" w:before="120" w:line="100" w:lineRule="atLeast"/>
      <w:outlineLvl w:val="2"/>
    </w:pPr>
    <w:rPr>
      <w:rFonts w:ascii="Cambria" w:cs="" w:hAnsi="Cambria"/>
      <w:smallCaps/>
      <w:color w:val="1F497D"/>
      <w:spacing w:val="20"/>
      <w:sz w:val="24"/>
      <w:szCs w:val="24"/>
    </w:rPr>
  </w:style>
  <w:style w:styleId="style4" w:type="paragraph">
    <w:name w:val="Nadpis 4"/>
    <w:basedOn w:val="style0"/>
    <w:next w:val="style39"/>
    <w:pPr>
      <w:numPr>
        <w:ilvl w:val="3"/>
        <w:numId w:val="1"/>
      </w:numPr>
      <w:pBdr>
        <w:bottom w:color="71A0DC" w:space="0" w:sz="4" w:val="single"/>
      </w:pBdr>
      <w:spacing w:after="100" w:before="200" w:line="100" w:lineRule="atLeast"/>
      <w:outlineLvl w:val="3"/>
    </w:pPr>
    <w:rPr>
      <w:rFonts w:ascii="Cambria" w:cs="" w:hAnsi="Cambria"/>
      <w:b/>
      <w:bCs/>
      <w:smallCaps/>
      <w:color w:val="3071C3"/>
      <w:spacing w:val="20"/>
    </w:rPr>
  </w:style>
  <w:style w:styleId="style5" w:type="paragraph">
    <w:name w:val="Nadpis 5"/>
    <w:basedOn w:val="style0"/>
    <w:next w:val="style39"/>
    <w:pPr>
      <w:numPr>
        <w:ilvl w:val="4"/>
        <w:numId w:val="1"/>
      </w:numPr>
      <w:pBdr>
        <w:bottom w:color="548DD4" w:space="0" w:sz="4" w:val="single"/>
      </w:pBdr>
      <w:spacing w:after="100" w:before="200" w:line="100" w:lineRule="atLeast"/>
      <w:outlineLvl w:val="4"/>
    </w:pPr>
    <w:rPr>
      <w:rFonts w:ascii="Cambria" w:cs="" w:hAnsi="Cambria"/>
      <w:smallCaps/>
      <w:color w:val="3071C3"/>
      <w:spacing w:val="20"/>
    </w:rPr>
  </w:style>
  <w:style w:styleId="style6" w:type="paragraph">
    <w:name w:val="Nadpis 6"/>
    <w:basedOn w:val="style0"/>
    <w:next w:val="style39"/>
    <w:pPr>
      <w:numPr>
        <w:ilvl w:val="5"/>
        <w:numId w:val="1"/>
      </w:numPr>
      <w:pBdr>
        <w:bottom w:color="938953" w:space="0" w:sz="8" w:val="dotted"/>
      </w:pBdr>
      <w:spacing w:after="100" w:before="200"/>
      <w:outlineLvl w:val="5"/>
    </w:pPr>
    <w:rPr>
      <w:rFonts w:ascii="Cambria" w:cs="" w:hAnsi="Cambria"/>
      <w:smallCaps/>
      <w:color w:val="938953"/>
      <w:spacing w:val="20"/>
    </w:rPr>
  </w:style>
  <w:style w:styleId="style7" w:type="paragraph">
    <w:name w:val="Nadpis 7"/>
    <w:basedOn w:val="style0"/>
    <w:next w:val="style39"/>
    <w:pPr>
      <w:numPr>
        <w:ilvl w:val="6"/>
        <w:numId w:val="1"/>
      </w:numPr>
      <w:pBdr>
        <w:bottom w:color="938953" w:space="0" w:sz="8" w:val="dotted"/>
      </w:pBdr>
      <w:spacing w:after="100" w:before="200" w:line="100" w:lineRule="atLeast"/>
      <w:outlineLvl w:val="6"/>
    </w:pPr>
    <w:rPr>
      <w:rFonts w:ascii="Cambria" w:cs="" w:hAnsi="Cambria"/>
      <w:b/>
      <w:bCs/>
      <w:smallCaps/>
      <w:color w:val="938953"/>
      <w:spacing w:val="20"/>
      <w:sz w:val="16"/>
      <w:szCs w:val="16"/>
    </w:rPr>
  </w:style>
  <w:style w:styleId="style8" w:type="paragraph">
    <w:name w:val="Nadpis 8"/>
    <w:basedOn w:val="style0"/>
    <w:next w:val="style39"/>
    <w:pPr>
      <w:numPr>
        <w:ilvl w:val="7"/>
        <w:numId w:val="1"/>
      </w:numPr>
      <w:spacing w:after="60" w:before="200" w:line="100" w:lineRule="atLeast"/>
      <w:outlineLvl w:val="7"/>
    </w:pPr>
    <w:rPr>
      <w:rFonts w:ascii="Cambria" w:cs="" w:hAnsi="Cambria"/>
      <w:b/>
      <w:smallCaps/>
      <w:color w:val="938953"/>
      <w:spacing w:val="20"/>
      <w:sz w:val="16"/>
      <w:szCs w:val="16"/>
    </w:rPr>
  </w:style>
  <w:style w:styleId="style9" w:type="paragraph">
    <w:name w:val="Nadpis 9"/>
    <w:basedOn w:val="style0"/>
    <w:next w:val="style39"/>
    <w:pPr>
      <w:numPr>
        <w:ilvl w:val="8"/>
        <w:numId w:val="1"/>
      </w:numPr>
      <w:spacing w:after="60" w:before="200" w:line="100" w:lineRule="atLeast"/>
      <w:outlineLvl w:val="8"/>
    </w:pPr>
    <w:rPr>
      <w:rFonts w:ascii="Cambria" w:cs="" w:hAnsi="Cambria"/>
      <w:smallCaps/>
      <w:color w:val="938953"/>
      <w:spacing w:val="20"/>
      <w:sz w:val="16"/>
      <w:szCs w:val="16"/>
    </w:rPr>
  </w:style>
  <w:style w:styleId="style15" w:type="character">
    <w:name w:val="Default Paragraph Font"/>
    <w:next w:val="style15"/>
    <w:rPr/>
  </w:style>
  <w:style w:styleId="style16" w:type="character">
    <w:name w:val="Název Char"/>
    <w:basedOn w:val="style15"/>
    <w:next w:val="style16"/>
    <w:rPr>
      <w:rFonts w:ascii="Cambria" w:cs="" w:hAnsi="Cambria"/>
      <w:smallCaps/>
      <w:color w:val="17365D"/>
      <w:spacing w:val="5"/>
      <w:sz w:val="72"/>
      <w:szCs w:val="72"/>
    </w:rPr>
  </w:style>
  <w:style w:styleId="style17" w:type="character">
    <w:name w:val="Nadpis 1 Char"/>
    <w:basedOn w:val="style15"/>
    <w:next w:val="style17"/>
    <w:rPr>
      <w:rFonts w:ascii="Cambria" w:cs="" w:hAnsi="Cambria"/>
      <w:smallCaps/>
      <w:color w:val="0F243E"/>
      <w:spacing w:val="20"/>
      <w:sz w:val="32"/>
      <w:szCs w:val="32"/>
    </w:rPr>
  </w:style>
  <w:style w:styleId="style18" w:type="character">
    <w:name w:val="Nadpis 2 Char"/>
    <w:basedOn w:val="style15"/>
    <w:next w:val="style18"/>
    <w:rPr>
      <w:rFonts w:ascii="Cambria" w:cs="" w:hAnsi="Cambria"/>
      <w:smallCaps/>
      <w:color w:val="17365D"/>
      <w:spacing w:val="20"/>
      <w:sz w:val="28"/>
      <w:szCs w:val="28"/>
    </w:rPr>
  </w:style>
  <w:style w:styleId="style19" w:type="character">
    <w:name w:val="Záhlaví Char"/>
    <w:basedOn w:val="style15"/>
    <w:next w:val="style19"/>
    <w:rPr/>
  </w:style>
  <w:style w:styleId="style20" w:type="character">
    <w:name w:val="Zápatí Char"/>
    <w:basedOn w:val="style15"/>
    <w:next w:val="style20"/>
    <w:rPr/>
  </w:style>
  <w:style w:styleId="style21" w:type="character">
    <w:name w:val="Nadpis 3 Char"/>
    <w:basedOn w:val="style15"/>
    <w:next w:val="style21"/>
    <w:rPr>
      <w:rFonts w:ascii="Cambria" w:cs="" w:hAnsi="Cambria"/>
      <w:smallCaps/>
      <w:color w:val="1F497D"/>
      <w:spacing w:val="20"/>
      <w:sz w:val="24"/>
      <w:szCs w:val="24"/>
    </w:rPr>
  </w:style>
  <w:style w:styleId="style22" w:type="character">
    <w:name w:val="Nadpis 4 Char"/>
    <w:basedOn w:val="style15"/>
    <w:next w:val="style22"/>
    <w:rPr>
      <w:rFonts w:ascii="Cambria" w:cs="" w:hAnsi="Cambria"/>
      <w:b/>
      <w:bCs/>
      <w:smallCaps/>
      <w:color w:val="3071C3"/>
      <w:spacing w:val="20"/>
    </w:rPr>
  </w:style>
  <w:style w:styleId="style23" w:type="character">
    <w:name w:val="Nadpis 5 Char"/>
    <w:basedOn w:val="style15"/>
    <w:next w:val="style23"/>
    <w:rPr>
      <w:rFonts w:ascii="Cambria" w:cs="" w:hAnsi="Cambria"/>
      <w:smallCaps/>
      <w:color w:val="3071C3"/>
      <w:spacing w:val="20"/>
    </w:rPr>
  </w:style>
  <w:style w:styleId="style24" w:type="character">
    <w:name w:val="Nadpis 6 Char"/>
    <w:basedOn w:val="style15"/>
    <w:next w:val="style24"/>
    <w:rPr>
      <w:rFonts w:ascii="Cambria" w:cs="" w:hAnsi="Cambria"/>
      <w:smallCaps/>
      <w:color w:val="938953"/>
      <w:spacing w:val="20"/>
    </w:rPr>
  </w:style>
  <w:style w:styleId="style25" w:type="character">
    <w:name w:val="Nadpis 7 Char"/>
    <w:basedOn w:val="style15"/>
    <w:next w:val="style25"/>
    <w:rPr>
      <w:rFonts w:ascii="Cambria" w:cs="" w:hAnsi="Cambria"/>
      <w:b/>
      <w:bCs/>
      <w:smallCaps/>
      <w:color w:val="938953"/>
      <w:spacing w:val="20"/>
      <w:sz w:val="16"/>
      <w:szCs w:val="16"/>
    </w:rPr>
  </w:style>
  <w:style w:styleId="style26" w:type="character">
    <w:name w:val="Nadpis 8 Char"/>
    <w:basedOn w:val="style15"/>
    <w:next w:val="style26"/>
    <w:rPr>
      <w:rFonts w:ascii="Cambria" w:cs="" w:hAnsi="Cambria"/>
      <w:b/>
      <w:smallCaps/>
      <w:color w:val="938953"/>
      <w:spacing w:val="20"/>
      <w:sz w:val="16"/>
      <w:szCs w:val="16"/>
    </w:rPr>
  </w:style>
  <w:style w:styleId="style27" w:type="character">
    <w:name w:val="Nadpis 9 Char"/>
    <w:basedOn w:val="style15"/>
    <w:next w:val="style27"/>
    <w:rPr>
      <w:rFonts w:ascii="Cambria" w:cs="" w:hAnsi="Cambria"/>
      <w:smallCaps/>
      <w:color w:val="938953"/>
      <w:spacing w:val="20"/>
      <w:sz w:val="16"/>
      <w:szCs w:val="16"/>
    </w:rPr>
  </w:style>
  <w:style w:styleId="style28" w:type="character">
    <w:name w:val="Podtitul Char"/>
    <w:basedOn w:val="style15"/>
    <w:next w:val="style28"/>
    <w:rPr>
      <w:smallCaps/>
      <w:color w:val="938953"/>
      <w:spacing w:val="5"/>
      <w:sz w:val="28"/>
      <w:szCs w:val="28"/>
    </w:rPr>
  </w:style>
  <w:style w:styleId="style29" w:type="character">
    <w:name w:val="Silné zdůraznění"/>
    <w:next w:val="style29"/>
    <w:rPr>
      <w:b/>
      <w:bCs/>
      <w:spacing w:val="0"/>
    </w:rPr>
  </w:style>
  <w:style w:styleId="style30" w:type="character">
    <w:name w:val="Zdůraznění"/>
    <w:next w:val="style30"/>
    <w:rPr>
      <w:b/>
      <w:bCs/>
      <w:i/>
      <w:iCs/>
      <w:smallCaps/>
      <w:strike w:val="false"/>
      <w:dstrike w:val="false"/>
      <w:color w:val="5A5A5A"/>
      <w:spacing w:val="20"/>
      <w:position w:val="0"/>
      <w:sz w:val="20"/>
      <w:vertAlign w:val="baseline"/>
    </w:rPr>
  </w:style>
  <w:style w:styleId="style31" w:type="character">
    <w:name w:val="Citát Char"/>
    <w:basedOn w:val="style15"/>
    <w:next w:val="style31"/>
    <w:rPr>
      <w:i/>
      <w:iCs/>
      <w:color w:val="5A5A5A"/>
    </w:rPr>
  </w:style>
  <w:style w:styleId="style32" w:type="character">
    <w:name w:val="Výrazný citát Char"/>
    <w:basedOn w:val="style15"/>
    <w:next w:val="style32"/>
    <w:rPr>
      <w:rFonts w:ascii="Cambria" w:cs="" w:hAnsi="Cambria"/>
      <w:smallCaps/>
      <w:color w:val="365F91"/>
    </w:rPr>
  </w:style>
  <w:style w:styleId="style33" w:type="character">
    <w:name w:val="Subtle Emphasis"/>
    <w:next w:val="style33"/>
    <w:rPr>
      <w:smallCaps/>
      <w:strike w:val="false"/>
      <w:dstrike w:val="false"/>
      <w:color w:val="5A5A5A"/>
      <w:position w:val="0"/>
      <w:sz w:val="20"/>
      <w:vertAlign w:val="baseline"/>
    </w:rPr>
  </w:style>
  <w:style w:styleId="style34" w:type="character">
    <w:name w:val="Intense Emphasis"/>
    <w:next w:val="style34"/>
    <w:rPr>
      <w:b/>
      <w:bCs/>
      <w:smallCaps/>
      <w:color w:val="4F81BD"/>
      <w:spacing w:val="40"/>
    </w:rPr>
  </w:style>
  <w:style w:styleId="style35" w:type="character">
    <w:name w:val="Subtle Reference"/>
    <w:next w:val="style35"/>
    <w:rPr>
      <w:rFonts w:ascii="Cambria" w:cs="" w:hAnsi="Cambria"/>
      <w:i/>
      <w:iCs/>
      <w:smallCaps/>
      <w:color w:val="5A5A5A"/>
      <w:spacing w:val="20"/>
    </w:rPr>
  </w:style>
  <w:style w:styleId="style36" w:type="character">
    <w:name w:val="Intense Reference"/>
    <w:next w:val="style36"/>
    <w:rPr>
      <w:rFonts w:ascii="Cambria" w:cs="" w:hAnsi="Cambria"/>
      <w:b/>
      <w:bCs/>
      <w:i/>
      <w:iCs/>
      <w:smallCaps/>
      <w:color w:val="17365D"/>
      <w:spacing w:val="20"/>
    </w:rPr>
  </w:style>
  <w:style w:styleId="style37" w:type="character">
    <w:name w:val="Book Title"/>
    <w:next w:val="style37"/>
    <w:rPr>
      <w:rFonts w:ascii="Cambria" w:cs="" w:hAnsi="Cambria"/>
      <w:b/>
      <w:bCs/>
      <w:smallCaps/>
      <w:color w:val="17365D"/>
      <w:spacing w:val="10"/>
      <w:u w:val="single"/>
    </w:rPr>
  </w:style>
  <w:style w:styleId="style38" w:type="paragraph">
    <w:name w:val="Nadpis"/>
    <w:basedOn w:val="style0"/>
    <w:next w:val="style3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39" w:type="paragraph">
    <w:name w:val="Tělo textu"/>
    <w:basedOn w:val="style0"/>
    <w:next w:val="style39"/>
    <w:pPr>
      <w:spacing w:after="120" w:before="0"/>
    </w:pPr>
    <w:rPr/>
  </w:style>
  <w:style w:styleId="style40" w:type="paragraph">
    <w:name w:val="Seznam"/>
    <w:basedOn w:val="style39"/>
    <w:next w:val="style40"/>
    <w:pPr/>
    <w:rPr>
      <w:rFonts w:cs="Mangal"/>
    </w:rPr>
  </w:style>
  <w:style w:styleId="style41" w:type="paragraph">
    <w:name w:val="Popisek"/>
    <w:basedOn w:val="style0"/>
    <w:next w:val="style4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42" w:type="paragraph">
    <w:name w:val="Rejstřík"/>
    <w:basedOn w:val="style0"/>
    <w:next w:val="style42"/>
    <w:pPr>
      <w:suppressLineNumbers/>
    </w:pPr>
    <w:rPr>
      <w:rFonts w:cs="Mangal"/>
    </w:rPr>
  </w:style>
  <w:style w:styleId="style43" w:type="paragraph">
    <w:name w:val="Název"/>
    <w:basedOn w:val="style38"/>
    <w:next w:val="style44"/>
    <w:pPr>
      <w:widowControl/>
      <w:spacing w:line="100" w:lineRule="atLeast"/>
      <w:ind w:hanging="0" w:left="0" w:right="0"/>
      <w:jc w:val="center"/>
    </w:pPr>
    <w:rPr>
      <w:rFonts w:ascii="Cambria" w:cs="" w:hAnsi="Cambria"/>
      <w:b/>
      <w:bCs/>
      <w:smallCaps/>
      <w:color w:val="17365D"/>
      <w:spacing w:val="5"/>
      <w:sz w:val="72"/>
      <w:szCs w:val="72"/>
    </w:rPr>
  </w:style>
  <w:style w:styleId="style44" w:type="paragraph">
    <w:name w:val="Podtitul"/>
    <w:basedOn w:val="style38"/>
    <w:next w:val="style39"/>
    <w:pPr>
      <w:widowControl/>
      <w:spacing w:after="600" w:before="240" w:line="100" w:lineRule="atLeast"/>
      <w:ind w:hanging="0" w:left="0" w:right="0"/>
      <w:jc w:val="center"/>
    </w:pPr>
    <w:rPr>
      <w:i/>
      <w:iCs/>
      <w:smallCaps/>
      <w:color w:val="938953"/>
      <w:spacing w:val="5"/>
      <w:sz w:val="28"/>
      <w:szCs w:val="28"/>
    </w:rPr>
  </w:style>
  <w:style w:styleId="style45" w:type="paragraph">
    <w:name w:val="List Paragraph"/>
    <w:basedOn w:val="style0"/>
    <w:next w:val="style45"/>
    <w:pPr>
      <w:ind w:hanging="0" w:left="720" w:right="0"/>
    </w:pPr>
    <w:rPr/>
  </w:style>
  <w:style w:styleId="style46" w:type="paragraph">
    <w:name w:val="Záhlaví"/>
    <w:basedOn w:val="style0"/>
    <w:next w:val="style46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</w:pPr>
    <w:rPr/>
  </w:style>
  <w:style w:styleId="style47" w:type="paragraph">
    <w:name w:val="Zápatí"/>
    <w:basedOn w:val="style0"/>
    <w:next w:val="style47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</w:pPr>
    <w:rPr/>
  </w:style>
  <w:style w:styleId="style48" w:type="paragraph">
    <w:name w:val="caption"/>
    <w:basedOn w:val="style0"/>
    <w:next w:val="style48"/>
    <w:pPr/>
    <w:rPr>
      <w:b/>
      <w:bCs/>
      <w:smallCaps/>
      <w:color w:val="1F497D"/>
      <w:spacing w:val="10"/>
      <w:sz w:val="18"/>
      <w:szCs w:val="18"/>
    </w:rPr>
  </w:style>
  <w:style w:styleId="style49" w:type="paragraph">
    <w:name w:val="No Spacing"/>
    <w:basedOn w:val="style0"/>
    <w:next w:val="style49"/>
    <w:pPr>
      <w:spacing w:after="0" w:before="240" w:line="100" w:lineRule="atLeast"/>
    </w:pPr>
    <w:rPr/>
  </w:style>
  <w:style w:styleId="style50" w:type="paragraph">
    <w:name w:val="Quote"/>
    <w:basedOn w:val="style0"/>
    <w:next w:val="style50"/>
    <w:pPr/>
    <w:rPr>
      <w:i/>
      <w:iCs/>
    </w:rPr>
  </w:style>
  <w:style w:styleId="style51" w:type="paragraph">
    <w:name w:val="Intense Quote"/>
    <w:basedOn w:val="style0"/>
    <w:next w:val="style51"/>
    <w:pPr>
      <w:pBdr>
        <w:top w:color="7BA0CD" w:space="0" w:sz="4" w:val="single"/>
        <w:left w:color="7BA0CD" w:space="0" w:sz="4" w:val="single"/>
        <w:bottom w:color="365F91" w:space="0" w:sz="12" w:val="single"/>
        <w:right w:color="365F91" w:space="0" w:sz="12" w:val="single"/>
      </w:pBdr>
      <w:spacing w:line="300" w:lineRule="auto"/>
      <w:ind w:hanging="0" w:left="2506" w:right="432"/>
    </w:pPr>
    <w:rPr>
      <w:rFonts w:ascii="Cambria" w:cs="" w:hAnsi="Cambria"/>
      <w:smallCaps/>
      <w:color w:val="365F91"/>
    </w:rPr>
  </w:style>
  <w:style w:styleId="style52" w:type="paragraph">
    <w:name w:val="Nadpis obsahu"/>
    <w:basedOn w:val="style1"/>
    <w:next w:val="style52"/>
    <w:pPr>
      <w:suppressLineNumbers/>
    </w:pPr>
    <w:rPr>
      <w:b/>
      <w:bCs/>
      <w:sz w:val="32"/>
      <w:szCs w:val="32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2012-02-26T19:45:00.00Z</dcterms:created>
  <dc:creator>11233</dc:creator>
  <cp:lastModifiedBy>Petr Lavický</cp:lastModifiedBy>
  <dcterms:modified xsi:type="dcterms:W3CDTF">2012-03-16T10:22:00.00Z</dcterms:modified>
  <cp:revision>3</cp:revision>
</cp:coreProperties>
</file>