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801C" w14:textId="1E8DF538" w:rsidR="00E855C9" w:rsidRPr="009C5DB1" w:rsidRDefault="00E855C9" w:rsidP="00E52826">
      <w:pPr>
        <w:jc w:val="center"/>
        <w:rPr>
          <w:rFonts w:asciiTheme="minorHAnsi" w:hAnsiTheme="minorHAnsi"/>
          <w:b/>
          <w:sz w:val="28"/>
          <w:szCs w:val="28"/>
        </w:rPr>
      </w:pPr>
      <w:r w:rsidRPr="009C5DB1">
        <w:rPr>
          <w:rFonts w:asciiTheme="minorHAnsi" w:hAnsiTheme="minorHAnsi"/>
          <w:b/>
          <w:sz w:val="28"/>
          <w:szCs w:val="28"/>
        </w:rPr>
        <w:t xml:space="preserve">Ad 3 </w:t>
      </w:r>
      <w:r w:rsidRPr="009C5DB1">
        <w:rPr>
          <w:rFonts w:asciiTheme="minorHAnsi" w:hAnsiTheme="minorHAnsi"/>
          <w:b/>
          <w:sz w:val="28"/>
          <w:szCs w:val="28"/>
          <w:lang w:val="fr-FR"/>
        </w:rPr>
        <w:t>Système de juridictions - suite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855C9" w:rsidRPr="0060372B" w14:paraId="1769349A" w14:textId="77777777" w:rsidTr="00D64014">
        <w:tc>
          <w:tcPr>
            <w:tcW w:w="4258" w:type="dxa"/>
          </w:tcPr>
          <w:p w14:paraId="69397F6C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>confirmer la décision</w:t>
            </w:r>
          </w:p>
        </w:tc>
        <w:tc>
          <w:tcPr>
            <w:tcW w:w="4258" w:type="dxa"/>
          </w:tcPr>
          <w:p w14:paraId="5DDA367D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 xml:space="preserve">potvrdit rozhodnutí </w:t>
            </w:r>
          </w:p>
        </w:tc>
      </w:tr>
      <w:tr w:rsidR="00E855C9" w:rsidRPr="0060372B" w14:paraId="7462DF7F" w14:textId="77777777" w:rsidTr="00D64014">
        <w:tc>
          <w:tcPr>
            <w:tcW w:w="4258" w:type="dxa"/>
          </w:tcPr>
          <w:p w14:paraId="3A13AD9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Conseil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 w:rsidRPr="00E855C9">
              <w:rPr>
                <w:rFonts w:asciiTheme="minorHAnsi" w:hAnsiTheme="minorHAnsi"/>
                <w:lang w:val="fr-FR"/>
              </w:rPr>
              <w:t xml:space="preserve"> d‘État</w:t>
            </w:r>
          </w:p>
        </w:tc>
        <w:tc>
          <w:tcPr>
            <w:tcW w:w="4258" w:type="dxa"/>
          </w:tcPr>
          <w:p w14:paraId="1FF77C2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Státní rada</w:t>
            </w:r>
          </w:p>
        </w:tc>
      </w:tr>
      <w:tr w:rsidR="00E855C9" w:rsidRPr="0060372B" w14:paraId="36756C26" w14:textId="77777777" w:rsidTr="00D64014">
        <w:tc>
          <w:tcPr>
            <w:tcW w:w="4258" w:type="dxa"/>
          </w:tcPr>
          <w:p w14:paraId="10250A9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cour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 w:rsidRPr="00E855C9">
              <w:rPr>
                <w:rFonts w:asciiTheme="minorHAnsi" w:hAnsiTheme="minorHAnsi"/>
                <w:lang w:val="fr-FR"/>
              </w:rPr>
              <w:t>administrative d’appel</w:t>
            </w:r>
          </w:p>
        </w:tc>
        <w:tc>
          <w:tcPr>
            <w:tcW w:w="4258" w:type="dxa"/>
          </w:tcPr>
          <w:p w14:paraId="78141BA4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odvolací správní soud</w:t>
            </w:r>
          </w:p>
        </w:tc>
      </w:tr>
      <w:tr w:rsidR="00E855C9" w:rsidRPr="0060372B" w14:paraId="02BF92DB" w14:textId="77777777" w:rsidTr="00D64014">
        <w:tc>
          <w:tcPr>
            <w:tcW w:w="4258" w:type="dxa"/>
          </w:tcPr>
          <w:p w14:paraId="51C2B429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dérogation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</w:p>
        </w:tc>
        <w:tc>
          <w:tcPr>
            <w:tcW w:w="4258" w:type="dxa"/>
          </w:tcPr>
          <w:p w14:paraId="3586783D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odchylka</w:t>
            </w:r>
          </w:p>
        </w:tc>
      </w:tr>
      <w:tr w:rsidR="00E855C9" w:rsidRPr="0060372B" w14:paraId="28961814" w14:textId="77777777" w:rsidTr="00D64014">
        <w:tc>
          <w:tcPr>
            <w:tcW w:w="4258" w:type="dxa"/>
          </w:tcPr>
          <w:p w14:paraId="0A71951B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expropriation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</w:p>
        </w:tc>
        <w:tc>
          <w:tcPr>
            <w:tcW w:w="4258" w:type="dxa"/>
          </w:tcPr>
          <w:p w14:paraId="4271F37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vyvlastnění</w:t>
            </w:r>
          </w:p>
        </w:tc>
      </w:tr>
      <w:tr w:rsidR="00E855C9" w:rsidRPr="0060372B" w14:paraId="51C16446" w14:textId="77777777" w:rsidTr="00D64014">
        <w:tc>
          <w:tcPr>
            <w:tcW w:w="4258" w:type="dxa"/>
          </w:tcPr>
          <w:p w14:paraId="21268B7D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expulsion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 w:rsidRPr="00E855C9">
              <w:rPr>
                <w:rFonts w:asciiTheme="minorHAnsi" w:hAnsiTheme="minorHAnsi"/>
                <w:lang w:val="fr-FR"/>
              </w:rPr>
              <w:t>d’un étranger</w:t>
            </w:r>
          </w:p>
        </w:tc>
        <w:tc>
          <w:tcPr>
            <w:tcW w:w="4258" w:type="dxa"/>
          </w:tcPr>
          <w:p w14:paraId="5EC1F42E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vyhoštění cizince</w:t>
            </w:r>
          </w:p>
        </w:tc>
      </w:tr>
      <w:tr w:rsidR="00E855C9" w:rsidRPr="0060372B" w14:paraId="26048506" w14:textId="77777777" w:rsidTr="00D64014">
        <w:tc>
          <w:tcPr>
            <w:tcW w:w="4258" w:type="dxa"/>
          </w:tcPr>
          <w:p w14:paraId="0330A9ED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extradition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</w:p>
        </w:tc>
        <w:tc>
          <w:tcPr>
            <w:tcW w:w="4258" w:type="dxa"/>
          </w:tcPr>
          <w:p w14:paraId="7CF38A10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vydání, extradice</w:t>
            </w:r>
          </w:p>
        </w:tc>
      </w:tr>
      <w:tr w:rsidR="00E855C9" w:rsidRPr="0060372B" w14:paraId="24577801" w14:textId="77777777" w:rsidTr="00D64014">
        <w:tc>
          <w:tcPr>
            <w:tcW w:w="4258" w:type="dxa"/>
          </w:tcPr>
          <w:p w14:paraId="166FEF4E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>faire appel</w:t>
            </w:r>
          </w:p>
        </w:tc>
        <w:tc>
          <w:tcPr>
            <w:tcW w:w="4258" w:type="dxa"/>
          </w:tcPr>
          <w:p w14:paraId="5F3C38AF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podat odvolání</w:t>
            </w:r>
          </w:p>
        </w:tc>
      </w:tr>
      <w:tr w:rsidR="00E855C9" w:rsidRPr="0060372B" w14:paraId="023FC6BD" w14:textId="77777777" w:rsidTr="00D64014">
        <w:tc>
          <w:tcPr>
            <w:tcW w:w="4258" w:type="dxa"/>
          </w:tcPr>
          <w:p w14:paraId="4AA37D74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impôt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 w:rsidRPr="00E855C9">
              <w:rPr>
                <w:rFonts w:asciiTheme="minorHAnsi" w:hAnsiTheme="minorHAnsi"/>
                <w:lang w:val="fr-FR"/>
              </w:rPr>
              <w:t>direct</w:t>
            </w:r>
          </w:p>
        </w:tc>
        <w:tc>
          <w:tcPr>
            <w:tcW w:w="4258" w:type="dxa"/>
          </w:tcPr>
          <w:p w14:paraId="7D10A2BA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přímá daň</w:t>
            </w:r>
          </w:p>
        </w:tc>
      </w:tr>
      <w:tr w:rsidR="00E855C9" w:rsidRPr="0060372B" w14:paraId="4B52D68C" w14:textId="77777777" w:rsidTr="00D64014">
        <w:tc>
          <w:tcPr>
            <w:tcW w:w="4258" w:type="dxa"/>
          </w:tcPr>
          <w:p w14:paraId="63B7FC3A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>infirmer la décision</w:t>
            </w:r>
          </w:p>
        </w:tc>
        <w:tc>
          <w:tcPr>
            <w:tcW w:w="4258" w:type="dxa"/>
          </w:tcPr>
          <w:p w14:paraId="2454266D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zrušit rozhodnutí</w:t>
            </w:r>
          </w:p>
        </w:tc>
      </w:tr>
      <w:tr w:rsidR="00E855C9" w:rsidRPr="0060372B" w14:paraId="1865158E" w14:textId="77777777" w:rsidTr="00D64014">
        <w:tc>
          <w:tcPr>
            <w:tcW w:w="4258" w:type="dxa"/>
          </w:tcPr>
          <w:p w14:paraId="43FDA67B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juge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 w:rsidRPr="00E855C9">
              <w:rPr>
                <w:rFonts w:asciiTheme="minorHAnsi" w:hAnsiTheme="minorHAnsi"/>
                <w:lang w:val="fr-FR"/>
              </w:rPr>
              <w:t>de proximité</w:t>
            </w:r>
          </w:p>
        </w:tc>
        <w:tc>
          <w:tcPr>
            <w:tcW w:w="4258" w:type="dxa"/>
          </w:tcPr>
          <w:p w14:paraId="74E88C8E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soudce kompetentní pro běžné spory nízké hodnoty a trestné činy nejnižší závažnosti</w:t>
            </w:r>
          </w:p>
        </w:tc>
      </w:tr>
      <w:tr w:rsidR="00E855C9" w:rsidRPr="0060372B" w14:paraId="473DA1E9" w14:textId="77777777" w:rsidTr="00D64014">
        <w:tc>
          <w:tcPr>
            <w:tcW w:w="4258" w:type="dxa"/>
          </w:tcPr>
          <w:p w14:paraId="78F8A6B3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justiciable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</w:p>
        </w:tc>
        <w:tc>
          <w:tcPr>
            <w:tcW w:w="4258" w:type="dxa"/>
          </w:tcPr>
          <w:p w14:paraId="7620111E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osoba podléhající pravomoci soudu</w:t>
            </w:r>
          </w:p>
        </w:tc>
      </w:tr>
      <w:tr w:rsidR="00E855C9" w:rsidRPr="0060372B" w14:paraId="27FFB66D" w14:textId="77777777" w:rsidTr="00D64014">
        <w:tc>
          <w:tcPr>
            <w:tcW w:w="4258" w:type="dxa"/>
          </w:tcPr>
          <w:p w14:paraId="227944C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juridiction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 w:rsidRPr="00E855C9">
              <w:rPr>
                <w:rFonts w:asciiTheme="minorHAnsi" w:hAnsiTheme="minorHAnsi"/>
                <w:lang w:val="fr-FR"/>
              </w:rPr>
              <w:t>de droit commun</w:t>
            </w:r>
          </w:p>
        </w:tc>
        <w:tc>
          <w:tcPr>
            <w:tcW w:w="4258" w:type="dxa"/>
          </w:tcPr>
          <w:p w14:paraId="21507E0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obecný soud, soud s obecnou příslušností</w:t>
            </w:r>
          </w:p>
        </w:tc>
      </w:tr>
      <w:tr w:rsidR="00E855C9" w:rsidRPr="0060372B" w14:paraId="439024AF" w14:textId="77777777" w:rsidTr="00D64014">
        <w:tc>
          <w:tcPr>
            <w:tcW w:w="4258" w:type="dxa"/>
          </w:tcPr>
          <w:p w14:paraId="18062BF2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juridiction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 w:rsidRPr="00E855C9">
              <w:rPr>
                <w:rFonts w:asciiTheme="minorHAnsi" w:hAnsiTheme="minorHAnsi"/>
                <w:lang w:val="fr-FR"/>
              </w:rPr>
              <w:t>de premier degré</w:t>
            </w:r>
          </w:p>
        </w:tc>
        <w:tc>
          <w:tcPr>
            <w:tcW w:w="4258" w:type="dxa"/>
          </w:tcPr>
          <w:p w14:paraId="3FD0AD2B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soud prvního stupně</w:t>
            </w:r>
          </w:p>
        </w:tc>
      </w:tr>
      <w:tr w:rsidR="00E855C9" w:rsidRPr="0060372B" w14:paraId="63A11283" w14:textId="77777777" w:rsidTr="00D64014">
        <w:tc>
          <w:tcPr>
            <w:tcW w:w="4258" w:type="dxa"/>
          </w:tcPr>
          <w:p w14:paraId="0BDC342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juridiction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 w:rsidRPr="00E855C9">
              <w:rPr>
                <w:rFonts w:asciiTheme="minorHAnsi" w:hAnsiTheme="minorHAnsi"/>
                <w:lang w:val="fr-FR"/>
              </w:rPr>
              <w:t>du second degré</w:t>
            </w:r>
          </w:p>
        </w:tc>
        <w:tc>
          <w:tcPr>
            <w:tcW w:w="4258" w:type="dxa"/>
          </w:tcPr>
          <w:p w14:paraId="19C98932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soud druhého stupně</w:t>
            </w:r>
          </w:p>
        </w:tc>
      </w:tr>
      <w:tr w:rsidR="00E855C9" w:rsidRPr="0060372B" w14:paraId="4D12B83B" w14:textId="77777777" w:rsidTr="00D64014">
        <w:tc>
          <w:tcPr>
            <w:tcW w:w="4258" w:type="dxa"/>
          </w:tcPr>
          <w:p w14:paraId="35501324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marché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 w:rsidRPr="00E855C9">
              <w:rPr>
                <w:rFonts w:asciiTheme="minorHAnsi" w:hAnsiTheme="minorHAnsi"/>
                <w:lang w:val="fr-FR"/>
              </w:rPr>
              <w:t>public</w:t>
            </w:r>
          </w:p>
        </w:tc>
        <w:tc>
          <w:tcPr>
            <w:tcW w:w="4258" w:type="dxa"/>
          </w:tcPr>
          <w:p w14:paraId="5BFB26F7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veřejná zakázka</w:t>
            </w:r>
          </w:p>
        </w:tc>
      </w:tr>
      <w:tr w:rsidR="00E855C9" w:rsidRPr="0060372B" w14:paraId="5C4B97B8" w14:textId="77777777" w:rsidTr="00D64014">
        <w:tc>
          <w:tcPr>
            <w:tcW w:w="4258" w:type="dxa"/>
          </w:tcPr>
          <w:p w14:paraId="62329BDA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permis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 w:rsidRPr="00E855C9">
              <w:rPr>
                <w:rFonts w:asciiTheme="minorHAnsi" w:hAnsiTheme="minorHAnsi"/>
                <w:lang w:val="fr-FR"/>
              </w:rPr>
              <w:t>de construire</w:t>
            </w:r>
          </w:p>
        </w:tc>
        <w:tc>
          <w:tcPr>
            <w:tcW w:w="4258" w:type="dxa"/>
          </w:tcPr>
          <w:p w14:paraId="4A91F407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stavební povolení</w:t>
            </w:r>
          </w:p>
        </w:tc>
      </w:tr>
      <w:tr w:rsidR="00E855C9" w:rsidRPr="0060372B" w14:paraId="1999439C" w14:textId="77777777" w:rsidTr="00D64014">
        <w:tc>
          <w:tcPr>
            <w:tcW w:w="4258" w:type="dxa"/>
          </w:tcPr>
          <w:p w14:paraId="5B084C41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principe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 w:rsidRPr="00E855C9">
              <w:rPr>
                <w:rFonts w:asciiTheme="minorHAnsi" w:hAnsiTheme="minorHAnsi"/>
                <w:lang w:val="fr-FR"/>
              </w:rPr>
              <w:t>du contradictoire</w:t>
            </w:r>
          </w:p>
        </w:tc>
        <w:tc>
          <w:tcPr>
            <w:tcW w:w="4258" w:type="dxa"/>
          </w:tcPr>
          <w:p w14:paraId="68622E5B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zásada projednací, zásada kontradiktorní</w:t>
            </w:r>
          </w:p>
        </w:tc>
      </w:tr>
      <w:tr w:rsidR="00E855C9" w:rsidRPr="0060372B" w14:paraId="20FAC750" w14:textId="77777777" w:rsidTr="00D64014">
        <w:tc>
          <w:tcPr>
            <w:tcW w:w="4258" w:type="dxa"/>
          </w:tcPr>
          <w:p w14:paraId="27C37663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rapatrié 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14:paraId="10A18F15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repatriant</w:t>
            </w:r>
          </w:p>
        </w:tc>
      </w:tr>
      <w:tr w:rsidR="00E855C9" w:rsidRPr="0060372B" w14:paraId="15B54327" w14:textId="77777777" w:rsidTr="00D64014">
        <w:tc>
          <w:tcPr>
            <w:tcW w:w="4258" w:type="dxa"/>
          </w:tcPr>
          <w:p w14:paraId="4FBD01C2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recouvrement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 w:rsidRPr="00E855C9">
              <w:rPr>
                <w:rFonts w:asciiTheme="minorHAnsi" w:hAnsiTheme="minorHAnsi"/>
                <w:lang w:val="fr-FR"/>
              </w:rPr>
              <w:t>des impôts</w:t>
            </w:r>
          </w:p>
        </w:tc>
        <w:tc>
          <w:tcPr>
            <w:tcW w:w="4258" w:type="dxa"/>
          </w:tcPr>
          <w:p w14:paraId="20F94413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vybírání daní</w:t>
            </w:r>
          </w:p>
        </w:tc>
      </w:tr>
      <w:tr w:rsidR="00E855C9" w:rsidRPr="0060372B" w14:paraId="72FDDCFF" w14:textId="77777777" w:rsidTr="00D64014">
        <w:tc>
          <w:tcPr>
            <w:tcW w:w="4258" w:type="dxa"/>
          </w:tcPr>
          <w:p w14:paraId="65DDF620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réfugié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</w:p>
        </w:tc>
        <w:tc>
          <w:tcPr>
            <w:tcW w:w="4258" w:type="dxa"/>
          </w:tcPr>
          <w:p w14:paraId="0F3803FE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uprchlík, běženec</w:t>
            </w:r>
          </w:p>
        </w:tc>
      </w:tr>
      <w:tr w:rsidR="00E855C9" w:rsidRPr="0060372B" w14:paraId="237062AB" w14:textId="77777777" w:rsidTr="00D64014">
        <w:tc>
          <w:tcPr>
            <w:tcW w:w="4258" w:type="dxa"/>
          </w:tcPr>
          <w:p w14:paraId="1014058C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ressort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</w:p>
        </w:tc>
        <w:tc>
          <w:tcPr>
            <w:tcW w:w="4258" w:type="dxa"/>
          </w:tcPr>
          <w:p w14:paraId="6B257657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1. obvod (územní rozsah příslušnosti soudu)</w:t>
            </w:r>
          </w:p>
          <w:p w14:paraId="1739E770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2. instance</w:t>
            </w:r>
          </w:p>
        </w:tc>
      </w:tr>
      <w:tr w:rsidR="00E855C9" w:rsidRPr="0060372B" w14:paraId="11B34342" w14:textId="77777777" w:rsidTr="00D64014">
        <w:tc>
          <w:tcPr>
            <w:tcW w:w="4258" w:type="dxa"/>
          </w:tcPr>
          <w:p w14:paraId="29860FB1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 xml:space="preserve">tribunal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 w:rsidRPr="00E855C9">
              <w:rPr>
                <w:rFonts w:asciiTheme="minorHAnsi" w:hAnsiTheme="minorHAnsi"/>
                <w:lang w:val="fr-FR"/>
              </w:rPr>
              <w:t>administratif</w:t>
            </w:r>
          </w:p>
        </w:tc>
        <w:tc>
          <w:tcPr>
            <w:tcW w:w="4258" w:type="dxa"/>
          </w:tcPr>
          <w:p w14:paraId="1714BD6A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  <w:r w:rsidRPr="00E855C9">
              <w:rPr>
                <w:rFonts w:asciiTheme="minorHAnsi" w:hAnsiTheme="minorHAnsi"/>
              </w:rPr>
              <w:t>správní soud prvního stupně</w:t>
            </w:r>
          </w:p>
        </w:tc>
      </w:tr>
      <w:tr w:rsidR="00E855C9" w:rsidRPr="0060372B" w14:paraId="2D943215" w14:textId="77777777" w:rsidTr="00D64014">
        <w:tc>
          <w:tcPr>
            <w:tcW w:w="4258" w:type="dxa"/>
          </w:tcPr>
          <w:p w14:paraId="2527F3D9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08C2A081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7A0BB7A8" w14:textId="77777777" w:rsidTr="00D64014">
        <w:tc>
          <w:tcPr>
            <w:tcW w:w="4258" w:type="dxa"/>
          </w:tcPr>
          <w:p w14:paraId="29521277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258" w:type="dxa"/>
          </w:tcPr>
          <w:p w14:paraId="4C9B39F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49D11CB1" w14:textId="77777777" w:rsidTr="00D64014">
        <w:tc>
          <w:tcPr>
            <w:tcW w:w="4258" w:type="dxa"/>
          </w:tcPr>
          <w:p w14:paraId="2E919CB2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23352B76" w14:textId="77777777" w:rsidR="00E855C9" w:rsidRPr="00E855C9" w:rsidRDefault="00E855C9" w:rsidP="00E855C9">
            <w:pPr>
              <w:tabs>
                <w:tab w:val="left" w:pos="1720"/>
                <w:tab w:val="left" w:pos="3150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7FA55C7A" w14:textId="77777777" w:rsidTr="00D64014">
        <w:tc>
          <w:tcPr>
            <w:tcW w:w="4258" w:type="dxa"/>
          </w:tcPr>
          <w:p w14:paraId="76468F6F" w14:textId="77777777" w:rsidR="00E855C9" w:rsidRPr="0060372B" w:rsidRDefault="00E855C9" w:rsidP="00D64014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0BF98D10" w14:textId="77777777" w:rsidR="00E855C9" w:rsidRPr="0060372B" w:rsidRDefault="00E855C9" w:rsidP="00D64014">
            <w:pPr>
              <w:rPr>
                <w:rFonts w:asciiTheme="majorHAnsi" w:hAnsiTheme="majorHAnsi"/>
              </w:rPr>
            </w:pPr>
          </w:p>
        </w:tc>
      </w:tr>
    </w:tbl>
    <w:p w14:paraId="05D9A0F8" w14:textId="77777777" w:rsidR="00E855C9" w:rsidRDefault="00E855C9" w:rsidP="00E855C9"/>
    <w:p w14:paraId="66A9F926" w14:textId="303D185B" w:rsidR="009C73AC" w:rsidRPr="009C73AC" w:rsidRDefault="009C73AC" w:rsidP="00E855C9">
      <w:pPr>
        <w:jc w:val="center"/>
        <w:rPr>
          <w:rFonts w:asciiTheme="majorHAnsi" w:hAnsiTheme="majorHAnsi" w:cs="Arial"/>
          <w:sz w:val="20"/>
          <w:szCs w:val="20"/>
          <w:lang w:val="fr-FR"/>
        </w:rPr>
      </w:pPr>
    </w:p>
    <w:sectPr w:rsidR="009C73AC" w:rsidRPr="009C73AC" w:rsidSect="00D26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70D0D" w14:textId="77777777" w:rsidR="00E67022" w:rsidRDefault="00E67022">
      <w:pPr>
        <w:spacing w:after="0" w:line="240" w:lineRule="auto"/>
      </w:pPr>
      <w:r>
        <w:separator/>
      </w:r>
    </w:p>
  </w:endnote>
  <w:endnote w:type="continuationSeparator" w:id="0">
    <w:p w14:paraId="5EAF8039" w14:textId="77777777" w:rsidR="00E67022" w:rsidRDefault="00E6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74B5F" w14:textId="77777777" w:rsidR="00DB318D" w:rsidRDefault="00DB31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77777777" w:rsidR="006C61F2" w:rsidRPr="00D26FE7" w:rsidRDefault="006C61F2" w:rsidP="00D26FE7">
    <w:pPr>
      <w:pStyle w:val="Zpat-univerzita4dkyadresy"/>
      <w:rPr>
        <w:i/>
      </w:rPr>
    </w:pPr>
    <w:proofErr w:type="spellStart"/>
    <w:r>
      <w:t>Français</w:t>
    </w:r>
    <w:proofErr w:type="spellEnd"/>
    <w:r>
      <w:t xml:space="preserve"> </w:t>
    </w:r>
    <w:proofErr w:type="spellStart"/>
    <w:r>
      <w:t>juridique</w:t>
    </w:r>
    <w:proofErr w:type="spellEnd"/>
    <w:r>
      <w:t xml:space="preserve"> IV, </w:t>
    </w:r>
    <w:proofErr w:type="spellStart"/>
    <w:r>
      <w:t>Unités</w:t>
    </w:r>
    <w:proofErr w:type="spellEnd"/>
    <w:r>
      <w:t xml:space="preserve"> 4-5 </w:t>
    </w:r>
    <w:proofErr w:type="spellStart"/>
    <w:r w:rsidRPr="00D26FE7">
      <w:rPr>
        <w:i/>
      </w:rPr>
      <w:t>Formes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juridiques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d’entreprises</w:t>
    </w:r>
    <w:proofErr w:type="spellEnd"/>
    <w:r w:rsidRPr="00D26FE7">
      <w:rPr>
        <w:i/>
      </w:rPr>
      <w:t xml:space="preserve"> et de </w:t>
    </w:r>
    <w:proofErr w:type="spellStart"/>
    <w:r w:rsidRPr="00D26FE7">
      <w:rPr>
        <w:i/>
      </w:rPr>
      <w:t>sociétés</w:t>
    </w:r>
    <w:proofErr w:type="spellEnd"/>
  </w:p>
  <w:p w14:paraId="2D2609A3" w14:textId="77777777" w:rsidR="006C61F2" w:rsidRPr="008E4D5B" w:rsidRDefault="006C61F2" w:rsidP="00D26FE7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6C61F2" w:rsidRPr="005D1F84" w:rsidRDefault="006C61F2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6C61F2" w:rsidRDefault="006C61F2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6C61F2" w:rsidRPr="00D26FE7" w:rsidRDefault="006C61F2" w:rsidP="00D26F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77777777" w:rsidR="00DB318D" w:rsidRDefault="00DB318D" w:rsidP="00DB318D">
    <w:pPr>
      <w:pStyle w:val="Zpat-univerzita4dkyadresy"/>
      <w:rPr>
        <w:lang w:val="fr-FR"/>
      </w:rPr>
    </w:pPr>
    <w:r>
      <w:rPr>
        <w:lang w:val="fr-FR"/>
      </w:rPr>
      <w:t>Français pour l’examen de DFP, Unité 3  Système de juridictions françaises - suite</w:t>
    </w:r>
  </w:p>
  <w:p w14:paraId="38ABE97C" w14:textId="77777777" w:rsidR="006C61F2" w:rsidRPr="008E4D5B" w:rsidRDefault="006C61F2" w:rsidP="00CA321A">
    <w:pPr>
      <w:pStyle w:val="Zpat-univerzita4dkyadresy"/>
      <w:rPr>
        <w:b w:val="0"/>
      </w:rPr>
    </w:pPr>
    <w:bookmarkStart w:id="0" w:name="_GoBack"/>
    <w:bookmarkEnd w:id="0"/>
    <w:r w:rsidRPr="008E4D5B">
      <w:rPr>
        <w:b w:val="0"/>
        <w:noProof/>
        <w:lang w:eastAsia="cs-CZ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6C61F2" w:rsidRPr="005D1F84" w:rsidRDefault="006C61F2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6C61F2" w:rsidRDefault="006C61F2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6C61F2" w:rsidRDefault="006C61F2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B318D">
      <w:rPr>
        <w:noProof/>
      </w:rPr>
      <w:t>1</w:t>
    </w:r>
    <w:r>
      <w:fldChar w:fldCharType="end"/>
    </w:r>
    <w:r>
      <w:t>/</w:t>
    </w:r>
    <w:fldSimple w:instr=" SECTIONPAGES   \* MERGEFORMAT ">
      <w:r w:rsidR="00DB318D"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5B4D" w14:textId="77777777" w:rsidR="00E67022" w:rsidRDefault="00E67022">
      <w:pPr>
        <w:spacing w:after="0" w:line="240" w:lineRule="auto"/>
      </w:pPr>
      <w:r>
        <w:separator/>
      </w:r>
    </w:p>
  </w:footnote>
  <w:footnote w:type="continuationSeparator" w:id="0">
    <w:p w14:paraId="03C303B1" w14:textId="77777777" w:rsidR="00E67022" w:rsidRDefault="00E6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87C56" w14:textId="77777777" w:rsidR="00DB318D" w:rsidRDefault="00DB31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2AB7E" w14:textId="77777777" w:rsidR="00DB318D" w:rsidRDefault="00DB31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6C61F2" w:rsidRDefault="006C61F2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6C61F2" w:rsidRDefault="006C61F2" w:rsidP="00D26FE7">
    <w:pPr>
      <w:pStyle w:val="Bezmezer"/>
      <w:jc w:val="center"/>
    </w:pPr>
  </w:p>
  <w:p w14:paraId="6D6CFB0B" w14:textId="77777777" w:rsidR="006C61F2" w:rsidRDefault="006C61F2" w:rsidP="00D26FE7">
    <w:pPr>
      <w:pStyle w:val="Bezmezer"/>
      <w:jc w:val="center"/>
    </w:pPr>
  </w:p>
  <w:p w14:paraId="08E7CDC9" w14:textId="77777777" w:rsidR="009C73AC" w:rsidRDefault="009C73AC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9C73AC" w:rsidRDefault="009C73AC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6C61F2" w:rsidRPr="006E7DD3" w:rsidRDefault="006C61F2" w:rsidP="006E7D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A7E64"/>
    <w:rsid w:val="001B4F3E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58CC"/>
    <w:rsid w:val="00890368"/>
    <w:rsid w:val="008A1753"/>
    <w:rsid w:val="008B5304"/>
    <w:rsid w:val="008C627A"/>
    <w:rsid w:val="008E4D5B"/>
    <w:rsid w:val="00921B67"/>
    <w:rsid w:val="0093108E"/>
    <w:rsid w:val="00935080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C2D36"/>
    <w:rsid w:val="00AC6B6B"/>
    <w:rsid w:val="00B43F1E"/>
    <w:rsid w:val="00C06373"/>
    <w:rsid w:val="00C20847"/>
    <w:rsid w:val="00C44C72"/>
    <w:rsid w:val="00C45968"/>
    <w:rsid w:val="00C9132F"/>
    <w:rsid w:val="00CA321A"/>
    <w:rsid w:val="00CC2597"/>
    <w:rsid w:val="00CC48E7"/>
    <w:rsid w:val="00CE5D2D"/>
    <w:rsid w:val="00D140C3"/>
    <w:rsid w:val="00D26FE7"/>
    <w:rsid w:val="00D27C51"/>
    <w:rsid w:val="00D4417E"/>
    <w:rsid w:val="00D45579"/>
    <w:rsid w:val="00D47639"/>
    <w:rsid w:val="00D65140"/>
    <w:rsid w:val="00DB0117"/>
    <w:rsid w:val="00DB318D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DE63-627A-4353-9257-3F3003D0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4</cp:revision>
  <cp:lastPrinted>2016-03-14T12:08:00Z</cp:lastPrinted>
  <dcterms:created xsi:type="dcterms:W3CDTF">2016-03-14T12:09:00Z</dcterms:created>
  <dcterms:modified xsi:type="dcterms:W3CDTF">2016-03-14T18:11:00Z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