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69" w:rsidRPr="00875C28" w:rsidRDefault="00DB6C2D" w:rsidP="00ED7269">
      <w:pPr>
        <w:pStyle w:val="Nadpis1"/>
        <w:numPr>
          <w:ilvl w:val="0"/>
          <w:numId w:val="0"/>
        </w:numPr>
        <w:ind w:left="432" w:hanging="432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OVZ - ROZPIS PREZENTACÍ</w:t>
      </w:r>
      <w:r w:rsidR="00ED7269" w:rsidRPr="00875C28">
        <w:rPr>
          <w:rFonts w:asciiTheme="minorHAnsi" w:hAnsiTheme="minorHAnsi"/>
          <w:sz w:val="22"/>
          <w:szCs w:val="22"/>
        </w:rPr>
        <w:t xml:space="preserve"> kolokviálních prací</w:t>
      </w:r>
    </w:p>
    <w:p w:rsidR="00DB6C2D" w:rsidRPr="004E4139" w:rsidRDefault="00ED7269" w:rsidP="00ED7269">
      <w:pPr>
        <w:rPr>
          <w:b/>
        </w:rPr>
      </w:pPr>
      <w:r w:rsidRPr="004E4139">
        <w:rPr>
          <w:b/>
          <w:highlight w:val="cyan"/>
        </w:rPr>
        <w:t>l)</w:t>
      </w:r>
      <w:r w:rsidR="00570B7B" w:rsidRPr="004E4139">
        <w:rPr>
          <w:b/>
          <w:highlight w:val="cyan"/>
        </w:rPr>
        <w:t xml:space="preserve"> </w:t>
      </w:r>
      <w:r w:rsidR="00DB6C2D" w:rsidRPr="004E4139">
        <w:rPr>
          <w:b/>
          <w:highlight w:val="cyan"/>
        </w:rPr>
        <w:t>8.3.</w:t>
      </w:r>
    </w:p>
    <w:p w:rsidR="004E4139" w:rsidRDefault="00DB6C2D" w:rsidP="00ED7269">
      <w:pPr>
        <w:rPr>
          <w:b/>
        </w:rPr>
      </w:pPr>
      <w:r>
        <w:rPr>
          <w:b/>
        </w:rPr>
        <w:t xml:space="preserve">MIKA – </w:t>
      </w:r>
      <w:r w:rsidR="00337DCC">
        <w:rPr>
          <w:b/>
        </w:rPr>
        <w:t>Právní úprava kolektivních akcí</w:t>
      </w:r>
      <w:r w:rsidR="004E4139">
        <w:rPr>
          <w:b/>
        </w:rPr>
        <w:t xml:space="preserve"> pro děti</w:t>
      </w:r>
    </w:p>
    <w:p w:rsidR="00ED7269" w:rsidRDefault="004E4139" w:rsidP="00ED7269">
      <w:pPr>
        <w:rPr>
          <w:b/>
        </w:rPr>
      </w:pPr>
      <w:r>
        <w:rPr>
          <w:b/>
        </w:rPr>
        <w:t xml:space="preserve">AUER - </w:t>
      </w:r>
      <w:r w:rsidR="00DB6C2D">
        <w:rPr>
          <w:b/>
        </w:rPr>
        <w:t>Právní prostředky ochrany veřejného zdraví ve vazbě na kvalitu o</w:t>
      </w:r>
      <w:r>
        <w:rPr>
          <w:b/>
        </w:rPr>
        <w:t>v</w:t>
      </w:r>
      <w:r w:rsidR="00DB6C2D">
        <w:rPr>
          <w:b/>
        </w:rPr>
        <w:t>zduší</w:t>
      </w:r>
    </w:p>
    <w:p w:rsidR="004E4139" w:rsidRDefault="004E4139" w:rsidP="00ED7269">
      <w:pPr>
        <w:rPr>
          <w:b/>
        </w:rPr>
      </w:pPr>
      <w:r>
        <w:rPr>
          <w:b/>
        </w:rPr>
        <w:t xml:space="preserve">ŠTĚPÁNKOVÁ - </w:t>
      </w:r>
      <w:r>
        <w:rPr>
          <w:b/>
        </w:rPr>
        <w:tab/>
        <w:t>Právní prostředky ochrany veřejného zdraví ve vazbě na kvalitu vody</w:t>
      </w:r>
    </w:p>
    <w:p w:rsidR="004E4139" w:rsidRPr="00875C28" w:rsidRDefault="004E4139" w:rsidP="00ED7269">
      <w:pPr>
        <w:rPr>
          <w:b/>
        </w:rPr>
      </w:pPr>
      <w:r>
        <w:rPr>
          <w:b/>
        </w:rPr>
        <w:t>MESTEKOVÁ – Zdravotní determinanty</w:t>
      </w:r>
    </w:p>
    <w:p w:rsidR="00570B7B" w:rsidRDefault="00ED7269" w:rsidP="00ED7269">
      <w:pPr>
        <w:rPr>
          <w:b/>
        </w:rPr>
      </w:pPr>
      <w:r w:rsidRPr="004E4139">
        <w:rPr>
          <w:b/>
          <w:highlight w:val="cyan"/>
        </w:rPr>
        <w:t>2)</w:t>
      </w:r>
      <w:r w:rsidR="004E4139" w:rsidRPr="004E4139">
        <w:rPr>
          <w:b/>
          <w:highlight w:val="cyan"/>
        </w:rPr>
        <w:t xml:space="preserve"> 22.3</w:t>
      </w:r>
    </w:p>
    <w:p w:rsidR="004E4139" w:rsidRDefault="004E4139" w:rsidP="00ED7269">
      <w:pPr>
        <w:rPr>
          <w:b/>
        </w:rPr>
      </w:pPr>
      <w:r>
        <w:rPr>
          <w:b/>
        </w:rPr>
        <w:t>KADLÍČKOVÁ – Právní prostředky ochrany veřejného zdraví před hlukem a vibracemi</w:t>
      </w:r>
    </w:p>
    <w:p w:rsidR="004E4139" w:rsidRDefault="004E4139" w:rsidP="00ED7269">
      <w:pPr>
        <w:rPr>
          <w:b/>
        </w:rPr>
      </w:pPr>
      <w:r>
        <w:rPr>
          <w:b/>
        </w:rPr>
        <w:t>MACHÁLKOVÁ – Ochrana veřejného zdraví při práci</w:t>
      </w:r>
    </w:p>
    <w:p w:rsidR="00570B7B" w:rsidRDefault="00570B7B" w:rsidP="00ED7269">
      <w:pPr>
        <w:rPr>
          <w:b/>
        </w:rPr>
      </w:pPr>
      <w:r w:rsidRPr="004E4139">
        <w:rPr>
          <w:b/>
          <w:highlight w:val="cyan"/>
        </w:rPr>
        <w:t xml:space="preserve">3) </w:t>
      </w:r>
      <w:r w:rsidR="004E4139" w:rsidRPr="004E4139">
        <w:rPr>
          <w:b/>
          <w:highlight w:val="cyan"/>
        </w:rPr>
        <w:t>5.4.</w:t>
      </w:r>
    </w:p>
    <w:p w:rsidR="0097550A" w:rsidRDefault="0097550A" w:rsidP="0097550A">
      <w:pPr>
        <w:rPr>
          <w:b/>
        </w:rPr>
      </w:pPr>
      <w:r>
        <w:rPr>
          <w:b/>
        </w:rPr>
        <w:t>KOLÁŘOVÁ – Právní prostředky ochrany veřejného zdraví – kvalita potravin</w:t>
      </w:r>
    </w:p>
    <w:p w:rsidR="0097550A" w:rsidRDefault="0097550A" w:rsidP="0097550A">
      <w:pPr>
        <w:rPr>
          <w:b/>
        </w:rPr>
      </w:pPr>
      <w:r>
        <w:rPr>
          <w:b/>
        </w:rPr>
        <w:t>PITROVÁ – Právní prostředky ochrany veřejného zdraví před nebezpečnými chemickými látkami</w:t>
      </w:r>
      <w:r>
        <w:rPr>
          <w:b/>
        </w:rPr>
        <w:t xml:space="preserve"> </w:t>
      </w:r>
    </w:p>
    <w:p w:rsidR="004E4139" w:rsidRDefault="00FD33C5" w:rsidP="00ED7269">
      <w:pPr>
        <w:rPr>
          <w:b/>
        </w:rPr>
      </w:pPr>
      <w:r w:rsidRPr="004E4139">
        <w:rPr>
          <w:b/>
          <w:highlight w:val="cyan"/>
        </w:rPr>
        <w:t xml:space="preserve">4) </w:t>
      </w:r>
      <w:r w:rsidR="004E4139" w:rsidRPr="004E4139">
        <w:rPr>
          <w:b/>
          <w:highlight w:val="cyan"/>
        </w:rPr>
        <w:t>19.4.</w:t>
      </w:r>
      <w:r w:rsidR="004E4139">
        <w:rPr>
          <w:b/>
        </w:rPr>
        <w:t xml:space="preserve"> </w:t>
      </w:r>
    </w:p>
    <w:p w:rsidR="0097550A" w:rsidRDefault="0097550A" w:rsidP="0097550A">
      <w:pPr>
        <w:rPr>
          <w:b/>
        </w:rPr>
      </w:pPr>
      <w:r>
        <w:rPr>
          <w:b/>
        </w:rPr>
        <w:t xml:space="preserve">CHLÁDKOVÁ – </w:t>
      </w:r>
      <w:r w:rsidR="001064D7">
        <w:rPr>
          <w:b/>
        </w:rPr>
        <w:t>Ekonomické nástroje o</w:t>
      </w:r>
      <w:r>
        <w:rPr>
          <w:b/>
        </w:rPr>
        <w:t>chran</w:t>
      </w:r>
      <w:r w:rsidR="001064D7">
        <w:rPr>
          <w:b/>
        </w:rPr>
        <w:t>y</w:t>
      </w:r>
      <w:r>
        <w:rPr>
          <w:b/>
        </w:rPr>
        <w:t xml:space="preserve"> veřejného zdraví</w:t>
      </w:r>
    </w:p>
    <w:p w:rsidR="004E4139" w:rsidRDefault="0097550A" w:rsidP="0097550A">
      <w:pPr>
        <w:rPr>
          <w:b/>
        </w:rPr>
      </w:pPr>
      <w:r>
        <w:rPr>
          <w:b/>
        </w:rPr>
        <w:t>BOBČÍKOVÁ – Právní prostředky ochrany veřejného zdraví před ionizujícím a neionizujícím zářením</w:t>
      </w:r>
    </w:p>
    <w:p w:rsidR="004E4139" w:rsidRPr="00875C28" w:rsidRDefault="004E4139" w:rsidP="00ED7269">
      <w:pPr>
        <w:rPr>
          <w:b/>
        </w:rPr>
      </w:pPr>
      <w:r w:rsidRPr="004E4139">
        <w:rPr>
          <w:b/>
          <w:highlight w:val="cyan"/>
        </w:rPr>
        <w:t>5) 3.5.</w:t>
      </w:r>
    </w:p>
    <w:p w:rsidR="00ED7269" w:rsidRDefault="004E4139" w:rsidP="00ED7269">
      <w:pPr>
        <w:rPr>
          <w:b/>
        </w:rPr>
      </w:pPr>
      <w:r>
        <w:rPr>
          <w:b/>
        </w:rPr>
        <w:t>VICHEREK – Ochrana zdraví pacienta</w:t>
      </w:r>
    </w:p>
    <w:p w:rsidR="004E4139" w:rsidRDefault="004E4139" w:rsidP="00ED7269">
      <w:pPr>
        <w:rPr>
          <w:b/>
        </w:rPr>
      </w:pPr>
      <w:r>
        <w:rPr>
          <w:b/>
        </w:rPr>
        <w:t>UNGROVÁ – Práva pacienta, transplantační zákon</w:t>
      </w:r>
    </w:p>
    <w:p w:rsidR="004E4139" w:rsidRPr="00875C28" w:rsidRDefault="0036062E" w:rsidP="00ED7269">
      <w:pPr>
        <w:rPr>
          <w:b/>
        </w:rPr>
      </w:pPr>
      <w:r>
        <w:rPr>
          <w:b/>
        </w:rPr>
        <w:t>MARTINCOVÁ – Právní prostředky ochrany veřejného zdraví ve vazbě na kvalitu zdravotní péče</w:t>
      </w:r>
    </w:p>
    <w:p w:rsidR="00ED7269" w:rsidRPr="00875C28" w:rsidRDefault="00FD33C5" w:rsidP="00ED7269">
      <w:pPr>
        <w:rPr>
          <w:b/>
        </w:rPr>
      </w:pPr>
      <w:r w:rsidRPr="00337DCC">
        <w:rPr>
          <w:b/>
          <w:highlight w:val="cyan"/>
        </w:rPr>
        <w:t>6</w:t>
      </w:r>
      <w:r w:rsidR="00ED7269" w:rsidRPr="00337DCC">
        <w:rPr>
          <w:b/>
          <w:highlight w:val="cyan"/>
        </w:rPr>
        <w:t xml:space="preserve">) </w:t>
      </w:r>
      <w:r w:rsidR="0036062E" w:rsidRPr="00337DCC">
        <w:rPr>
          <w:b/>
          <w:highlight w:val="cyan"/>
        </w:rPr>
        <w:t>17.5</w:t>
      </w:r>
      <w:r w:rsidR="00ED7269" w:rsidRPr="00875C28">
        <w:rPr>
          <w:b/>
        </w:rPr>
        <w:t xml:space="preserve">  </w:t>
      </w:r>
    </w:p>
    <w:p w:rsidR="00ED7269" w:rsidRDefault="0036062E" w:rsidP="00ED7269">
      <w:pPr>
        <w:rPr>
          <w:b/>
        </w:rPr>
      </w:pPr>
      <w:r w:rsidRPr="0036062E">
        <w:rPr>
          <w:b/>
        </w:rPr>
        <w:t>STRAKA – Ochrana veřejného zdraví ve vybraných zemích EU</w:t>
      </w:r>
      <w:r w:rsidR="00ED7269" w:rsidRPr="0036062E">
        <w:rPr>
          <w:b/>
        </w:rPr>
        <w:t xml:space="preserve"> </w:t>
      </w:r>
    </w:p>
    <w:p w:rsidR="0041763E" w:rsidRDefault="0041763E" w:rsidP="00ED7269">
      <w:pPr>
        <w:rPr>
          <w:b/>
        </w:rPr>
      </w:pPr>
      <w:r>
        <w:rPr>
          <w:b/>
        </w:rPr>
        <w:t>KUČEROVÁ – Ochrana veřejného zdraví před pasivním kouřením a jinými obdobnými zdroji ohrožení</w:t>
      </w:r>
    </w:p>
    <w:p w:rsidR="0041763E" w:rsidRDefault="0041763E" w:rsidP="00ED7269">
      <w:pPr>
        <w:rPr>
          <w:b/>
        </w:rPr>
      </w:pPr>
      <w:r>
        <w:rPr>
          <w:b/>
        </w:rPr>
        <w:t>COUFAL – Ochrana veřejného zdraví před nebezpečnými výrobky vč. stavebních materiálů</w:t>
      </w:r>
    </w:p>
    <w:p w:rsidR="006A3332" w:rsidRDefault="0041763E" w:rsidP="00ED7269">
      <w:pPr>
        <w:rPr>
          <w:b/>
        </w:rPr>
      </w:pPr>
      <w:r>
        <w:rPr>
          <w:b/>
        </w:rPr>
        <w:t>BUJOKOVÁ – Problematika úniku radonu</w:t>
      </w:r>
    </w:p>
    <w:p w:rsidR="00552DE8" w:rsidRPr="0041763E" w:rsidRDefault="00552DE8" w:rsidP="00ED7269">
      <w:pPr>
        <w:rPr>
          <w:b/>
        </w:rPr>
      </w:pPr>
      <w:r>
        <w:rPr>
          <w:b/>
        </w:rPr>
        <w:t>A DALŠÍ STUDENTI, KTEŘÍ NEPREZENTOVALI KOLOKVIÁLNÍ PRÁCI NA PŘEDCHOZÍCH SEMINÁŘÍCH</w:t>
      </w:r>
      <w:bookmarkStart w:id="0" w:name="_GoBack"/>
      <w:bookmarkEnd w:id="0"/>
    </w:p>
    <w:p w:rsidR="006A3332" w:rsidRDefault="006A3332" w:rsidP="00ED7269"/>
    <w:sectPr w:rsidR="006A3332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97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69"/>
    <w:rsid w:val="001064D7"/>
    <w:rsid w:val="001E5315"/>
    <w:rsid w:val="002C55F0"/>
    <w:rsid w:val="00337DCC"/>
    <w:rsid w:val="0036062E"/>
    <w:rsid w:val="00367729"/>
    <w:rsid w:val="003E6B00"/>
    <w:rsid w:val="0041763E"/>
    <w:rsid w:val="004E4139"/>
    <w:rsid w:val="00552DE8"/>
    <w:rsid w:val="00570B7B"/>
    <w:rsid w:val="00584475"/>
    <w:rsid w:val="006A3332"/>
    <w:rsid w:val="006C58D2"/>
    <w:rsid w:val="00783066"/>
    <w:rsid w:val="00875C28"/>
    <w:rsid w:val="0097550A"/>
    <w:rsid w:val="00976EBC"/>
    <w:rsid w:val="00A91C32"/>
    <w:rsid w:val="00AA43A1"/>
    <w:rsid w:val="00DB6C2D"/>
    <w:rsid w:val="00ED7269"/>
    <w:rsid w:val="00F92F60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83F1"/>
  <w15:chartTrackingRefBased/>
  <w15:docId w15:val="{455AEE59-72BB-4525-B3CC-6103874F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269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7269"/>
    <w:pPr>
      <w:keepNext/>
      <w:numPr>
        <w:numId w:val="1"/>
      </w:numPr>
      <w:spacing w:before="240" w:after="60" w:line="312" w:lineRule="auto"/>
      <w:jc w:val="both"/>
      <w:outlineLvl w:val="0"/>
    </w:pPr>
    <w:rPr>
      <w:rFonts w:ascii="Candara" w:hAnsi="Candara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7269"/>
    <w:pPr>
      <w:keepNext/>
      <w:numPr>
        <w:ilvl w:val="1"/>
        <w:numId w:val="1"/>
      </w:numPr>
      <w:spacing w:after="60" w:line="312" w:lineRule="auto"/>
      <w:jc w:val="both"/>
      <w:outlineLvl w:val="1"/>
    </w:pPr>
    <w:rPr>
      <w:rFonts w:ascii="Candara" w:hAnsi="Candara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7269"/>
    <w:pPr>
      <w:numPr>
        <w:ilvl w:val="2"/>
        <w:numId w:val="1"/>
      </w:numPr>
      <w:spacing w:after="60" w:line="312" w:lineRule="auto"/>
      <w:jc w:val="both"/>
      <w:outlineLvl w:val="2"/>
    </w:pPr>
    <w:rPr>
      <w:rFonts w:ascii="Candara" w:hAnsi="Candara"/>
      <w:b/>
      <w:szCs w:val="24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ED7269"/>
    <w:pPr>
      <w:numPr>
        <w:ilvl w:val="3"/>
      </w:numPr>
      <w:outlineLvl w:val="3"/>
    </w:pPr>
    <w:rPr>
      <w:b w:val="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7269"/>
    <w:pPr>
      <w:keepNext/>
      <w:keepLines/>
      <w:numPr>
        <w:ilvl w:val="4"/>
        <w:numId w:val="1"/>
      </w:numPr>
      <w:spacing w:before="200" w:after="60" w:line="312" w:lineRule="auto"/>
      <w:jc w:val="both"/>
      <w:outlineLvl w:val="4"/>
    </w:pPr>
    <w:rPr>
      <w:rFonts w:ascii="Cambria" w:hAnsi="Cambria"/>
      <w:color w:val="243F60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7269"/>
    <w:pPr>
      <w:keepNext/>
      <w:keepLines/>
      <w:numPr>
        <w:ilvl w:val="5"/>
        <w:numId w:val="1"/>
      </w:numPr>
      <w:spacing w:before="200" w:after="60" w:line="312" w:lineRule="auto"/>
      <w:jc w:val="both"/>
      <w:outlineLvl w:val="5"/>
    </w:pPr>
    <w:rPr>
      <w:rFonts w:ascii="Cambria" w:hAnsi="Cambria"/>
      <w:i/>
      <w:iCs/>
      <w:color w:val="243F60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7269"/>
    <w:pPr>
      <w:keepNext/>
      <w:keepLines/>
      <w:numPr>
        <w:ilvl w:val="6"/>
        <w:numId w:val="1"/>
      </w:numPr>
      <w:spacing w:before="200" w:after="60" w:line="312" w:lineRule="auto"/>
      <w:jc w:val="both"/>
      <w:outlineLvl w:val="6"/>
    </w:pPr>
    <w:rPr>
      <w:rFonts w:ascii="Cambria" w:hAnsi="Cambria"/>
      <w:i/>
      <w:iCs/>
      <w:color w:val="404040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7269"/>
    <w:pPr>
      <w:keepNext/>
      <w:keepLines/>
      <w:numPr>
        <w:ilvl w:val="7"/>
        <w:numId w:val="1"/>
      </w:numPr>
      <w:spacing w:before="200" w:after="60" w:line="312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7269"/>
    <w:pPr>
      <w:keepNext/>
      <w:keepLines/>
      <w:numPr>
        <w:ilvl w:val="8"/>
        <w:numId w:val="1"/>
      </w:numPr>
      <w:spacing w:before="200" w:after="60" w:line="312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7269"/>
    <w:rPr>
      <w:rFonts w:ascii="Candara" w:eastAsiaTheme="minorEastAsia" w:hAnsi="Candara" w:cs="Times New Roman"/>
      <w:b/>
      <w:bCs/>
      <w:cap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7269"/>
    <w:rPr>
      <w:rFonts w:ascii="Candara" w:eastAsiaTheme="minorEastAsia" w:hAnsi="Candara" w:cs="Times New Roman"/>
      <w:b/>
      <w:bCs/>
      <w:iCs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7269"/>
    <w:rPr>
      <w:rFonts w:ascii="Candara" w:eastAsiaTheme="minorEastAsia" w:hAnsi="Candara" w:cs="Times New Roman"/>
      <w:b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7269"/>
    <w:rPr>
      <w:rFonts w:ascii="Candara" w:eastAsiaTheme="minorEastAsia" w:hAnsi="Candara" w:cs="Times New Roman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7269"/>
    <w:rPr>
      <w:rFonts w:ascii="Cambria" w:eastAsiaTheme="minorEastAsia" w:hAnsi="Cambria" w:cs="Times New Roman"/>
      <w:color w:val="243F6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7269"/>
    <w:rPr>
      <w:rFonts w:ascii="Cambria" w:eastAsiaTheme="minorEastAsia" w:hAnsi="Cambria" w:cs="Times New Roman"/>
      <w:i/>
      <w:iCs/>
      <w:color w:val="243F6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7269"/>
    <w:rPr>
      <w:rFonts w:ascii="Cambria" w:eastAsiaTheme="minorEastAsia" w:hAnsi="Cambria" w:cs="Times New Roman"/>
      <w:i/>
      <w:iCs/>
      <w:color w:val="40404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7269"/>
    <w:rPr>
      <w:rFonts w:ascii="Cambria" w:eastAsiaTheme="minorEastAsia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7269"/>
    <w:rPr>
      <w:rFonts w:ascii="Cambria" w:eastAsiaTheme="minorEastAsia" w:hAnsi="Cambria" w:cs="Times New Roman"/>
      <w:i/>
      <w:iCs/>
      <w:color w:val="40404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B7B"/>
    <w:rPr>
      <w:rFonts w:ascii="Segoe UI" w:eastAsiaTheme="minorEastAsia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5C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96</cp:lastModifiedBy>
  <cp:revision>15</cp:revision>
  <cp:lastPrinted>2015-02-24T10:25:00Z</cp:lastPrinted>
  <dcterms:created xsi:type="dcterms:W3CDTF">2018-03-20T08:51:00Z</dcterms:created>
  <dcterms:modified xsi:type="dcterms:W3CDTF">2018-03-23T10:01:00Z</dcterms:modified>
</cp:coreProperties>
</file>