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68" w:rsidRPr="00AA0861" w:rsidRDefault="00BA3865" w:rsidP="00EC65D0">
      <w:pPr>
        <w:pStyle w:val="Nzev"/>
        <w:rPr>
          <w:lang w:val="en-US"/>
        </w:rPr>
      </w:pPr>
      <w:r w:rsidRPr="00AA0861">
        <w:rPr>
          <w:lang w:val="en-US"/>
        </w:rPr>
        <w:t xml:space="preserve">Constitutional </w:t>
      </w:r>
      <w:r w:rsidR="00921376" w:rsidRPr="00AA0861">
        <w:rPr>
          <w:lang w:val="en-US"/>
        </w:rPr>
        <w:t>Adjudication – Morphology, Genealogy and Legitimacy</w:t>
      </w:r>
    </w:p>
    <w:p w:rsidR="00C62A8E" w:rsidRPr="00AA0861" w:rsidRDefault="00921376" w:rsidP="00EC65D0">
      <w:pPr>
        <w:spacing w:after="0"/>
        <w:jc w:val="center"/>
        <w:rPr>
          <w:lang w:val="fr-FR"/>
        </w:rPr>
      </w:pPr>
      <w:r w:rsidRPr="00AA0861">
        <w:rPr>
          <w:lang w:val="fr-FR"/>
        </w:rPr>
        <w:t>Spring</w:t>
      </w:r>
      <w:r w:rsidR="00C62A8E" w:rsidRPr="00AA0861">
        <w:rPr>
          <w:lang w:val="fr-FR"/>
        </w:rPr>
        <w:t xml:space="preserve"> 201</w:t>
      </w:r>
      <w:r w:rsidRPr="00AA0861">
        <w:rPr>
          <w:lang w:val="fr-FR"/>
        </w:rPr>
        <w:t>4</w:t>
      </w:r>
    </w:p>
    <w:p w:rsidR="00C62A8E" w:rsidRPr="00AA0861" w:rsidRDefault="00C62A8E" w:rsidP="00EC65D0">
      <w:pPr>
        <w:spacing w:after="0"/>
        <w:jc w:val="center"/>
        <w:rPr>
          <w:b/>
          <w:lang w:val="fr-FR"/>
        </w:rPr>
      </w:pPr>
      <w:r w:rsidRPr="00AA0861">
        <w:rPr>
          <w:b/>
          <w:lang w:val="fr-FR"/>
        </w:rPr>
        <w:t>S</w:t>
      </w:r>
      <w:r w:rsidR="002D720F" w:rsidRPr="00AA0861">
        <w:rPr>
          <w:b/>
          <w:lang w:val="fr-FR"/>
        </w:rPr>
        <w:t>yl</w:t>
      </w:r>
      <w:r w:rsidR="006F22D3" w:rsidRPr="00AA0861">
        <w:rPr>
          <w:b/>
          <w:lang w:val="fr-FR"/>
        </w:rPr>
        <w:t>l</w:t>
      </w:r>
      <w:r w:rsidRPr="00AA0861">
        <w:rPr>
          <w:b/>
          <w:lang w:val="fr-FR"/>
        </w:rPr>
        <w:t>abus</w:t>
      </w:r>
    </w:p>
    <w:p w:rsidR="00C62A8E" w:rsidRPr="00AA0861" w:rsidRDefault="00C62A8E" w:rsidP="00EC65D0">
      <w:pPr>
        <w:spacing w:after="0"/>
        <w:rPr>
          <w:lang w:val="fr-FR"/>
        </w:rPr>
      </w:pPr>
    </w:p>
    <w:p w:rsidR="005550B4" w:rsidRPr="00AA0861" w:rsidRDefault="00BA3865" w:rsidP="00BA3865">
      <w:pPr>
        <w:spacing w:after="0"/>
        <w:jc w:val="center"/>
        <w:rPr>
          <w:lang w:val="fr-FR"/>
        </w:rPr>
      </w:pPr>
      <w:r w:rsidRPr="00AA0861">
        <w:rPr>
          <w:lang w:val="fr-FR"/>
        </w:rPr>
        <w:t>Lecturer</w:t>
      </w:r>
      <w:r w:rsidR="00C62A8E" w:rsidRPr="00AA0861">
        <w:rPr>
          <w:lang w:val="fr-FR"/>
        </w:rPr>
        <w:t xml:space="preserve">: </w:t>
      </w:r>
      <w:r w:rsidR="001C119A" w:rsidRPr="00AA0861">
        <w:rPr>
          <w:lang w:val="fr-FR"/>
        </w:rPr>
        <w:t>David Kosař</w:t>
      </w:r>
      <w:r w:rsidR="00B34B68" w:rsidRPr="00AA0861">
        <w:rPr>
          <w:lang w:val="fr-FR"/>
        </w:rPr>
        <w:t xml:space="preserve"> </w:t>
      </w:r>
      <w:r w:rsidR="00C62A8E" w:rsidRPr="00AA0861">
        <w:rPr>
          <w:lang w:val="fr-FR"/>
        </w:rPr>
        <w:t>(</w:t>
      </w:r>
      <w:hyperlink r:id="rId8" w:history="1">
        <w:r w:rsidR="00C62A8E" w:rsidRPr="00AA0861">
          <w:rPr>
            <w:rStyle w:val="Hypertextovodkaz"/>
            <w:lang w:val="fr-FR"/>
          </w:rPr>
          <w:t>4775@mail.muni.cz</w:t>
        </w:r>
      </w:hyperlink>
      <w:r w:rsidR="00C62A8E" w:rsidRPr="00AA0861">
        <w:rPr>
          <w:lang w:val="fr-FR"/>
        </w:rPr>
        <w:t>)</w:t>
      </w:r>
    </w:p>
    <w:p w:rsidR="006F22D3" w:rsidRPr="00AA0861" w:rsidRDefault="006F22D3" w:rsidP="00BA3865">
      <w:pPr>
        <w:spacing w:after="0"/>
        <w:jc w:val="center"/>
        <w:rPr>
          <w:lang w:val="fr-FR"/>
        </w:rPr>
      </w:pPr>
    </w:p>
    <w:p w:rsidR="006F22D3" w:rsidRPr="00AA0861" w:rsidRDefault="006F22D3" w:rsidP="00BA3865">
      <w:pPr>
        <w:spacing w:after="0"/>
        <w:jc w:val="center"/>
        <w:rPr>
          <w:lang w:val="en-US"/>
        </w:rPr>
      </w:pPr>
      <w:r w:rsidRPr="00AA0861">
        <w:rPr>
          <w:lang w:val="en-US"/>
        </w:rPr>
        <w:t xml:space="preserve">Class: </w:t>
      </w:r>
      <w:r w:rsidR="00921376" w:rsidRPr="00AA0861">
        <w:rPr>
          <w:lang w:val="en-US"/>
        </w:rPr>
        <w:t>[DAY]</w:t>
      </w:r>
      <w:r w:rsidRPr="00AA0861">
        <w:rPr>
          <w:lang w:val="en-US"/>
        </w:rPr>
        <w:t xml:space="preserve">, </w:t>
      </w:r>
      <w:r w:rsidR="00921376" w:rsidRPr="00AA0861">
        <w:rPr>
          <w:lang w:val="en-US"/>
        </w:rPr>
        <w:t>[HOUR]</w:t>
      </w:r>
      <w:r w:rsidRPr="00AA0861">
        <w:rPr>
          <w:lang w:val="en-US"/>
        </w:rPr>
        <w:t xml:space="preserve">, Room </w:t>
      </w:r>
      <w:r w:rsidR="00921376" w:rsidRPr="00AA0861">
        <w:rPr>
          <w:lang w:val="en-US"/>
        </w:rPr>
        <w:t>[TBA]</w:t>
      </w:r>
    </w:p>
    <w:p w:rsidR="006F22D3" w:rsidRPr="00AA0861" w:rsidRDefault="006F22D3" w:rsidP="00BA3865">
      <w:pPr>
        <w:spacing w:after="0"/>
        <w:jc w:val="center"/>
        <w:rPr>
          <w:lang w:val="en-US"/>
        </w:rPr>
      </w:pPr>
      <w:r w:rsidRPr="00AA0861">
        <w:rPr>
          <w:lang w:val="en-US"/>
        </w:rPr>
        <w:t xml:space="preserve">Office hours: </w:t>
      </w:r>
      <w:r w:rsidR="00921376" w:rsidRPr="00AA0861">
        <w:rPr>
          <w:lang w:val="en-US"/>
        </w:rPr>
        <w:t>[TBA]</w:t>
      </w:r>
    </w:p>
    <w:p w:rsidR="006F22D3" w:rsidRPr="00AA0861" w:rsidRDefault="006F22D3" w:rsidP="00BA3865">
      <w:pPr>
        <w:spacing w:after="0"/>
        <w:jc w:val="center"/>
        <w:rPr>
          <w:lang w:val="en-US"/>
        </w:rPr>
      </w:pPr>
      <w:r w:rsidRPr="00AA0861">
        <w:rPr>
          <w:lang w:val="en-US"/>
        </w:rPr>
        <w:t>e-mail: david.kosar@law.muni.cz</w:t>
      </w:r>
    </w:p>
    <w:p w:rsidR="00C62A8E" w:rsidRPr="00AA0861" w:rsidRDefault="00C62A8E" w:rsidP="00EC65D0">
      <w:pPr>
        <w:spacing w:after="0"/>
        <w:rPr>
          <w:lang w:val="en-US"/>
        </w:rPr>
      </w:pPr>
    </w:p>
    <w:p w:rsidR="00454321" w:rsidRPr="00AA0861" w:rsidRDefault="00454321" w:rsidP="00EC65D0">
      <w:pPr>
        <w:pStyle w:val="Nadpis1"/>
        <w:spacing w:before="0" w:after="0"/>
        <w:rPr>
          <w:rFonts w:cs="Times New Roman"/>
          <w:szCs w:val="24"/>
          <w:lang w:val="en-US"/>
        </w:rPr>
      </w:pPr>
    </w:p>
    <w:p w:rsidR="008A45B1" w:rsidRPr="00AA0861" w:rsidRDefault="00471748" w:rsidP="00EC65D0">
      <w:pPr>
        <w:pStyle w:val="Nadpis1"/>
        <w:spacing w:before="0" w:after="0"/>
        <w:rPr>
          <w:rFonts w:cs="Times New Roman"/>
          <w:szCs w:val="24"/>
          <w:lang w:val="en-US"/>
        </w:rPr>
      </w:pPr>
      <w:r w:rsidRPr="00AA0861">
        <w:rPr>
          <w:rFonts w:cs="Times New Roman"/>
          <w:szCs w:val="24"/>
          <w:lang w:val="en-US"/>
        </w:rPr>
        <w:t>Course Summary</w:t>
      </w:r>
      <w:r w:rsidR="008A45B1" w:rsidRPr="00AA0861">
        <w:rPr>
          <w:rFonts w:cs="Times New Roman"/>
          <w:szCs w:val="24"/>
          <w:lang w:val="en-US"/>
        </w:rPr>
        <w:t xml:space="preserve">: </w:t>
      </w:r>
    </w:p>
    <w:p w:rsidR="00921376" w:rsidRPr="00AA0861" w:rsidRDefault="00921376" w:rsidP="00921376">
      <w:pPr>
        <w:pStyle w:val="Prosttext"/>
        <w:jc w:val="both"/>
        <w:rPr>
          <w:lang w:val="en-US"/>
        </w:rPr>
      </w:pPr>
    </w:p>
    <w:p w:rsidR="00921376" w:rsidRPr="00AA0861" w:rsidRDefault="00921376" w:rsidP="00921376">
      <w:pPr>
        <w:pStyle w:val="Prosttext"/>
        <w:jc w:val="both"/>
        <w:rPr>
          <w:lang w:val="en-US"/>
        </w:rPr>
      </w:pPr>
      <w:r w:rsidRPr="00AA0861">
        <w:rPr>
          <w:lang w:val="en-US"/>
        </w:rPr>
        <w:t xml:space="preserve">Constitutional democracy is nowadays the dominant form of representative government in the world. Of this regime there is no comprehensive political theory. Next to political branches, elected and accountable to the voters through competitive elections, this form of government encompasses judicial organs exercising normative power through constitutional adjudication. This aspect of the judicial review will be analyzed considering the functions of Constitutional/Supreme courts in the world (focusing mainly on the countries that have, outside the US, the longest experience). Using an ideal typical taxonomy based on mechanisms of referral we will distinguish different effects of Courts’ decisions on the working of the political and constitutional system. Some attention will be devoted at the historical origin of constitutional adjudication. Next to the main descriptive dimension of the seminar we will discuss the old question of the legitimacy of non-elected and non-accountable (to the voters) organs in democratic societies. </w:t>
      </w:r>
    </w:p>
    <w:p w:rsidR="00921376" w:rsidRPr="00AA0861" w:rsidRDefault="00921376" w:rsidP="00921376">
      <w:pPr>
        <w:pStyle w:val="Prosttext"/>
        <w:ind w:firstLine="708"/>
        <w:jc w:val="both"/>
        <w:rPr>
          <w:lang w:val="en-US"/>
        </w:rPr>
      </w:pPr>
    </w:p>
    <w:p w:rsidR="00921376" w:rsidRPr="00AA0861" w:rsidRDefault="00921376" w:rsidP="00921376">
      <w:pPr>
        <w:pStyle w:val="Prosttext"/>
        <w:jc w:val="both"/>
        <w:rPr>
          <w:lang w:val="en-US"/>
        </w:rPr>
      </w:pPr>
      <w:r w:rsidRPr="00AA0861">
        <w:rPr>
          <w:lang w:val="en-US"/>
        </w:rPr>
        <w:t xml:space="preserve">The institution that we will spend the most time studying is the Constitutional Court, which was invented in Austria following World War I, as a part of the new Austrian constitutional government. It was then “reinvented” following the Second World War in Germany and Italy and has been copied widely. But there are also other traditions of constitutional adjudication which locate the power to conduct constitutional review in a Supreme Court (which has also other judicial functions) as is done in the United States and Canada. Indeed there are much older traditions of constitutional adjudication that can be traced far back in history. </w:t>
      </w:r>
    </w:p>
    <w:p w:rsidR="00921376" w:rsidRDefault="00921376" w:rsidP="00921376">
      <w:pPr>
        <w:pStyle w:val="Prosttext"/>
        <w:ind w:firstLine="708"/>
        <w:jc w:val="both"/>
        <w:rPr>
          <w:lang w:val="en-US"/>
        </w:rPr>
      </w:pPr>
    </w:p>
    <w:p w:rsidR="00AA0861" w:rsidRDefault="00AA0861" w:rsidP="00921376">
      <w:pPr>
        <w:pStyle w:val="Prosttext"/>
        <w:ind w:firstLine="708"/>
        <w:jc w:val="both"/>
        <w:rPr>
          <w:lang w:val="en-US"/>
        </w:rPr>
      </w:pPr>
    </w:p>
    <w:p w:rsidR="003E71DC" w:rsidRPr="00AA0861" w:rsidRDefault="00102056" w:rsidP="00EC65D0">
      <w:pPr>
        <w:pStyle w:val="Nadpis1"/>
        <w:spacing w:before="0" w:after="0"/>
        <w:jc w:val="both"/>
        <w:rPr>
          <w:rFonts w:cs="Times New Roman"/>
          <w:szCs w:val="24"/>
          <w:lang w:val="en-US"/>
        </w:rPr>
      </w:pPr>
      <w:r w:rsidRPr="00AA0861">
        <w:rPr>
          <w:rFonts w:cs="Times New Roman"/>
          <w:szCs w:val="24"/>
          <w:lang w:val="en-US"/>
        </w:rPr>
        <w:t>Course Outline</w:t>
      </w:r>
      <w:r w:rsidR="003E71DC" w:rsidRPr="00AA0861">
        <w:rPr>
          <w:rFonts w:cs="Times New Roman"/>
          <w:szCs w:val="24"/>
          <w:lang w:val="en-US"/>
        </w:rPr>
        <w:t xml:space="preserve">: </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Class 1: Introduction</w:t>
      </w:r>
      <w:r w:rsidR="004B5499" w:rsidRPr="00AA0861">
        <w:rPr>
          <w:rFonts w:cs="Times New Roman"/>
          <w:b w:val="0"/>
          <w:szCs w:val="24"/>
          <w:lang w:val="en-US"/>
        </w:rPr>
        <w:t xml:space="preserve"> –</w:t>
      </w:r>
      <w:r w:rsidRPr="00AA0861">
        <w:rPr>
          <w:rFonts w:cs="Times New Roman"/>
          <w:b w:val="0"/>
          <w:szCs w:val="24"/>
          <w:lang w:val="en-US"/>
        </w:rPr>
        <w:t xml:space="preserve"> </w:t>
      </w:r>
      <w:r w:rsidR="00A1387C" w:rsidRPr="00AA0861">
        <w:rPr>
          <w:b w:val="0"/>
          <w:lang w:val="en-US"/>
        </w:rPr>
        <w:t>t</w:t>
      </w:r>
      <w:r w:rsidR="004B5499" w:rsidRPr="00AA0861">
        <w:rPr>
          <w:b w:val="0"/>
          <w:lang w:val="en-US"/>
        </w:rPr>
        <w:t xml:space="preserve">ypology of </w:t>
      </w:r>
      <w:r w:rsidR="00A1387C" w:rsidRPr="00AA0861">
        <w:rPr>
          <w:b w:val="0"/>
          <w:lang w:val="en-US"/>
        </w:rPr>
        <w:t>c</w:t>
      </w:r>
      <w:r w:rsidR="004B5499" w:rsidRPr="00AA0861">
        <w:rPr>
          <w:b w:val="0"/>
          <w:lang w:val="en-US"/>
        </w:rPr>
        <w:t xml:space="preserve">onstitutional </w:t>
      </w:r>
      <w:r w:rsidR="00A1387C" w:rsidRPr="00AA0861">
        <w:rPr>
          <w:b w:val="0"/>
          <w:lang w:val="en-US"/>
        </w:rPr>
        <w:t>a</w:t>
      </w:r>
      <w:r w:rsidR="004B5499" w:rsidRPr="00AA0861">
        <w:rPr>
          <w:b w:val="0"/>
          <w:lang w:val="en-US"/>
        </w:rPr>
        <w:t>djudication</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2: </w:t>
      </w:r>
      <w:r w:rsidR="004B5499" w:rsidRPr="00AA0861">
        <w:rPr>
          <w:b w:val="0"/>
          <w:lang w:val="en-US"/>
        </w:rPr>
        <w:t>Italy – the Constitutional Court as judge of applied law</w:t>
      </w:r>
      <w:r w:rsidRPr="00AA0861">
        <w:rPr>
          <w:rFonts w:cs="Times New Roman"/>
          <w:b w:val="0"/>
          <w:szCs w:val="24"/>
          <w:lang w:val="en-US"/>
        </w:rPr>
        <w:t xml:space="preserve"> </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3: </w:t>
      </w:r>
      <w:r w:rsidR="004B5499" w:rsidRPr="00AA0861">
        <w:rPr>
          <w:b w:val="0"/>
          <w:lang w:val="en-US"/>
        </w:rPr>
        <w:t>Germany – constitutional complaints</w:t>
      </w:r>
      <w:r w:rsidRPr="00AA0861">
        <w:rPr>
          <w:rFonts w:cs="Times New Roman"/>
          <w:b w:val="0"/>
          <w:szCs w:val="24"/>
          <w:lang w:val="en-US"/>
        </w:rPr>
        <w:t xml:space="preserve"> </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4: </w:t>
      </w:r>
      <w:r w:rsidR="004B5499" w:rsidRPr="00AA0861">
        <w:rPr>
          <w:b w:val="0"/>
          <w:lang w:val="en-US"/>
        </w:rPr>
        <w:t xml:space="preserve">France – </w:t>
      </w:r>
      <w:r w:rsidR="00A1387C" w:rsidRPr="00AA0861">
        <w:rPr>
          <w:b w:val="0"/>
          <w:lang w:val="en-US"/>
        </w:rPr>
        <w:t xml:space="preserve">from </w:t>
      </w:r>
      <w:r w:rsidR="004B5499" w:rsidRPr="00AA0861">
        <w:rPr>
          <w:b w:val="0"/>
          <w:i/>
          <w:lang w:val="en-US"/>
        </w:rPr>
        <w:t>saisine parlementaire</w:t>
      </w:r>
      <w:r w:rsidRPr="00AA0861">
        <w:rPr>
          <w:rFonts w:cs="Times New Roman"/>
          <w:b w:val="0"/>
          <w:szCs w:val="24"/>
          <w:lang w:val="en-US"/>
        </w:rPr>
        <w:t xml:space="preserve"> </w:t>
      </w:r>
      <w:r w:rsidR="00A1387C" w:rsidRPr="00AA0861">
        <w:rPr>
          <w:rFonts w:cs="Times New Roman"/>
          <w:b w:val="0"/>
          <w:szCs w:val="24"/>
          <w:lang w:val="en-US"/>
        </w:rPr>
        <w:t xml:space="preserve">to </w:t>
      </w:r>
      <w:r w:rsidR="00A1387C" w:rsidRPr="00AA0861">
        <w:rPr>
          <w:b w:val="0"/>
          <w:i/>
          <w:lang w:val="en-US"/>
        </w:rPr>
        <w:t>QPC</w:t>
      </w:r>
      <w:r w:rsidR="00A1387C" w:rsidRPr="00AA0861">
        <w:rPr>
          <w:b w:val="0"/>
          <w:lang w:val="en-US"/>
        </w:rPr>
        <w:t xml:space="preserve"> </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5: </w:t>
      </w:r>
      <w:r w:rsidR="00A1387C" w:rsidRPr="00AA0861">
        <w:rPr>
          <w:rFonts w:cs="Times New Roman"/>
          <w:b w:val="0"/>
          <w:szCs w:val="24"/>
          <w:lang w:val="en-US"/>
        </w:rPr>
        <w:t>United States –</w:t>
      </w:r>
      <w:r w:rsidR="00F7590B" w:rsidRPr="00AA0861">
        <w:rPr>
          <w:rFonts w:cs="Times New Roman"/>
          <w:b w:val="0"/>
          <w:szCs w:val="24"/>
          <w:lang w:val="en-US"/>
        </w:rPr>
        <w:t xml:space="preserve"> </w:t>
      </w:r>
      <w:r w:rsidR="00A1387C" w:rsidRPr="00AA0861">
        <w:rPr>
          <w:rFonts w:cs="Times New Roman"/>
          <w:b w:val="0"/>
          <w:szCs w:val="24"/>
          <w:lang w:val="en-US"/>
        </w:rPr>
        <w:t>judicial review</w:t>
      </w:r>
      <w:r w:rsidR="004B5499" w:rsidRPr="00AA0861">
        <w:rPr>
          <w:b w:val="0"/>
          <w:lang w:val="en-US"/>
        </w:rPr>
        <w:t xml:space="preserve"> </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Class 6:</w:t>
      </w:r>
      <w:r w:rsidR="004B5499" w:rsidRPr="00AA0861">
        <w:rPr>
          <w:rFonts w:cs="Times New Roman"/>
          <w:b w:val="0"/>
          <w:szCs w:val="24"/>
          <w:lang w:val="en-US"/>
        </w:rPr>
        <w:t xml:space="preserve"> </w:t>
      </w:r>
      <w:r w:rsidR="00A1387C" w:rsidRPr="00AA0861">
        <w:rPr>
          <w:b w:val="0"/>
          <w:lang w:val="en-US"/>
        </w:rPr>
        <w:t>Commonwealth model I. – Canada</w:t>
      </w:r>
      <w:r w:rsidRPr="00AA0861">
        <w:rPr>
          <w:rFonts w:cs="Times New Roman"/>
          <w:b w:val="0"/>
          <w:szCs w:val="24"/>
          <w:lang w:val="en-US"/>
        </w:rPr>
        <w:t xml:space="preserve"> </w:t>
      </w:r>
      <w:r w:rsidR="00097FE5" w:rsidRPr="00AA0861">
        <w:rPr>
          <w:b w:val="0"/>
          <w:lang w:val="en-US"/>
        </w:rPr>
        <w:t>(“moderate judicial review”)</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7: </w:t>
      </w:r>
      <w:r w:rsidR="00A1387C" w:rsidRPr="00AA0861">
        <w:rPr>
          <w:b w:val="0"/>
          <w:lang w:val="en-US"/>
        </w:rPr>
        <w:t>Commonwealth model II. – New Zealand, UK, Australia (“weak judicial review”)</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8: </w:t>
      </w:r>
      <w:r w:rsidR="00A1387C" w:rsidRPr="00AA0861">
        <w:rPr>
          <w:rFonts w:cs="Times New Roman"/>
          <w:b w:val="0"/>
          <w:szCs w:val="24"/>
          <w:lang w:val="en-US"/>
        </w:rPr>
        <w:t>South Africa – constitutional court in the one-party State</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9: </w:t>
      </w:r>
      <w:r w:rsidR="00A1387C" w:rsidRPr="00AA0861">
        <w:rPr>
          <w:rFonts w:cs="Times New Roman"/>
          <w:b w:val="0"/>
          <w:szCs w:val="24"/>
          <w:lang w:val="en-US"/>
        </w:rPr>
        <w:t>Israel – strong judicial review without a written constitution</w:t>
      </w:r>
    </w:p>
    <w:p w:rsidR="00102056"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Classes 10-11: </w:t>
      </w:r>
      <w:r w:rsidR="00A1387C" w:rsidRPr="00AA0861">
        <w:rPr>
          <w:rFonts w:cs="Times New Roman"/>
          <w:b w:val="0"/>
          <w:szCs w:val="24"/>
          <w:lang w:val="en-US"/>
        </w:rPr>
        <w:t>s</w:t>
      </w:r>
      <w:r w:rsidRPr="00AA0861">
        <w:rPr>
          <w:rFonts w:cs="Times New Roman"/>
          <w:b w:val="0"/>
          <w:szCs w:val="24"/>
          <w:lang w:val="en-US"/>
        </w:rPr>
        <w:t xml:space="preserve">tudent presentations of outlines </w:t>
      </w:r>
    </w:p>
    <w:p w:rsidR="003B7140" w:rsidRPr="00AA0861" w:rsidRDefault="00102056" w:rsidP="00C84859">
      <w:pPr>
        <w:pStyle w:val="Nadpis1"/>
        <w:spacing w:before="0" w:after="0"/>
        <w:jc w:val="both"/>
        <w:rPr>
          <w:rFonts w:cs="Times New Roman"/>
          <w:b w:val="0"/>
          <w:szCs w:val="24"/>
          <w:lang w:val="en-US"/>
        </w:rPr>
      </w:pPr>
      <w:r w:rsidRPr="00AA0861">
        <w:rPr>
          <w:rFonts w:cs="Times New Roman"/>
          <w:b w:val="0"/>
          <w:szCs w:val="24"/>
          <w:lang w:val="en-US"/>
        </w:rPr>
        <w:t xml:space="preserve">Class 12: </w:t>
      </w:r>
      <w:r w:rsidR="004B5499" w:rsidRPr="00AA0861">
        <w:rPr>
          <w:b w:val="0"/>
          <w:lang w:val="en-US"/>
        </w:rPr>
        <w:t xml:space="preserve">Legitimacy of </w:t>
      </w:r>
      <w:r w:rsidR="00A1387C" w:rsidRPr="00AA0861">
        <w:rPr>
          <w:b w:val="0"/>
          <w:lang w:val="en-US"/>
        </w:rPr>
        <w:t>c</w:t>
      </w:r>
      <w:r w:rsidR="004B5499" w:rsidRPr="00AA0861">
        <w:rPr>
          <w:b w:val="0"/>
          <w:lang w:val="en-US"/>
        </w:rPr>
        <w:t xml:space="preserve">onstitutional </w:t>
      </w:r>
      <w:r w:rsidR="00A1387C" w:rsidRPr="00AA0861">
        <w:rPr>
          <w:b w:val="0"/>
          <w:lang w:val="en-US"/>
        </w:rPr>
        <w:t>a</w:t>
      </w:r>
      <w:r w:rsidR="004B5499" w:rsidRPr="00AA0861">
        <w:rPr>
          <w:b w:val="0"/>
          <w:lang w:val="en-US"/>
        </w:rPr>
        <w:t>djudication</w:t>
      </w:r>
      <w:r w:rsidR="00A1387C" w:rsidRPr="00AA0861">
        <w:rPr>
          <w:rFonts w:cs="Times New Roman"/>
          <w:b w:val="0"/>
          <w:szCs w:val="24"/>
          <w:lang w:val="en-US"/>
        </w:rPr>
        <w:t xml:space="preserve"> –</w:t>
      </w:r>
      <w:r w:rsidR="004B5499" w:rsidRPr="00AA0861">
        <w:rPr>
          <w:rFonts w:cs="Times New Roman"/>
          <w:b w:val="0"/>
          <w:szCs w:val="24"/>
          <w:lang w:val="en-US"/>
        </w:rPr>
        <w:t xml:space="preserve"> </w:t>
      </w:r>
      <w:r w:rsidR="00A1387C" w:rsidRPr="00AA0861">
        <w:rPr>
          <w:rFonts w:cs="Times New Roman"/>
          <w:b w:val="0"/>
          <w:szCs w:val="24"/>
          <w:lang w:val="en-US"/>
        </w:rPr>
        <w:t>s</w:t>
      </w:r>
      <w:r w:rsidRPr="00AA0861">
        <w:rPr>
          <w:rFonts w:cs="Times New Roman"/>
          <w:b w:val="0"/>
          <w:szCs w:val="24"/>
          <w:lang w:val="en-US"/>
        </w:rPr>
        <w:t>ummation and reflections</w:t>
      </w:r>
    </w:p>
    <w:p w:rsidR="00C84859" w:rsidRDefault="00C84859" w:rsidP="00C84859">
      <w:pPr>
        <w:pStyle w:val="Nadpis1"/>
        <w:spacing w:before="0" w:after="0"/>
        <w:jc w:val="both"/>
        <w:rPr>
          <w:rFonts w:cs="Times New Roman"/>
          <w:szCs w:val="24"/>
          <w:lang w:val="en-US"/>
        </w:rPr>
      </w:pPr>
    </w:p>
    <w:p w:rsidR="00AA0861" w:rsidRPr="00AA0861" w:rsidRDefault="00AA0861" w:rsidP="00AA0861">
      <w:pPr>
        <w:rPr>
          <w:lang w:val="en-US"/>
        </w:rPr>
      </w:pPr>
    </w:p>
    <w:p w:rsidR="006F22D3" w:rsidRPr="00AA0861" w:rsidRDefault="00A061CA" w:rsidP="006F22D3">
      <w:pPr>
        <w:autoSpaceDE w:val="0"/>
        <w:autoSpaceDN w:val="0"/>
        <w:adjustRightInd w:val="0"/>
        <w:spacing w:after="0"/>
        <w:jc w:val="left"/>
        <w:rPr>
          <w:lang w:val="en-US"/>
        </w:rPr>
      </w:pPr>
      <w:r w:rsidRPr="00AA0861">
        <w:rPr>
          <w:b/>
          <w:bCs/>
          <w:lang w:val="en-US"/>
        </w:rPr>
        <w:lastRenderedPageBreak/>
        <w:t>Requirements</w:t>
      </w:r>
      <w:r w:rsidR="006F22D3" w:rsidRPr="00AA0861">
        <w:rPr>
          <w:lang w:val="en-US"/>
        </w:rPr>
        <w:t>:</w:t>
      </w:r>
    </w:p>
    <w:p w:rsidR="006F22D3" w:rsidRPr="00AA0861" w:rsidRDefault="006F22D3" w:rsidP="00102056">
      <w:pPr>
        <w:autoSpaceDE w:val="0"/>
        <w:autoSpaceDN w:val="0"/>
        <w:adjustRightInd w:val="0"/>
        <w:spacing w:after="0"/>
        <w:rPr>
          <w:lang w:val="en-US"/>
        </w:rPr>
      </w:pPr>
      <w:r w:rsidRPr="00AA0861">
        <w:rPr>
          <w:u w:val="single"/>
          <w:lang w:val="en-US"/>
        </w:rPr>
        <w:t>Prerequisite:</w:t>
      </w:r>
      <w:r w:rsidRPr="00AA0861">
        <w:rPr>
          <w:lang w:val="en-US"/>
        </w:rPr>
        <w:t xml:space="preserve"> </w:t>
      </w:r>
      <w:r w:rsidR="00102056" w:rsidRPr="00AA0861">
        <w:rPr>
          <w:lang w:val="en-US"/>
        </w:rPr>
        <w:t>An introductory course in constitutional law in student’s home country (can be waived</w:t>
      </w:r>
      <w:r w:rsidR="00A061CA" w:rsidRPr="00AA0861">
        <w:rPr>
          <w:lang w:val="en-US"/>
        </w:rPr>
        <w:t xml:space="preserve"> under exceptional circumstances</w:t>
      </w:r>
      <w:r w:rsidR="00102056" w:rsidRPr="00AA0861">
        <w:rPr>
          <w:lang w:val="en-US"/>
        </w:rPr>
        <w:t>).</w:t>
      </w:r>
    </w:p>
    <w:p w:rsidR="006F22D3" w:rsidRPr="00AA0861" w:rsidRDefault="006F22D3" w:rsidP="00102056">
      <w:pPr>
        <w:autoSpaceDE w:val="0"/>
        <w:autoSpaceDN w:val="0"/>
        <w:adjustRightInd w:val="0"/>
        <w:spacing w:after="0"/>
        <w:rPr>
          <w:lang w:val="en-US"/>
        </w:rPr>
      </w:pPr>
      <w:r w:rsidRPr="00AA0861">
        <w:rPr>
          <w:u w:val="single"/>
          <w:lang w:val="en-US"/>
        </w:rPr>
        <w:t>Recommended:</w:t>
      </w:r>
      <w:r w:rsidRPr="00AA0861">
        <w:rPr>
          <w:lang w:val="en-US"/>
        </w:rPr>
        <w:t xml:space="preserve"> Acquaintance with the basic constitutional history and architecture of one or</w:t>
      </w:r>
      <w:r w:rsidR="00102056" w:rsidRPr="00AA0861">
        <w:rPr>
          <w:lang w:val="en-US"/>
        </w:rPr>
        <w:t xml:space="preserve"> </w:t>
      </w:r>
      <w:r w:rsidRPr="00AA0861">
        <w:rPr>
          <w:lang w:val="en-US"/>
        </w:rPr>
        <w:t>more countries other than the student's home country is recommended, as are keen interest in</w:t>
      </w:r>
      <w:r w:rsidR="00102056" w:rsidRPr="00AA0861">
        <w:rPr>
          <w:lang w:val="en-US"/>
        </w:rPr>
        <w:t xml:space="preserve"> </w:t>
      </w:r>
      <w:r w:rsidRPr="00AA0861">
        <w:rPr>
          <w:lang w:val="en-US"/>
        </w:rPr>
        <w:t>comparative constitutionalism. Throughout the course,</w:t>
      </w:r>
      <w:r w:rsidR="00102056" w:rsidRPr="00AA0861">
        <w:rPr>
          <w:lang w:val="en-US"/>
        </w:rPr>
        <w:t xml:space="preserve"> </w:t>
      </w:r>
      <w:r w:rsidRPr="00AA0861">
        <w:rPr>
          <w:lang w:val="en-US"/>
        </w:rPr>
        <w:t>we will occasionally touch upon essentials of constitutional theory. No prior background in this</w:t>
      </w:r>
      <w:r w:rsidR="00102056" w:rsidRPr="00AA0861">
        <w:rPr>
          <w:lang w:val="en-US"/>
        </w:rPr>
        <w:t xml:space="preserve"> </w:t>
      </w:r>
      <w:r w:rsidRPr="00AA0861">
        <w:rPr>
          <w:lang w:val="en-US"/>
        </w:rPr>
        <w:t>area is required.</w:t>
      </w:r>
    </w:p>
    <w:p w:rsidR="00102056" w:rsidRPr="00AA0861" w:rsidRDefault="00102056" w:rsidP="00102056">
      <w:pPr>
        <w:autoSpaceDE w:val="0"/>
        <w:autoSpaceDN w:val="0"/>
        <w:adjustRightInd w:val="0"/>
        <w:spacing w:after="0"/>
        <w:rPr>
          <w:lang w:val="en-US"/>
        </w:rPr>
      </w:pPr>
    </w:p>
    <w:p w:rsidR="00A061CA" w:rsidRPr="00AA0861" w:rsidRDefault="00A061CA" w:rsidP="00102056">
      <w:pPr>
        <w:autoSpaceDE w:val="0"/>
        <w:autoSpaceDN w:val="0"/>
        <w:adjustRightInd w:val="0"/>
        <w:spacing w:after="0"/>
        <w:rPr>
          <w:lang w:val="en-US"/>
        </w:rPr>
      </w:pPr>
      <w:r w:rsidRPr="00AA0861">
        <w:rPr>
          <w:b/>
          <w:bCs/>
          <w:lang w:val="en-US"/>
        </w:rPr>
        <w:t>Evaluation:</w:t>
      </w:r>
    </w:p>
    <w:p w:rsidR="006F22D3" w:rsidRPr="00AA0861" w:rsidRDefault="006F22D3" w:rsidP="00102056">
      <w:pPr>
        <w:autoSpaceDE w:val="0"/>
        <w:autoSpaceDN w:val="0"/>
        <w:adjustRightInd w:val="0"/>
        <w:spacing w:after="0"/>
        <w:rPr>
          <w:lang w:val="en-US"/>
        </w:rPr>
      </w:pPr>
      <w:r w:rsidRPr="00AA0861">
        <w:rPr>
          <w:lang w:val="en-US"/>
        </w:rPr>
        <w:t xml:space="preserve">• </w:t>
      </w:r>
      <w:r w:rsidRPr="00AA0861">
        <w:rPr>
          <w:u w:val="single"/>
          <w:lang w:val="en-US"/>
        </w:rPr>
        <w:t>Class attendance and participation (15%)</w:t>
      </w:r>
      <w:r w:rsidRPr="00AA0861">
        <w:rPr>
          <w:lang w:val="en-US"/>
        </w:rPr>
        <w:t>: The first seminar meeting will be devoted to an</w:t>
      </w:r>
      <w:r w:rsidR="00102056" w:rsidRPr="00AA0861">
        <w:rPr>
          <w:lang w:val="en-US"/>
        </w:rPr>
        <w:t xml:space="preserve"> </w:t>
      </w:r>
      <w:r w:rsidRPr="00AA0861">
        <w:rPr>
          <w:lang w:val="en-US"/>
        </w:rPr>
        <w:t xml:space="preserve">introductory survey that will briefly map </w:t>
      </w:r>
      <w:r w:rsidR="00A1387C" w:rsidRPr="00AA0861">
        <w:rPr>
          <w:lang w:val="en-US"/>
        </w:rPr>
        <w:t>constitutional adjudication worldwide</w:t>
      </w:r>
      <w:r w:rsidRPr="00AA0861">
        <w:rPr>
          <w:lang w:val="en-US"/>
        </w:rPr>
        <w:t xml:space="preserve">, its </w:t>
      </w:r>
      <w:r w:rsidR="00A1387C" w:rsidRPr="00AA0861">
        <w:rPr>
          <w:lang w:val="en-US"/>
        </w:rPr>
        <w:t>historical origins</w:t>
      </w:r>
      <w:r w:rsidRPr="00AA0861">
        <w:rPr>
          <w:lang w:val="en-US"/>
        </w:rPr>
        <w:t xml:space="preserve"> and evolution, key issues and</w:t>
      </w:r>
      <w:r w:rsidR="00102056" w:rsidRPr="00AA0861">
        <w:rPr>
          <w:lang w:val="en-US"/>
        </w:rPr>
        <w:t xml:space="preserve"> </w:t>
      </w:r>
      <w:r w:rsidRPr="00AA0861">
        <w:rPr>
          <w:lang w:val="en-US"/>
        </w:rPr>
        <w:t>themes, epistemology and methodologies. From Week 2 onward, class meetings will be based</w:t>
      </w:r>
      <w:r w:rsidR="00102056" w:rsidRPr="00AA0861">
        <w:rPr>
          <w:lang w:val="en-US"/>
        </w:rPr>
        <w:t xml:space="preserve"> </w:t>
      </w:r>
      <w:r w:rsidRPr="00AA0861">
        <w:rPr>
          <w:lang w:val="en-US"/>
        </w:rPr>
        <w:t xml:space="preserve">on guided collective discussion of each week’s </w:t>
      </w:r>
      <w:r w:rsidR="00A1387C" w:rsidRPr="00AA0861">
        <w:rPr>
          <w:lang w:val="en-US"/>
        </w:rPr>
        <w:t>jurisdiction</w:t>
      </w:r>
      <w:r w:rsidRPr="00AA0861">
        <w:rPr>
          <w:lang w:val="en-US"/>
        </w:rPr>
        <w:t xml:space="preserve"> and reading materials. Students are</w:t>
      </w:r>
      <w:r w:rsidR="00102056" w:rsidRPr="00AA0861">
        <w:rPr>
          <w:lang w:val="en-US"/>
        </w:rPr>
        <w:t xml:space="preserve"> </w:t>
      </w:r>
      <w:r w:rsidRPr="00AA0861">
        <w:rPr>
          <w:lang w:val="en-US"/>
        </w:rPr>
        <w:t>expected to come ready for class. Class participation includes preparation for class, regular</w:t>
      </w:r>
      <w:r w:rsidR="00102056" w:rsidRPr="00AA0861">
        <w:rPr>
          <w:lang w:val="en-US"/>
        </w:rPr>
        <w:t xml:space="preserve"> </w:t>
      </w:r>
      <w:r w:rsidRPr="00AA0861">
        <w:rPr>
          <w:lang w:val="en-US"/>
        </w:rPr>
        <w:t>attendance, and substantive contribution to weekly discussions.</w:t>
      </w:r>
    </w:p>
    <w:p w:rsidR="006F22D3" w:rsidRPr="00AA0861" w:rsidRDefault="006F22D3" w:rsidP="00102056">
      <w:pPr>
        <w:autoSpaceDE w:val="0"/>
        <w:autoSpaceDN w:val="0"/>
        <w:adjustRightInd w:val="0"/>
        <w:spacing w:after="0"/>
        <w:rPr>
          <w:lang w:val="en-US"/>
        </w:rPr>
      </w:pPr>
      <w:r w:rsidRPr="00AA0861">
        <w:rPr>
          <w:lang w:val="en-US"/>
        </w:rPr>
        <w:t xml:space="preserve">• </w:t>
      </w:r>
      <w:r w:rsidRPr="00AA0861">
        <w:rPr>
          <w:u w:val="single"/>
          <w:lang w:val="en-US"/>
        </w:rPr>
        <w:t>Comment paper (10%)</w:t>
      </w:r>
      <w:r w:rsidRPr="00AA0861">
        <w:rPr>
          <w:lang w:val="en-US"/>
        </w:rPr>
        <w:t>: The comment paper (1,500 words) will be a critical, integrative</w:t>
      </w:r>
      <w:r w:rsidR="00102056" w:rsidRPr="00AA0861">
        <w:rPr>
          <w:lang w:val="en-US"/>
        </w:rPr>
        <w:t xml:space="preserve"> a</w:t>
      </w:r>
      <w:r w:rsidRPr="00AA0861">
        <w:rPr>
          <w:lang w:val="en-US"/>
        </w:rPr>
        <w:t>ssessment of at least two of the sources on the reading list</w:t>
      </w:r>
      <w:r w:rsidR="00102056" w:rsidRPr="00AA0861">
        <w:rPr>
          <w:lang w:val="en-US"/>
        </w:rPr>
        <w:t xml:space="preserve"> for a given class</w:t>
      </w:r>
      <w:r w:rsidRPr="00AA0861">
        <w:rPr>
          <w:lang w:val="en-US"/>
        </w:rPr>
        <w:t>. Comment papers are due by 5</w:t>
      </w:r>
      <w:r w:rsidR="00102056" w:rsidRPr="00AA0861">
        <w:rPr>
          <w:lang w:val="en-US"/>
        </w:rPr>
        <w:t xml:space="preserve"> </w:t>
      </w:r>
      <w:r w:rsidRPr="00AA0861">
        <w:rPr>
          <w:lang w:val="en-US"/>
        </w:rPr>
        <w:t>p.m. on the day before the class readings are scheduled to be discussed</w:t>
      </w:r>
      <w:r w:rsidR="00102056" w:rsidRPr="00AA0861">
        <w:rPr>
          <w:lang w:val="en-US"/>
        </w:rPr>
        <w:t xml:space="preserve"> and shall be </w:t>
      </w:r>
      <w:r w:rsidR="00611CF3" w:rsidRPr="00AA0861">
        <w:rPr>
          <w:lang w:val="en-US"/>
        </w:rPr>
        <w:t>emailed to me as well as</w:t>
      </w:r>
      <w:r w:rsidR="00102056" w:rsidRPr="00AA0861">
        <w:rPr>
          <w:lang w:val="en-US"/>
        </w:rPr>
        <w:t xml:space="preserve"> to all students in the class</w:t>
      </w:r>
      <w:r w:rsidRPr="00AA0861">
        <w:rPr>
          <w:lang w:val="en-US"/>
        </w:rPr>
        <w:t>. Each student is</w:t>
      </w:r>
      <w:r w:rsidR="00102056" w:rsidRPr="00AA0861">
        <w:rPr>
          <w:lang w:val="en-US"/>
        </w:rPr>
        <w:t xml:space="preserve"> </w:t>
      </w:r>
      <w:r w:rsidRPr="00AA0861">
        <w:rPr>
          <w:lang w:val="en-US"/>
        </w:rPr>
        <w:t>expected to use the comment paper to illuminate an important question in the reading or to</w:t>
      </w:r>
      <w:r w:rsidR="00102056" w:rsidRPr="00AA0861">
        <w:rPr>
          <w:lang w:val="en-US"/>
        </w:rPr>
        <w:t xml:space="preserve"> </w:t>
      </w:r>
      <w:r w:rsidRPr="00AA0861">
        <w:rPr>
          <w:lang w:val="en-US"/>
        </w:rPr>
        <w:t>develop their own coherent argument based on the readings. Students will briefly present their</w:t>
      </w:r>
      <w:r w:rsidR="00102056" w:rsidRPr="00AA0861">
        <w:rPr>
          <w:lang w:val="en-US"/>
        </w:rPr>
        <w:t xml:space="preserve"> </w:t>
      </w:r>
      <w:r w:rsidRPr="00AA0861">
        <w:rPr>
          <w:lang w:val="en-US"/>
        </w:rPr>
        <w:t>comment paper in class. Students must sign up for the submission of their comment papers by</w:t>
      </w:r>
      <w:r w:rsidR="00102056" w:rsidRPr="00AA0861">
        <w:rPr>
          <w:lang w:val="en-US"/>
        </w:rPr>
        <w:t xml:space="preserve"> </w:t>
      </w:r>
      <w:r w:rsidR="00AA0861" w:rsidRPr="00AA0861">
        <w:rPr>
          <w:lang w:val="en-US"/>
        </w:rPr>
        <w:t>[</w:t>
      </w:r>
      <w:r w:rsidR="00A1387C" w:rsidRPr="00AA0861">
        <w:rPr>
          <w:lang w:val="en-US"/>
        </w:rPr>
        <w:t>TBA</w:t>
      </w:r>
      <w:r w:rsidR="00AA0861" w:rsidRPr="00AA0861">
        <w:rPr>
          <w:lang w:val="en-US"/>
        </w:rPr>
        <w:t>]</w:t>
      </w:r>
      <w:r w:rsidRPr="00AA0861">
        <w:rPr>
          <w:lang w:val="en-US"/>
        </w:rPr>
        <w:t>.</w:t>
      </w:r>
    </w:p>
    <w:p w:rsidR="006F22D3" w:rsidRPr="00AA0861" w:rsidRDefault="006F22D3" w:rsidP="00102056">
      <w:pPr>
        <w:autoSpaceDE w:val="0"/>
        <w:autoSpaceDN w:val="0"/>
        <w:adjustRightInd w:val="0"/>
        <w:spacing w:after="0"/>
        <w:rPr>
          <w:lang w:val="en-US"/>
        </w:rPr>
      </w:pPr>
      <w:r w:rsidRPr="00AA0861">
        <w:rPr>
          <w:lang w:val="en-US"/>
        </w:rPr>
        <w:t xml:space="preserve">• </w:t>
      </w:r>
      <w:r w:rsidRPr="00AA0861">
        <w:rPr>
          <w:u w:val="single"/>
          <w:lang w:val="en-US"/>
        </w:rPr>
        <w:t>Final paper outline (10%)</w:t>
      </w:r>
      <w:r w:rsidRPr="00AA0861">
        <w:rPr>
          <w:lang w:val="en-US"/>
        </w:rPr>
        <w:t>: Each student will present in class (for approximately 10-12</w:t>
      </w:r>
      <w:r w:rsidR="00102056" w:rsidRPr="00AA0861">
        <w:rPr>
          <w:lang w:val="en-US"/>
        </w:rPr>
        <w:t xml:space="preserve"> </w:t>
      </w:r>
      <w:r w:rsidRPr="00AA0861">
        <w:rPr>
          <w:lang w:val="en-US"/>
        </w:rPr>
        <w:t>minutes) an outline of his/her final paper topic, the project's main arguments/findings. Outline</w:t>
      </w:r>
      <w:r w:rsidR="00A1387C" w:rsidRPr="00AA0861">
        <w:rPr>
          <w:lang w:val="en-US"/>
        </w:rPr>
        <w:t xml:space="preserve"> </w:t>
      </w:r>
      <w:r w:rsidRPr="00AA0861">
        <w:rPr>
          <w:lang w:val="en-US"/>
        </w:rPr>
        <w:t xml:space="preserve">presentations will take place towards the end of the </w:t>
      </w:r>
      <w:r w:rsidR="00102056" w:rsidRPr="00AA0861">
        <w:rPr>
          <w:lang w:val="en-US"/>
        </w:rPr>
        <w:t>semester</w:t>
      </w:r>
      <w:r w:rsidR="00A1387C" w:rsidRPr="00AA0861">
        <w:rPr>
          <w:lang w:val="en-US"/>
        </w:rPr>
        <w:t xml:space="preserve"> (in class 10 and 11)</w:t>
      </w:r>
      <w:r w:rsidRPr="00AA0861">
        <w:rPr>
          <w:lang w:val="en-US"/>
        </w:rPr>
        <w:t>.</w:t>
      </w:r>
    </w:p>
    <w:p w:rsidR="006F22D3" w:rsidRPr="00AA0861" w:rsidRDefault="006F22D3" w:rsidP="00102056">
      <w:pPr>
        <w:autoSpaceDE w:val="0"/>
        <w:autoSpaceDN w:val="0"/>
        <w:adjustRightInd w:val="0"/>
        <w:spacing w:after="0"/>
        <w:rPr>
          <w:lang w:val="en-US"/>
        </w:rPr>
      </w:pPr>
      <w:r w:rsidRPr="00AA0861">
        <w:rPr>
          <w:lang w:val="en-US"/>
        </w:rPr>
        <w:t xml:space="preserve">• </w:t>
      </w:r>
      <w:r w:rsidRPr="00AA0861">
        <w:rPr>
          <w:u w:val="single"/>
          <w:lang w:val="en-US"/>
        </w:rPr>
        <w:t xml:space="preserve">Final </w:t>
      </w:r>
      <w:r w:rsidR="00102056" w:rsidRPr="00AA0861">
        <w:rPr>
          <w:u w:val="single"/>
          <w:lang w:val="en-US"/>
        </w:rPr>
        <w:t>essay</w:t>
      </w:r>
      <w:r w:rsidR="00A061CA" w:rsidRPr="00AA0861">
        <w:rPr>
          <w:u w:val="single"/>
          <w:lang w:val="en-US"/>
        </w:rPr>
        <w:t xml:space="preserve"> </w:t>
      </w:r>
      <w:r w:rsidRPr="00AA0861">
        <w:rPr>
          <w:u w:val="single"/>
          <w:lang w:val="en-US"/>
        </w:rPr>
        <w:t>(65%)</w:t>
      </w:r>
      <w:r w:rsidRPr="00AA0861">
        <w:rPr>
          <w:lang w:val="en-US"/>
        </w:rPr>
        <w:t>: Students may cho</w:t>
      </w:r>
      <w:r w:rsidR="00102056" w:rsidRPr="00AA0861">
        <w:rPr>
          <w:lang w:val="en-US"/>
        </w:rPr>
        <w:t>o</w:t>
      </w:r>
      <w:r w:rsidRPr="00AA0861">
        <w:rPr>
          <w:lang w:val="en-US"/>
        </w:rPr>
        <w:t>se one of two options for the final paper (</w:t>
      </w:r>
      <w:r w:rsidR="00611CF3" w:rsidRPr="00AA0861">
        <w:rPr>
          <w:lang w:val="en-US"/>
        </w:rPr>
        <w:t>3.000-5.000 words</w:t>
      </w:r>
      <w:r w:rsidR="00356D19" w:rsidRPr="00AA0861">
        <w:rPr>
          <w:lang w:val="en-US"/>
        </w:rPr>
        <w:t>, excluding footnotes</w:t>
      </w:r>
      <w:r w:rsidRPr="00AA0861">
        <w:rPr>
          <w:lang w:val="en-US"/>
        </w:rPr>
        <w:t xml:space="preserve">): 1) an integrative, critical book review of at least two books dealing with constitutional </w:t>
      </w:r>
      <w:r w:rsidR="00A1387C" w:rsidRPr="00AA0861">
        <w:rPr>
          <w:lang w:val="en-US"/>
        </w:rPr>
        <w:t>adjudication; or 2) a research paper on one of the jurisdictions covered in this course or another jurisdiction of the student’s choice</w:t>
      </w:r>
      <w:r w:rsidRPr="00AA0861">
        <w:rPr>
          <w:lang w:val="en-US"/>
        </w:rPr>
        <w:t>. The seminar paper’s topic or choice of reviewed</w:t>
      </w:r>
      <w:r w:rsidR="00356D19" w:rsidRPr="00AA0861">
        <w:rPr>
          <w:lang w:val="en-US"/>
        </w:rPr>
        <w:t xml:space="preserve"> </w:t>
      </w:r>
      <w:r w:rsidRPr="00AA0861">
        <w:rPr>
          <w:lang w:val="en-US"/>
        </w:rPr>
        <w:t xml:space="preserve">books must be pre-approved by the instructor by </w:t>
      </w:r>
      <w:r w:rsidR="00A1387C" w:rsidRPr="00AA0861">
        <w:rPr>
          <w:lang w:val="en-US"/>
        </w:rPr>
        <w:t>TBA</w:t>
      </w:r>
      <w:r w:rsidRPr="00AA0861">
        <w:rPr>
          <w:lang w:val="en-US"/>
        </w:rPr>
        <w:t>. Actual submission of the final</w:t>
      </w:r>
      <w:r w:rsidR="00356D19" w:rsidRPr="00AA0861">
        <w:rPr>
          <w:lang w:val="en-US"/>
        </w:rPr>
        <w:t xml:space="preserve"> </w:t>
      </w:r>
      <w:r w:rsidRPr="00AA0861">
        <w:rPr>
          <w:lang w:val="en-US"/>
        </w:rPr>
        <w:t xml:space="preserve">paper must comply with pertinent </w:t>
      </w:r>
      <w:r w:rsidR="00356D19" w:rsidRPr="00AA0861">
        <w:rPr>
          <w:lang w:val="en-US"/>
        </w:rPr>
        <w:t>Masaryk University</w:t>
      </w:r>
      <w:r w:rsidRPr="00AA0861">
        <w:rPr>
          <w:lang w:val="en-US"/>
        </w:rPr>
        <w:t xml:space="preserve"> School of Law rules and regulations. As with the</w:t>
      </w:r>
      <w:r w:rsidR="00356D19" w:rsidRPr="00AA0861">
        <w:rPr>
          <w:lang w:val="en-US"/>
        </w:rPr>
        <w:t xml:space="preserve"> </w:t>
      </w:r>
      <w:r w:rsidRPr="00AA0861">
        <w:rPr>
          <w:lang w:val="en-US"/>
        </w:rPr>
        <w:t>comment paper, good substance-per-ink ratio is always a plus.</w:t>
      </w:r>
      <w:r w:rsidR="00611CF3" w:rsidRPr="00AA0861">
        <w:rPr>
          <w:lang w:val="en-US"/>
        </w:rPr>
        <w:t xml:space="preserve"> </w:t>
      </w:r>
      <w:r w:rsidR="00611CF3" w:rsidRPr="00AA0861">
        <w:rPr>
          <w:b/>
          <w:u w:val="single"/>
          <w:lang w:val="en-US"/>
        </w:rPr>
        <w:t>Deadline for the final essay is 20 J</w:t>
      </w:r>
      <w:r w:rsidR="00921376" w:rsidRPr="00AA0861">
        <w:rPr>
          <w:b/>
          <w:u w:val="single"/>
          <w:lang w:val="en-US"/>
        </w:rPr>
        <w:t>une</w:t>
      </w:r>
      <w:r w:rsidR="00611CF3" w:rsidRPr="00AA0861">
        <w:rPr>
          <w:b/>
          <w:u w:val="single"/>
          <w:lang w:val="en-US"/>
        </w:rPr>
        <w:t xml:space="preserve"> 2014</w:t>
      </w:r>
      <w:r w:rsidR="00611CF3" w:rsidRPr="00AA0861">
        <w:rPr>
          <w:b/>
          <w:lang w:val="en-US"/>
        </w:rPr>
        <w:t>.</w:t>
      </w:r>
      <w:r w:rsidR="00A33535">
        <w:rPr>
          <w:b/>
          <w:lang w:val="en-US"/>
        </w:rPr>
        <w:t xml:space="preserve"> </w:t>
      </w:r>
      <w:r w:rsidR="00A33535" w:rsidRPr="006069F5">
        <w:rPr>
          <w:b/>
          <w:lang w:val="en-US"/>
        </w:rPr>
        <w:t xml:space="preserve">Please include your name </w:t>
      </w:r>
      <w:r w:rsidR="00A33535" w:rsidRPr="006069F5">
        <w:rPr>
          <w:b/>
          <w:u w:val="single"/>
          <w:lang w:val="en-US"/>
        </w:rPr>
        <w:t>and a word count</w:t>
      </w:r>
      <w:r w:rsidR="00A33535" w:rsidRPr="006069F5">
        <w:rPr>
          <w:b/>
          <w:lang w:val="en-US"/>
        </w:rPr>
        <w:t xml:space="preserve"> at the beginning of the paper.</w:t>
      </w:r>
      <w:bookmarkStart w:id="0" w:name="_GoBack"/>
      <w:bookmarkEnd w:id="0"/>
    </w:p>
    <w:p w:rsidR="00102056" w:rsidRPr="00AA0861" w:rsidRDefault="00102056" w:rsidP="00471748">
      <w:pPr>
        <w:autoSpaceDE w:val="0"/>
        <w:autoSpaceDN w:val="0"/>
        <w:adjustRightInd w:val="0"/>
        <w:spacing w:after="0"/>
        <w:rPr>
          <w:b/>
          <w:bCs/>
          <w:lang w:val="en-US"/>
        </w:rPr>
      </w:pPr>
    </w:p>
    <w:p w:rsidR="006F22D3" w:rsidRPr="00AA0861" w:rsidRDefault="006F22D3" w:rsidP="00471748">
      <w:pPr>
        <w:autoSpaceDE w:val="0"/>
        <w:autoSpaceDN w:val="0"/>
        <w:adjustRightInd w:val="0"/>
        <w:spacing w:after="0"/>
        <w:rPr>
          <w:lang w:val="en-US"/>
        </w:rPr>
      </w:pPr>
      <w:r w:rsidRPr="00AA0861">
        <w:rPr>
          <w:b/>
          <w:bCs/>
          <w:lang w:val="en-US"/>
        </w:rPr>
        <w:t>Readings</w:t>
      </w:r>
      <w:r w:rsidRPr="00AA0861">
        <w:rPr>
          <w:lang w:val="en-US"/>
        </w:rPr>
        <w:t xml:space="preserve">: Reading materials are available </w:t>
      </w:r>
      <w:r w:rsidR="00471748" w:rsidRPr="00AA0861">
        <w:rPr>
          <w:lang w:val="en-US"/>
        </w:rPr>
        <w:t>via</w:t>
      </w:r>
      <w:r w:rsidR="00102056" w:rsidRPr="00AA0861">
        <w:rPr>
          <w:lang w:val="en-US"/>
        </w:rPr>
        <w:t xml:space="preserve"> the course website at</w:t>
      </w:r>
      <w:r w:rsidR="00471748" w:rsidRPr="00AA0861">
        <w:rPr>
          <w:lang w:val="en-US"/>
        </w:rPr>
        <w:t xml:space="preserve"> IS.MUNI.CZ</w:t>
      </w:r>
      <w:r w:rsidRPr="00AA0861">
        <w:rPr>
          <w:lang w:val="en-US"/>
        </w:rPr>
        <w:t>.</w:t>
      </w:r>
      <w:r w:rsidR="00471748" w:rsidRPr="00AA0861">
        <w:rPr>
          <w:lang w:val="en-US"/>
        </w:rPr>
        <w:t xml:space="preserve"> </w:t>
      </w:r>
      <w:r w:rsidRPr="00AA0861">
        <w:rPr>
          <w:lang w:val="en-US"/>
        </w:rPr>
        <w:t>Depending on student interest, a few additional materials, handouts, and court rulings may be</w:t>
      </w:r>
      <w:r w:rsidR="00471748" w:rsidRPr="00AA0861">
        <w:rPr>
          <w:lang w:val="en-US"/>
        </w:rPr>
        <w:t xml:space="preserve"> </w:t>
      </w:r>
      <w:r w:rsidRPr="00AA0861">
        <w:rPr>
          <w:lang w:val="en-US"/>
        </w:rPr>
        <w:t>distributed in class.</w:t>
      </w:r>
    </w:p>
    <w:p w:rsidR="006F22D3" w:rsidRPr="00AA0861" w:rsidRDefault="006F22D3" w:rsidP="006F22D3">
      <w:pPr>
        <w:autoSpaceDE w:val="0"/>
        <w:autoSpaceDN w:val="0"/>
        <w:adjustRightInd w:val="0"/>
        <w:spacing w:after="0"/>
        <w:jc w:val="left"/>
        <w:rPr>
          <w:b/>
          <w:bCs/>
          <w:lang w:val="en-US"/>
        </w:rPr>
      </w:pPr>
    </w:p>
    <w:p w:rsidR="006F22D3" w:rsidRPr="00AA0861" w:rsidRDefault="006F22D3" w:rsidP="006F22D3">
      <w:pPr>
        <w:autoSpaceDE w:val="0"/>
        <w:autoSpaceDN w:val="0"/>
        <w:adjustRightInd w:val="0"/>
        <w:spacing w:after="0"/>
        <w:jc w:val="left"/>
        <w:rPr>
          <w:lang w:val="en-US"/>
        </w:rPr>
      </w:pPr>
      <w:r w:rsidRPr="00AA0861">
        <w:rPr>
          <w:b/>
          <w:bCs/>
          <w:lang w:val="en-US"/>
        </w:rPr>
        <w:t>Please note</w:t>
      </w:r>
      <w:r w:rsidRPr="00AA0861">
        <w:rPr>
          <w:lang w:val="en-US"/>
        </w:rPr>
        <w:t xml:space="preserve">: </w:t>
      </w:r>
      <w:r w:rsidR="00460A82" w:rsidRPr="00AA0861">
        <w:rPr>
          <w:lang w:val="en-US"/>
        </w:rPr>
        <w:t>The first class</w:t>
      </w:r>
      <w:r w:rsidRPr="00AA0861">
        <w:rPr>
          <w:lang w:val="en-US"/>
        </w:rPr>
        <w:t xml:space="preserve"> will be held </w:t>
      </w:r>
      <w:r w:rsidR="00460A82" w:rsidRPr="00AA0861">
        <w:rPr>
          <w:lang w:val="en-US"/>
        </w:rPr>
        <w:t>in the week starting 3 March 2014</w:t>
      </w:r>
      <w:r w:rsidRPr="00AA0861">
        <w:rPr>
          <w:lang w:val="en-US"/>
        </w:rPr>
        <w:t xml:space="preserve">. </w:t>
      </w:r>
    </w:p>
    <w:p w:rsidR="00C84859" w:rsidRPr="00AA0861" w:rsidRDefault="00C84859" w:rsidP="006F22D3">
      <w:pPr>
        <w:spacing w:after="0"/>
        <w:rPr>
          <w:lang w:val="en-US"/>
        </w:rPr>
      </w:pPr>
    </w:p>
    <w:p w:rsidR="00C84859" w:rsidRPr="00AA0861" w:rsidRDefault="00C84859" w:rsidP="00EC65D0">
      <w:pPr>
        <w:pStyle w:val="Nadpis1"/>
        <w:spacing w:before="0" w:after="0"/>
        <w:rPr>
          <w:rFonts w:cs="Times New Roman"/>
          <w:szCs w:val="24"/>
          <w:lang w:val="en-US"/>
        </w:rPr>
      </w:pPr>
    </w:p>
    <w:p w:rsidR="00097FE5" w:rsidRPr="00AA0861" w:rsidRDefault="00097FE5" w:rsidP="00611CF3">
      <w:pPr>
        <w:autoSpaceDE w:val="0"/>
        <w:autoSpaceDN w:val="0"/>
        <w:adjustRightInd w:val="0"/>
        <w:spacing w:after="0"/>
        <w:jc w:val="left"/>
        <w:rPr>
          <w:b/>
          <w:bCs/>
          <w:lang w:val="en-US"/>
        </w:rPr>
      </w:pPr>
    </w:p>
    <w:p w:rsidR="00AA0861" w:rsidRDefault="00AA0861">
      <w:pPr>
        <w:spacing w:after="0"/>
        <w:jc w:val="left"/>
        <w:rPr>
          <w:b/>
          <w:bCs/>
          <w:lang w:val="en-US"/>
        </w:rPr>
      </w:pPr>
      <w:r>
        <w:rPr>
          <w:b/>
          <w:bCs/>
          <w:lang w:val="en-US"/>
        </w:rPr>
        <w:br w:type="page"/>
      </w:r>
    </w:p>
    <w:p w:rsidR="00611CF3" w:rsidRPr="00AA0861" w:rsidRDefault="00611CF3" w:rsidP="00611CF3">
      <w:pPr>
        <w:autoSpaceDE w:val="0"/>
        <w:autoSpaceDN w:val="0"/>
        <w:adjustRightInd w:val="0"/>
        <w:spacing w:after="0"/>
        <w:jc w:val="left"/>
        <w:rPr>
          <w:b/>
          <w:bCs/>
          <w:lang w:val="en-US"/>
        </w:rPr>
      </w:pPr>
      <w:r w:rsidRPr="00AA0861">
        <w:rPr>
          <w:b/>
          <w:bCs/>
          <w:lang w:val="en-US"/>
        </w:rPr>
        <w:lastRenderedPageBreak/>
        <w:t xml:space="preserve">Class 1: </w:t>
      </w:r>
      <w:r w:rsidR="00097FE5" w:rsidRPr="00AA0861">
        <w:rPr>
          <w:b/>
          <w:lang w:val="en-US"/>
        </w:rPr>
        <w:t>Introduction – typology of constitutional adjudication</w:t>
      </w:r>
      <w:r w:rsidR="00995577" w:rsidRPr="00AA0861">
        <w:rPr>
          <w:bCs/>
          <w:lang w:val="en-US"/>
        </w:rPr>
        <w:t xml:space="preserve"> [</w:t>
      </w:r>
      <w:r w:rsidR="00097FE5" w:rsidRPr="00AA0861">
        <w:rPr>
          <w:bCs/>
          <w:lang w:val="en-US"/>
        </w:rPr>
        <w:t>DATE TBA</w:t>
      </w:r>
      <w:r w:rsidR="00995577" w:rsidRPr="00AA0861">
        <w:rPr>
          <w:bCs/>
          <w:lang w:val="en-US"/>
        </w:rPr>
        <w:t>]</w:t>
      </w:r>
    </w:p>
    <w:p w:rsidR="00097FE5" w:rsidRPr="00AA0861" w:rsidRDefault="00097FE5" w:rsidP="00193903">
      <w:pPr>
        <w:pStyle w:val="Prosttext"/>
        <w:numPr>
          <w:ilvl w:val="0"/>
          <w:numId w:val="29"/>
        </w:numPr>
        <w:autoSpaceDE w:val="0"/>
        <w:autoSpaceDN w:val="0"/>
        <w:adjustRightInd w:val="0"/>
        <w:ind w:left="426"/>
        <w:jc w:val="both"/>
        <w:rPr>
          <w:rFonts w:cs="Times New Roman"/>
          <w:szCs w:val="24"/>
          <w:lang w:val="en-US"/>
        </w:rPr>
      </w:pPr>
      <w:r w:rsidRPr="00AA0861">
        <w:rPr>
          <w:rFonts w:cs="Times New Roman"/>
          <w:szCs w:val="24"/>
          <w:lang w:val="en-US" w:eastAsia="en-US"/>
        </w:rPr>
        <w:t xml:space="preserve">Peter Häberle, </w:t>
      </w:r>
      <w:r w:rsidRPr="00AA0861">
        <w:rPr>
          <w:lang w:val="en-US"/>
        </w:rPr>
        <w:t xml:space="preserve">Role and Impact of Constitutional Courts in a Comparative Perspective, in: Ingolf Pernice/Juliane Kokott/Cheryl Saunders (eds.): The Future of the European Judicial System in a Comparative Perspective, (ECLN Conference Berlin 2005), European Constitutional Law Network Series, Vol. 6, NOMOS Verlag, Baden-Baden, Germany, 2006, </w:t>
      </w:r>
      <w:r w:rsidR="00F7590B" w:rsidRPr="00AA0861">
        <w:rPr>
          <w:lang w:val="en-US"/>
        </w:rPr>
        <w:t>pp.</w:t>
      </w:r>
      <w:r w:rsidRPr="00AA0861">
        <w:rPr>
          <w:lang w:val="en-US"/>
        </w:rPr>
        <w:t xml:space="preserve"> 65-77.</w:t>
      </w:r>
    </w:p>
    <w:p w:rsidR="00097FE5" w:rsidRPr="00AA0861" w:rsidRDefault="00097FE5" w:rsidP="00193903">
      <w:pPr>
        <w:pStyle w:val="Prosttext"/>
        <w:numPr>
          <w:ilvl w:val="0"/>
          <w:numId w:val="29"/>
        </w:numPr>
        <w:autoSpaceDE w:val="0"/>
        <w:autoSpaceDN w:val="0"/>
        <w:adjustRightInd w:val="0"/>
        <w:ind w:left="426"/>
        <w:jc w:val="both"/>
        <w:rPr>
          <w:rFonts w:cs="Times New Roman"/>
          <w:szCs w:val="24"/>
          <w:lang w:val="en-US"/>
        </w:rPr>
      </w:pPr>
      <w:r w:rsidRPr="00AA0861">
        <w:rPr>
          <w:lang w:val="en-US"/>
        </w:rPr>
        <w:t xml:space="preserve">V. F. Comella, </w:t>
      </w:r>
      <w:r w:rsidRPr="00AA0861">
        <w:rPr>
          <w:i/>
          <w:lang w:val="en-US"/>
        </w:rPr>
        <w:t>Constitutional Courts and Democratic Values: A European Perspective</w:t>
      </w:r>
      <w:r w:rsidRPr="00AA0861">
        <w:rPr>
          <w:lang w:val="en-US"/>
        </w:rPr>
        <w:t xml:space="preserve">, Yale University Press, 2009, </w:t>
      </w:r>
      <w:r w:rsidR="00F7590B" w:rsidRPr="00AA0861">
        <w:rPr>
          <w:lang w:val="en-US"/>
        </w:rPr>
        <w:t>pp.</w:t>
      </w:r>
      <w:r w:rsidRPr="00AA0861">
        <w:rPr>
          <w:rFonts w:cs="Times New Roman"/>
          <w:szCs w:val="24"/>
          <w:lang w:val="en-US"/>
        </w:rPr>
        <w:t xml:space="preserve"> 55-70</w:t>
      </w:r>
    </w:p>
    <w:p w:rsidR="00097FE5" w:rsidRPr="00AA0861" w:rsidRDefault="00097FE5" w:rsidP="00193903">
      <w:pPr>
        <w:pStyle w:val="Prosttext"/>
        <w:numPr>
          <w:ilvl w:val="0"/>
          <w:numId w:val="29"/>
        </w:numPr>
        <w:autoSpaceDE w:val="0"/>
        <w:autoSpaceDN w:val="0"/>
        <w:adjustRightInd w:val="0"/>
        <w:ind w:left="426"/>
        <w:rPr>
          <w:lang w:val="en-US"/>
        </w:rPr>
      </w:pPr>
      <w:r w:rsidRPr="00AA0861">
        <w:rPr>
          <w:rFonts w:cs="Times New Roman"/>
          <w:szCs w:val="24"/>
          <w:lang w:val="en-US"/>
        </w:rPr>
        <w:t xml:space="preserve">J. Ferejohn/P. Pasquino, “Constitutional Adjudication: Lessons from Europe”; in </w:t>
      </w:r>
      <w:r w:rsidRPr="00AA0861">
        <w:rPr>
          <w:rFonts w:cs="Times New Roman"/>
          <w:i/>
          <w:iCs/>
          <w:szCs w:val="24"/>
          <w:lang w:val="en-US"/>
        </w:rPr>
        <w:t>Texas Law Review</w:t>
      </w:r>
      <w:r w:rsidRPr="00AA0861">
        <w:rPr>
          <w:rFonts w:cs="Times New Roman"/>
          <w:szCs w:val="24"/>
          <w:lang w:val="en-US"/>
        </w:rPr>
        <w:t>, vol. 82, N.7, 2004, p. 1671-1704</w:t>
      </w:r>
    </w:p>
    <w:p w:rsidR="00680631" w:rsidRPr="00AA0861" w:rsidRDefault="00680631" w:rsidP="00611CF3">
      <w:pPr>
        <w:autoSpaceDE w:val="0"/>
        <w:autoSpaceDN w:val="0"/>
        <w:adjustRightInd w:val="0"/>
        <w:spacing w:after="0"/>
        <w:jc w:val="left"/>
        <w:rPr>
          <w:b/>
          <w:bCs/>
          <w:lang w:val="en-US"/>
        </w:rPr>
      </w:pPr>
    </w:p>
    <w:p w:rsidR="00611CF3" w:rsidRPr="00AA0861" w:rsidRDefault="00611CF3" w:rsidP="00611CF3">
      <w:pPr>
        <w:autoSpaceDE w:val="0"/>
        <w:autoSpaceDN w:val="0"/>
        <w:adjustRightInd w:val="0"/>
        <w:spacing w:after="0"/>
        <w:jc w:val="left"/>
        <w:rPr>
          <w:b/>
          <w:bCs/>
          <w:lang w:val="en-US"/>
        </w:rPr>
      </w:pPr>
      <w:r w:rsidRPr="00AA0861">
        <w:rPr>
          <w:b/>
          <w:bCs/>
          <w:lang w:val="en-US"/>
        </w:rPr>
        <w:t xml:space="preserve">Class 2: </w:t>
      </w:r>
      <w:r w:rsidR="00097FE5" w:rsidRPr="00AA0861">
        <w:rPr>
          <w:b/>
          <w:lang w:val="en-US"/>
        </w:rPr>
        <w:t>Italy – concrete review of constitutionality</w:t>
      </w:r>
      <w:r w:rsidR="00995577" w:rsidRPr="00AA0861">
        <w:rPr>
          <w:b/>
          <w:bCs/>
          <w:lang w:val="en-US"/>
        </w:rPr>
        <w:t xml:space="preserve"> </w:t>
      </w:r>
      <w:r w:rsidR="00097FE5" w:rsidRPr="00AA0861">
        <w:rPr>
          <w:bCs/>
          <w:lang w:val="en-US"/>
        </w:rPr>
        <w:t>[DATE TBA]</w:t>
      </w:r>
    </w:p>
    <w:p w:rsidR="00097FE5" w:rsidRPr="00AA0861" w:rsidRDefault="00097FE5" w:rsidP="00193903">
      <w:pPr>
        <w:pStyle w:val="Nadpis1"/>
        <w:numPr>
          <w:ilvl w:val="0"/>
          <w:numId w:val="16"/>
        </w:numPr>
        <w:tabs>
          <w:tab w:val="clear" w:pos="360"/>
        </w:tabs>
        <w:autoSpaceDE w:val="0"/>
        <w:autoSpaceDN w:val="0"/>
        <w:adjustRightInd w:val="0"/>
        <w:spacing w:before="0" w:after="0"/>
        <w:ind w:left="426"/>
        <w:jc w:val="both"/>
        <w:rPr>
          <w:rFonts w:cs="Times New Roman"/>
          <w:b w:val="0"/>
          <w:szCs w:val="24"/>
          <w:lang w:val="en-US"/>
        </w:rPr>
      </w:pPr>
      <w:r w:rsidRPr="00AA0861">
        <w:rPr>
          <w:rFonts w:cs="Times New Roman"/>
          <w:b w:val="0"/>
          <w:szCs w:val="24"/>
          <w:lang w:val="en-US" w:eastAsia="en-US"/>
        </w:rPr>
        <w:t>T. Groppi,</w:t>
      </w:r>
      <w:r w:rsidRPr="00AA0861">
        <w:rPr>
          <w:rFonts w:cs="Times New Roman"/>
          <w:szCs w:val="24"/>
          <w:lang w:val="en-US" w:eastAsia="en-US"/>
        </w:rPr>
        <w:t xml:space="preserve"> </w:t>
      </w:r>
      <w:r w:rsidRPr="00AA0861">
        <w:rPr>
          <w:rFonts w:eastAsia="PalatinoLinotype-Roman" w:cs="Times New Roman"/>
          <w:b w:val="0"/>
          <w:szCs w:val="24"/>
          <w:lang w:val="en-US" w:eastAsia="en-US"/>
        </w:rPr>
        <w:t>The Italian Constitutional Court:</w:t>
      </w:r>
      <w:r w:rsidRPr="00AA0861">
        <w:rPr>
          <w:rFonts w:eastAsia="PalatinoLinotype-Roman" w:cs="Times New Roman"/>
          <w:szCs w:val="24"/>
          <w:lang w:val="en-US" w:eastAsia="en-US"/>
        </w:rPr>
        <w:t xml:space="preserve"> </w:t>
      </w:r>
      <w:r w:rsidRPr="00AA0861">
        <w:rPr>
          <w:rFonts w:eastAsia="PalatinoLinotype-Roman" w:cs="Times New Roman"/>
          <w:b w:val="0"/>
          <w:szCs w:val="24"/>
          <w:lang w:val="en-US" w:eastAsia="en-US"/>
        </w:rPr>
        <w:t xml:space="preserve">Towards a ‘Multilevel System’ of Constitutional Review?, </w:t>
      </w:r>
      <w:r w:rsidRPr="00AA0861">
        <w:rPr>
          <w:rFonts w:cs="Times New Roman"/>
          <w:b w:val="0"/>
          <w:i/>
          <w:iCs/>
          <w:szCs w:val="24"/>
          <w:lang w:val="en-US" w:eastAsia="en-US"/>
        </w:rPr>
        <w:t xml:space="preserve">JCL </w:t>
      </w:r>
      <w:r w:rsidRPr="00AA0861">
        <w:rPr>
          <w:rFonts w:cs="Times New Roman"/>
          <w:b w:val="0"/>
          <w:iCs/>
          <w:szCs w:val="24"/>
          <w:lang w:val="en-US" w:eastAsia="en-US"/>
        </w:rPr>
        <w:t>3:2 (2008), 100-117</w:t>
      </w:r>
    </w:p>
    <w:p w:rsidR="00097FE5" w:rsidRPr="00AA0861" w:rsidRDefault="00193903" w:rsidP="00193903">
      <w:pPr>
        <w:numPr>
          <w:ilvl w:val="0"/>
          <w:numId w:val="16"/>
        </w:numPr>
        <w:spacing w:after="0"/>
        <w:ind w:left="426"/>
        <w:rPr>
          <w:lang w:val="en-US"/>
        </w:rPr>
      </w:pPr>
      <w:r w:rsidRPr="00AA0861">
        <w:rPr>
          <w:lang w:val="en-US"/>
        </w:rPr>
        <w:t xml:space="preserve">J. Ferejohn/P. Pasquino, “Constitutional Adjudication, Italian Style”, in Tom Ginsburg (ed.), </w:t>
      </w:r>
      <w:r w:rsidRPr="00AA0861">
        <w:rPr>
          <w:i/>
          <w:lang w:val="en-US"/>
        </w:rPr>
        <w:t>Comparative Constitutional Design</w:t>
      </w:r>
      <w:r w:rsidRPr="00AA0861">
        <w:rPr>
          <w:lang w:val="en-US"/>
        </w:rPr>
        <w:t xml:space="preserve">, Cambridge University Press, 2012, </w:t>
      </w:r>
      <w:r w:rsidR="00F7590B" w:rsidRPr="00AA0861">
        <w:rPr>
          <w:lang w:val="en-US"/>
        </w:rPr>
        <w:t>pp.</w:t>
      </w:r>
      <w:r w:rsidRPr="00AA0861">
        <w:rPr>
          <w:lang w:val="en-US"/>
        </w:rPr>
        <w:t xml:space="preserve"> 294-316;</w:t>
      </w:r>
    </w:p>
    <w:p w:rsidR="00097FE5" w:rsidRPr="00AA0861" w:rsidRDefault="00097FE5" w:rsidP="00193903">
      <w:pPr>
        <w:numPr>
          <w:ilvl w:val="0"/>
          <w:numId w:val="16"/>
        </w:numPr>
        <w:autoSpaceDE w:val="0"/>
        <w:autoSpaceDN w:val="0"/>
        <w:adjustRightInd w:val="0"/>
        <w:spacing w:after="0"/>
        <w:ind w:left="426"/>
        <w:rPr>
          <w:color w:val="000000"/>
          <w:lang w:val="en-US"/>
        </w:rPr>
      </w:pPr>
      <w:r w:rsidRPr="00AA0861">
        <w:rPr>
          <w:i/>
          <w:lang w:val="en-US"/>
        </w:rPr>
        <w:t>How the Court Works</w:t>
      </w:r>
      <w:r w:rsidRPr="00AA0861">
        <w:rPr>
          <w:lang w:val="en-US"/>
        </w:rPr>
        <w:t xml:space="preserve">, in Italian Constitutional Court document, at: </w:t>
      </w:r>
      <w:hyperlink r:id="rId9" w:history="1">
        <w:r w:rsidRPr="00AA0861">
          <w:rPr>
            <w:rStyle w:val="Hypertextovodkaz"/>
            <w:lang w:val="en-US"/>
          </w:rPr>
          <w:t>http://www.cortecostituzionale.it/versioni_in_lingua/eng/lacortecostituzionale/cosaelacorte/cosaelacorte.asp</w:t>
        </w:r>
      </w:hyperlink>
    </w:p>
    <w:p w:rsidR="00097FE5" w:rsidRPr="00AA0861" w:rsidRDefault="00097FE5" w:rsidP="00193903">
      <w:pPr>
        <w:numPr>
          <w:ilvl w:val="0"/>
          <w:numId w:val="16"/>
        </w:numPr>
        <w:spacing w:after="0"/>
        <w:ind w:left="426"/>
        <w:rPr>
          <w:lang w:val="en-US"/>
        </w:rPr>
      </w:pPr>
      <w:r w:rsidRPr="00AA0861">
        <w:rPr>
          <w:lang w:val="en-US"/>
        </w:rPr>
        <w:t xml:space="preserve">Judgment No. 224 of 2009 </w:t>
      </w:r>
      <w:r w:rsidRPr="00AA0861">
        <w:rPr>
          <w:i/>
          <w:lang w:val="en-US"/>
        </w:rPr>
        <w:t>Impartiality of the Magistrate</w:t>
      </w:r>
    </w:p>
    <w:p w:rsidR="00680631" w:rsidRPr="00AA0861" w:rsidRDefault="00680631" w:rsidP="00ED382F">
      <w:pPr>
        <w:autoSpaceDE w:val="0"/>
        <w:autoSpaceDN w:val="0"/>
        <w:adjustRightInd w:val="0"/>
        <w:spacing w:after="0"/>
        <w:rPr>
          <w:b/>
          <w:bCs/>
          <w:lang w:val="en-US"/>
        </w:rPr>
      </w:pPr>
    </w:p>
    <w:p w:rsidR="00611CF3" w:rsidRPr="00AA0861" w:rsidRDefault="00611CF3" w:rsidP="00ED382F">
      <w:pPr>
        <w:autoSpaceDE w:val="0"/>
        <w:autoSpaceDN w:val="0"/>
        <w:adjustRightInd w:val="0"/>
        <w:spacing w:after="0"/>
        <w:rPr>
          <w:b/>
          <w:bCs/>
          <w:lang w:val="en-US"/>
        </w:rPr>
      </w:pPr>
      <w:r w:rsidRPr="00AA0861">
        <w:rPr>
          <w:b/>
          <w:bCs/>
          <w:lang w:val="en-US"/>
        </w:rPr>
        <w:t xml:space="preserve">Class 3: </w:t>
      </w:r>
      <w:r w:rsidR="00097FE5" w:rsidRPr="00AA0861">
        <w:rPr>
          <w:b/>
          <w:lang w:val="en-US"/>
        </w:rPr>
        <w:t>Germany – constitutional complaints</w:t>
      </w:r>
      <w:r w:rsidR="00995577" w:rsidRPr="00AA0861">
        <w:rPr>
          <w:b/>
          <w:bCs/>
          <w:lang w:val="en-US"/>
        </w:rPr>
        <w:t xml:space="preserve"> </w:t>
      </w:r>
      <w:r w:rsidR="00097FE5" w:rsidRPr="00AA0861">
        <w:rPr>
          <w:bCs/>
          <w:lang w:val="en-US"/>
        </w:rPr>
        <w:t>[DATE TBA]</w:t>
      </w:r>
    </w:p>
    <w:p w:rsidR="00193903" w:rsidRPr="00AA0861" w:rsidRDefault="00193903" w:rsidP="00193903">
      <w:pPr>
        <w:pStyle w:val="Seznamsodrkami"/>
        <w:numPr>
          <w:ilvl w:val="0"/>
          <w:numId w:val="28"/>
        </w:numPr>
        <w:ind w:left="426"/>
        <w:rPr>
          <w:lang w:val="en-US"/>
        </w:rPr>
      </w:pPr>
      <w:r w:rsidRPr="00AA0861">
        <w:rPr>
          <w:lang w:val="en-US"/>
        </w:rPr>
        <w:t>D. Grimm, How the Constitutional Court decides, Milan conference, May 25</w:t>
      </w:r>
      <w:r w:rsidRPr="00AA0861">
        <w:rPr>
          <w:vertAlign w:val="superscript"/>
          <w:lang w:val="en-US"/>
        </w:rPr>
        <w:t>th</w:t>
      </w:r>
      <w:r w:rsidRPr="00AA0861">
        <w:rPr>
          <w:lang w:val="en-US"/>
        </w:rPr>
        <w:t xml:space="preserve"> 2007</w:t>
      </w:r>
    </w:p>
    <w:p w:rsidR="00193903" w:rsidRPr="00AA0861" w:rsidRDefault="00193903" w:rsidP="00193903">
      <w:pPr>
        <w:pStyle w:val="Seznamsodrkami"/>
        <w:numPr>
          <w:ilvl w:val="0"/>
          <w:numId w:val="28"/>
        </w:numPr>
        <w:ind w:left="426"/>
        <w:rPr>
          <w:b/>
          <w:lang w:val="en-US"/>
        </w:rPr>
      </w:pPr>
      <w:r w:rsidRPr="00AA0861">
        <w:rPr>
          <w:lang w:val="en-US"/>
        </w:rPr>
        <w:t>Gertrude Lübbe-Wolff, The German Federal Constitutional Court from the point of view of complainants in search of their constitutional rights, 2006</w:t>
      </w:r>
    </w:p>
    <w:p w:rsidR="00193903" w:rsidRPr="00AA0861" w:rsidRDefault="00193903" w:rsidP="00193903">
      <w:pPr>
        <w:pStyle w:val="Seznamsodrkami"/>
        <w:numPr>
          <w:ilvl w:val="0"/>
          <w:numId w:val="28"/>
        </w:numPr>
        <w:ind w:left="426"/>
        <w:rPr>
          <w:lang w:val="en-US"/>
        </w:rPr>
      </w:pPr>
      <w:r w:rsidRPr="00AA0861">
        <w:rPr>
          <w:lang w:val="en-US"/>
        </w:rPr>
        <w:t xml:space="preserve">D. Kommers and R. Miller, </w:t>
      </w:r>
      <w:r w:rsidRPr="00AA0861">
        <w:rPr>
          <w:i/>
          <w:lang w:val="en-US"/>
        </w:rPr>
        <w:t>Das Bundesverfassungsgericht</w:t>
      </w:r>
      <w:r w:rsidRPr="00AA0861">
        <w:rPr>
          <w:lang w:val="en-US"/>
        </w:rPr>
        <w:t xml:space="preserve">: Procedure, Practice and Policy of the German Federal Constitutional Court, </w:t>
      </w:r>
      <w:r w:rsidRPr="00AA0861">
        <w:rPr>
          <w:i/>
          <w:lang w:val="en-US"/>
        </w:rPr>
        <w:t xml:space="preserve">JCL </w:t>
      </w:r>
      <w:r w:rsidRPr="00AA0861">
        <w:rPr>
          <w:lang w:val="en-US"/>
        </w:rPr>
        <w:t>3:2 (2008), 194-211</w:t>
      </w:r>
    </w:p>
    <w:p w:rsidR="00680631" w:rsidRPr="00AA0861" w:rsidRDefault="00680631" w:rsidP="00ED382F">
      <w:pPr>
        <w:autoSpaceDE w:val="0"/>
        <w:autoSpaceDN w:val="0"/>
        <w:adjustRightInd w:val="0"/>
        <w:spacing w:after="0"/>
        <w:ind w:left="426" w:hanging="426"/>
        <w:rPr>
          <w:b/>
          <w:bCs/>
          <w:lang w:val="en-US"/>
        </w:rPr>
      </w:pPr>
    </w:p>
    <w:p w:rsidR="00A161F3" w:rsidRPr="00AA0861" w:rsidRDefault="00A161F3" w:rsidP="00A161F3">
      <w:pPr>
        <w:autoSpaceDE w:val="0"/>
        <w:autoSpaceDN w:val="0"/>
        <w:adjustRightInd w:val="0"/>
        <w:spacing w:after="0"/>
        <w:rPr>
          <w:b/>
          <w:bCs/>
          <w:lang w:val="en-US"/>
        </w:rPr>
      </w:pPr>
      <w:r w:rsidRPr="00AA0861">
        <w:rPr>
          <w:b/>
          <w:bCs/>
          <w:lang w:val="en-US"/>
        </w:rPr>
        <w:t xml:space="preserve">Class 4: </w:t>
      </w:r>
      <w:r w:rsidR="00097FE5" w:rsidRPr="00AA0861">
        <w:rPr>
          <w:b/>
          <w:lang w:val="en-US"/>
        </w:rPr>
        <w:t xml:space="preserve">France – from </w:t>
      </w:r>
      <w:r w:rsidR="00097FE5" w:rsidRPr="00AA0861">
        <w:rPr>
          <w:b/>
          <w:i/>
          <w:lang w:val="en-US"/>
        </w:rPr>
        <w:t>saisine parlementaire</w:t>
      </w:r>
      <w:r w:rsidR="00097FE5" w:rsidRPr="00AA0861">
        <w:rPr>
          <w:b/>
          <w:lang w:val="en-US"/>
        </w:rPr>
        <w:t xml:space="preserve"> to </w:t>
      </w:r>
      <w:r w:rsidR="00097FE5" w:rsidRPr="00AA0861">
        <w:rPr>
          <w:b/>
          <w:i/>
          <w:lang w:val="en-US"/>
        </w:rPr>
        <w:t>QPC</w:t>
      </w:r>
      <w:r w:rsidRPr="00AA0861">
        <w:rPr>
          <w:b/>
          <w:bCs/>
          <w:lang w:val="en-US"/>
        </w:rPr>
        <w:t xml:space="preserve"> </w:t>
      </w:r>
      <w:r w:rsidR="00097FE5" w:rsidRPr="00AA0861">
        <w:rPr>
          <w:bCs/>
          <w:lang w:val="en-US"/>
        </w:rPr>
        <w:t>[DATE TBA]</w:t>
      </w:r>
    </w:p>
    <w:p w:rsidR="00A161F3" w:rsidRPr="00AA0861" w:rsidRDefault="00F7590B" w:rsidP="00A161F3">
      <w:pPr>
        <w:numPr>
          <w:ilvl w:val="0"/>
          <w:numId w:val="28"/>
        </w:numPr>
        <w:autoSpaceDE w:val="0"/>
        <w:autoSpaceDN w:val="0"/>
        <w:adjustRightInd w:val="0"/>
        <w:spacing w:after="0"/>
        <w:ind w:left="426" w:hanging="426"/>
        <w:rPr>
          <w:lang w:val="en-US"/>
        </w:rPr>
      </w:pPr>
      <w:r w:rsidRPr="00AA0861">
        <w:rPr>
          <w:lang w:val="en-US"/>
        </w:rPr>
        <w:t>Before 2008</w:t>
      </w:r>
    </w:p>
    <w:p w:rsidR="00F7590B" w:rsidRPr="00AA0861" w:rsidRDefault="00F7590B" w:rsidP="00F7590B">
      <w:pPr>
        <w:pStyle w:val="Seznamsodrkami"/>
        <w:numPr>
          <w:ilvl w:val="0"/>
          <w:numId w:val="28"/>
        </w:numPr>
        <w:rPr>
          <w:lang w:val="en-US"/>
        </w:rPr>
      </w:pPr>
      <w:r w:rsidRPr="00AA0861">
        <w:rPr>
          <w:lang w:val="en-US"/>
        </w:rPr>
        <w:t>Décision 74-54 DC of 15 January 1975 – Abortion</w:t>
      </w:r>
    </w:p>
    <w:p w:rsidR="00F7590B" w:rsidRPr="00AA0861" w:rsidRDefault="00F7590B" w:rsidP="00F7590B">
      <w:pPr>
        <w:pStyle w:val="Seznamsodrkami"/>
        <w:numPr>
          <w:ilvl w:val="0"/>
          <w:numId w:val="28"/>
        </w:numPr>
        <w:rPr>
          <w:lang w:val="en-US"/>
        </w:rPr>
      </w:pPr>
      <w:r w:rsidRPr="00AA0861">
        <w:rPr>
          <w:lang w:val="en-US"/>
        </w:rPr>
        <w:t xml:space="preserve">Marie-Claire Ponthoreau and Fabrice Hourquebie, The French </w:t>
      </w:r>
      <w:r w:rsidRPr="00AA0861">
        <w:rPr>
          <w:i/>
          <w:lang w:val="en-US"/>
        </w:rPr>
        <w:t>Conseil Constitutionnel</w:t>
      </w:r>
      <w:r w:rsidRPr="00AA0861">
        <w:rPr>
          <w:lang w:val="en-US"/>
        </w:rPr>
        <w:t xml:space="preserve">: An Evolving Form of Constitutional Justice, </w:t>
      </w:r>
      <w:r w:rsidRPr="00AA0861">
        <w:rPr>
          <w:i/>
          <w:lang w:val="en-US"/>
        </w:rPr>
        <w:t xml:space="preserve">JCL </w:t>
      </w:r>
      <w:r w:rsidRPr="00AA0861">
        <w:rPr>
          <w:lang w:val="en-US"/>
        </w:rPr>
        <w:t>3:2</w:t>
      </w:r>
      <w:r w:rsidRPr="00AA0861">
        <w:rPr>
          <w:b/>
          <w:lang w:val="en-US"/>
        </w:rPr>
        <w:t xml:space="preserve"> </w:t>
      </w:r>
      <w:r w:rsidRPr="00AA0861">
        <w:rPr>
          <w:lang w:val="en-US"/>
        </w:rPr>
        <w:t xml:space="preserve">(2008), </w:t>
      </w:r>
      <w:r w:rsidRPr="00AA0861">
        <w:rPr>
          <w:b/>
          <w:u w:val="single"/>
          <w:lang w:val="en-US"/>
        </w:rPr>
        <w:t>only pp. 269-277</w:t>
      </w:r>
    </w:p>
    <w:p w:rsidR="00F7590B" w:rsidRPr="00AA0861" w:rsidRDefault="00F7590B" w:rsidP="00F7590B">
      <w:pPr>
        <w:pStyle w:val="Seznamsodrkami"/>
        <w:numPr>
          <w:ilvl w:val="0"/>
          <w:numId w:val="28"/>
        </w:numPr>
        <w:rPr>
          <w:lang w:val="en-US"/>
        </w:rPr>
      </w:pPr>
      <w:r w:rsidRPr="00AA0861">
        <w:rPr>
          <w:lang w:val="en-US"/>
        </w:rPr>
        <w:t xml:space="preserve">A. Stone Sweet, “Judicialization and the Construction of Governance,” in Shapiro &amp; Stone Sweet 2002, </w:t>
      </w:r>
      <w:r w:rsidRPr="00AA0861">
        <w:rPr>
          <w:b/>
          <w:u w:val="single"/>
          <w:lang w:val="en-US"/>
        </w:rPr>
        <w:t>only pp. 78-84 and the table at p. 89</w:t>
      </w:r>
    </w:p>
    <w:p w:rsidR="00F7590B" w:rsidRPr="00AA0861" w:rsidRDefault="00F7590B" w:rsidP="00A161F3">
      <w:pPr>
        <w:numPr>
          <w:ilvl w:val="0"/>
          <w:numId w:val="28"/>
        </w:numPr>
        <w:autoSpaceDE w:val="0"/>
        <w:autoSpaceDN w:val="0"/>
        <w:adjustRightInd w:val="0"/>
        <w:spacing w:after="0"/>
        <w:ind w:left="426" w:hanging="426"/>
        <w:rPr>
          <w:lang w:val="en-US"/>
        </w:rPr>
      </w:pPr>
      <w:r w:rsidRPr="00AA0861">
        <w:rPr>
          <w:lang w:val="en-US"/>
        </w:rPr>
        <w:t>After 2008</w:t>
      </w:r>
    </w:p>
    <w:p w:rsidR="00F7590B" w:rsidRPr="00AA0861" w:rsidRDefault="00F7590B" w:rsidP="00F7590B">
      <w:pPr>
        <w:pStyle w:val="Seznamsodrkami"/>
        <w:numPr>
          <w:ilvl w:val="0"/>
          <w:numId w:val="28"/>
        </w:numPr>
        <w:rPr>
          <w:lang w:val="en-US"/>
        </w:rPr>
      </w:pPr>
      <w:r w:rsidRPr="00AA0861">
        <w:rPr>
          <w:lang w:val="en-US"/>
        </w:rPr>
        <w:t>Décision n°2010-1 QPC of May 28th 2010 – Burqa Ban</w:t>
      </w:r>
    </w:p>
    <w:p w:rsidR="00F7590B" w:rsidRPr="00AA0861" w:rsidRDefault="00F7590B" w:rsidP="00F7590B">
      <w:pPr>
        <w:pStyle w:val="Seznamsodrkami"/>
        <w:numPr>
          <w:ilvl w:val="0"/>
          <w:numId w:val="28"/>
        </w:numPr>
        <w:rPr>
          <w:lang w:val="en-US"/>
        </w:rPr>
      </w:pPr>
      <w:r w:rsidRPr="00AA0861">
        <w:rPr>
          <w:lang w:val="en-US"/>
        </w:rPr>
        <w:t xml:space="preserve">O. Pfersmann, Concrete Review as Indirect Constitutional Complaint in French Constitutional Law: A Comparative Perspective, </w:t>
      </w:r>
      <w:r w:rsidRPr="00AA0861">
        <w:rPr>
          <w:i/>
          <w:lang w:val="en-US"/>
        </w:rPr>
        <w:t xml:space="preserve">European Constitutional Law Review, </w:t>
      </w:r>
      <w:r w:rsidRPr="00AA0861">
        <w:rPr>
          <w:lang w:val="en-US"/>
        </w:rPr>
        <w:t>6: 223–248, 2010</w:t>
      </w:r>
    </w:p>
    <w:p w:rsidR="00F7590B" w:rsidRPr="00AA0861" w:rsidRDefault="00F7590B" w:rsidP="00F7590B">
      <w:pPr>
        <w:pStyle w:val="Seznamsodrkami"/>
        <w:numPr>
          <w:ilvl w:val="0"/>
          <w:numId w:val="28"/>
        </w:numPr>
        <w:rPr>
          <w:lang w:val="en-US"/>
        </w:rPr>
      </w:pPr>
      <w:r w:rsidRPr="00AA0861">
        <w:rPr>
          <w:lang w:val="en-US"/>
        </w:rPr>
        <w:t xml:space="preserve">A. Dyevre, </w:t>
      </w:r>
      <w:hyperlink r:id="rId10" w:history="1">
        <w:r w:rsidRPr="00AA0861">
          <w:rPr>
            <w:color w:val="0000FF"/>
            <w:u w:val="single"/>
            <w:lang w:val="en-US"/>
          </w:rPr>
          <w:t>75% Millionaire Tax Rate Ruled Unconstitutional: Are Good Judges Bad for Democracy?</w:t>
        </w:r>
      </w:hyperlink>
      <w:r w:rsidRPr="00AA0861">
        <w:rPr>
          <w:lang w:val="en-US"/>
        </w:rPr>
        <w:t>, I-CONNECT blog, 25. 1. 2013</w:t>
      </w:r>
    </w:p>
    <w:p w:rsidR="00F7590B" w:rsidRPr="00AA0861" w:rsidRDefault="00F7590B" w:rsidP="00F7590B">
      <w:pPr>
        <w:pStyle w:val="Seznamsodrkami"/>
        <w:numPr>
          <w:ilvl w:val="0"/>
          <w:numId w:val="28"/>
        </w:numPr>
        <w:rPr>
          <w:lang w:val="en-US"/>
        </w:rPr>
      </w:pPr>
      <w:r w:rsidRPr="00AA0861">
        <w:rPr>
          <w:lang w:val="en-US"/>
        </w:rPr>
        <w:t>A. Dyevre, The Melki Way: The Melki Case and Everything You Always Wanted to Know About French Judicial Politics (But Were Afraid to Ask), 2012 (unpublished manuscript)</w:t>
      </w:r>
    </w:p>
    <w:p w:rsidR="00A161F3" w:rsidRPr="00AA0861" w:rsidRDefault="00A161F3" w:rsidP="00ED382F">
      <w:pPr>
        <w:autoSpaceDE w:val="0"/>
        <w:autoSpaceDN w:val="0"/>
        <w:adjustRightInd w:val="0"/>
        <w:spacing w:after="0"/>
        <w:ind w:left="426" w:hanging="426"/>
        <w:rPr>
          <w:b/>
          <w:bCs/>
          <w:lang w:val="en-US"/>
        </w:rPr>
      </w:pPr>
    </w:p>
    <w:p w:rsidR="00AA0861" w:rsidRDefault="00AA0861" w:rsidP="00ED382F">
      <w:pPr>
        <w:autoSpaceDE w:val="0"/>
        <w:autoSpaceDN w:val="0"/>
        <w:adjustRightInd w:val="0"/>
        <w:spacing w:after="0"/>
        <w:rPr>
          <w:b/>
          <w:bCs/>
          <w:lang w:val="en-US"/>
        </w:rPr>
      </w:pPr>
    </w:p>
    <w:p w:rsidR="00611CF3" w:rsidRPr="00AA0861" w:rsidRDefault="00611CF3" w:rsidP="00ED382F">
      <w:pPr>
        <w:autoSpaceDE w:val="0"/>
        <w:autoSpaceDN w:val="0"/>
        <w:adjustRightInd w:val="0"/>
        <w:spacing w:after="0"/>
        <w:rPr>
          <w:b/>
          <w:bCs/>
          <w:lang w:val="en-US"/>
        </w:rPr>
      </w:pPr>
      <w:r w:rsidRPr="00AA0861">
        <w:rPr>
          <w:b/>
          <w:bCs/>
          <w:lang w:val="en-US"/>
        </w:rPr>
        <w:lastRenderedPageBreak/>
        <w:t xml:space="preserve">Class 5: </w:t>
      </w:r>
      <w:r w:rsidR="00097FE5" w:rsidRPr="00AA0861">
        <w:rPr>
          <w:b/>
          <w:lang w:val="en-US"/>
        </w:rPr>
        <w:t>United States –judicial review</w:t>
      </w:r>
      <w:r w:rsidR="00995577" w:rsidRPr="00AA0861">
        <w:rPr>
          <w:b/>
          <w:bCs/>
          <w:lang w:val="en-US"/>
        </w:rPr>
        <w:t xml:space="preserve"> </w:t>
      </w:r>
      <w:r w:rsidR="00097FE5" w:rsidRPr="00AA0861">
        <w:rPr>
          <w:bCs/>
          <w:lang w:val="en-US"/>
        </w:rPr>
        <w:t>[DATE TBA]</w:t>
      </w:r>
    </w:p>
    <w:p w:rsidR="00193903" w:rsidRPr="00AA0861" w:rsidRDefault="00193903" w:rsidP="00193903">
      <w:pPr>
        <w:pStyle w:val="Seznamsodrkami"/>
        <w:numPr>
          <w:ilvl w:val="0"/>
          <w:numId w:val="28"/>
        </w:numPr>
        <w:ind w:left="567"/>
        <w:rPr>
          <w:lang w:val="en-US"/>
        </w:rPr>
      </w:pPr>
      <w:r w:rsidRPr="00AA0861">
        <w:rPr>
          <w:i/>
          <w:lang w:val="en-US"/>
        </w:rPr>
        <w:t>Marbury v. Madison</w:t>
      </w:r>
      <w:r w:rsidRPr="00AA0861">
        <w:rPr>
          <w:lang w:val="en-US"/>
        </w:rPr>
        <w:t>, 5 U.S. (1 Cranch) 137 (1803)</w:t>
      </w:r>
      <w:r w:rsidRPr="00AA0861">
        <w:rPr>
          <w:i/>
          <w:lang w:val="en-US"/>
        </w:rPr>
        <w:t xml:space="preserve"> </w:t>
      </w:r>
    </w:p>
    <w:p w:rsidR="00193903" w:rsidRPr="00AA0861" w:rsidRDefault="00193903" w:rsidP="00193903">
      <w:pPr>
        <w:pStyle w:val="Seznamsodrkami"/>
        <w:numPr>
          <w:ilvl w:val="0"/>
          <w:numId w:val="28"/>
        </w:numPr>
        <w:ind w:left="567"/>
        <w:rPr>
          <w:lang w:val="en-US"/>
        </w:rPr>
      </w:pPr>
      <w:r w:rsidRPr="00AA0861">
        <w:rPr>
          <w:lang w:val="en-US"/>
        </w:rPr>
        <w:t>R. Dahl, Decisionmaking in a Democracy: The Supreme Court as a National Policymaker, 6 J. PUB. POL. 279 (1957)</w:t>
      </w:r>
    </w:p>
    <w:p w:rsidR="00193903" w:rsidRPr="00AA0861" w:rsidRDefault="00193903" w:rsidP="00193903">
      <w:pPr>
        <w:pStyle w:val="Seznamsodrkami"/>
        <w:numPr>
          <w:ilvl w:val="0"/>
          <w:numId w:val="28"/>
        </w:numPr>
        <w:ind w:left="567"/>
        <w:rPr>
          <w:b/>
          <w:bCs/>
          <w:lang w:val="en-US"/>
        </w:rPr>
      </w:pPr>
      <w:r w:rsidRPr="00AA0861">
        <w:rPr>
          <w:lang w:val="en-US"/>
        </w:rPr>
        <w:t>J. H. ELY, DEMOCRACY AND DISTRUST, 73-104, (1980)</w:t>
      </w:r>
    </w:p>
    <w:p w:rsidR="00680631" w:rsidRPr="00AA0861" w:rsidRDefault="00193903" w:rsidP="00193903">
      <w:pPr>
        <w:pStyle w:val="Seznamsodrkami"/>
        <w:numPr>
          <w:ilvl w:val="0"/>
          <w:numId w:val="28"/>
        </w:numPr>
        <w:ind w:left="567"/>
        <w:rPr>
          <w:b/>
          <w:bCs/>
          <w:lang w:val="en-US"/>
        </w:rPr>
      </w:pPr>
      <w:r w:rsidRPr="00AA0861">
        <w:rPr>
          <w:lang w:val="en-US"/>
        </w:rPr>
        <w:t xml:space="preserve">E. Chemerinsky, Constitutional Law: Principles And Policies, 4th ed., Aspen Publishers (2011) (on case and controversy requirement et al.) – </w:t>
      </w:r>
      <w:r w:rsidRPr="00AA0861">
        <w:rPr>
          <w:rFonts w:eastAsia="Calibri"/>
          <w:b/>
          <w:bCs/>
          <w:u w:val="single"/>
          <w:lang w:val="en-US"/>
        </w:rPr>
        <w:t>only pp. 49-64, 103-105, 113-116, 129-132</w:t>
      </w:r>
      <w:r w:rsidRPr="00AA0861">
        <w:rPr>
          <w:lang w:val="en-US"/>
        </w:rPr>
        <w:t>)</w:t>
      </w:r>
    </w:p>
    <w:p w:rsidR="00193903" w:rsidRPr="00AA0861" w:rsidRDefault="00193903" w:rsidP="00ED382F">
      <w:pPr>
        <w:autoSpaceDE w:val="0"/>
        <w:autoSpaceDN w:val="0"/>
        <w:adjustRightInd w:val="0"/>
        <w:spacing w:after="0"/>
        <w:ind w:left="426" w:hanging="426"/>
        <w:rPr>
          <w:b/>
          <w:bCs/>
          <w:lang w:val="en-US"/>
        </w:rPr>
      </w:pPr>
    </w:p>
    <w:p w:rsidR="00611CF3" w:rsidRPr="00AA0861" w:rsidRDefault="00611CF3" w:rsidP="00ED382F">
      <w:pPr>
        <w:autoSpaceDE w:val="0"/>
        <w:autoSpaceDN w:val="0"/>
        <w:adjustRightInd w:val="0"/>
        <w:spacing w:after="0"/>
        <w:rPr>
          <w:b/>
          <w:bCs/>
          <w:lang w:val="en-US"/>
        </w:rPr>
      </w:pPr>
      <w:r w:rsidRPr="00AA0861">
        <w:rPr>
          <w:b/>
          <w:bCs/>
          <w:lang w:val="en-US"/>
        </w:rPr>
        <w:t xml:space="preserve">Class 6: </w:t>
      </w:r>
      <w:r w:rsidR="00097FE5" w:rsidRPr="00AA0861">
        <w:rPr>
          <w:b/>
          <w:lang w:val="en-US"/>
        </w:rPr>
        <w:t>Commonwealth model I. – Canada (“moderate judicial review”)</w:t>
      </w:r>
      <w:r w:rsidR="00995577" w:rsidRPr="00AA0861">
        <w:rPr>
          <w:b/>
          <w:bCs/>
          <w:lang w:val="en-US"/>
        </w:rPr>
        <w:t xml:space="preserve"> </w:t>
      </w:r>
      <w:r w:rsidR="00097FE5" w:rsidRPr="00AA0861">
        <w:rPr>
          <w:bCs/>
          <w:lang w:val="en-US"/>
        </w:rPr>
        <w:t>[DATE TBA]</w:t>
      </w:r>
    </w:p>
    <w:p w:rsidR="00193903" w:rsidRPr="00AA0861" w:rsidRDefault="00F7590B" w:rsidP="00193903">
      <w:pPr>
        <w:pStyle w:val="Seznamsodrkami"/>
        <w:numPr>
          <w:ilvl w:val="0"/>
          <w:numId w:val="28"/>
        </w:numPr>
        <w:rPr>
          <w:lang w:val="en-US"/>
        </w:rPr>
      </w:pPr>
      <w:r w:rsidRPr="00AA0861">
        <w:rPr>
          <w:b/>
          <w:u w:val="single"/>
          <w:lang w:val="en-US"/>
        </w:rPr>
        <w:t>reread</w:t>
      </w:r>
      <w:r w:rsidR="00193903" w:rsidRPr="00AA0861">
        <w:rPr>
          <w:lang w:val="en-US"/>
        </w:rPr>
        <w:t xml:space="preserve"> R. Hirschl, </w:t>
      </w:r>
      <w:r w:rsidR="00193903" w:rsidRPr="00AA0861">
        <w:rPr>
          <w:i/>
          <w:lang w:val="en-US"/>
        </w:rPr>
        <w:t>Towards Juristocracy</w:t>
      </w:r>
      <w:r w:rsidR="00193903" w:rsidRPr="00AA0861">
        <w:rPr>
          <w:lang w:val="en-US"/>
        </w:rPr>
        <w:t xml:space="preserve">, Harvard U.P., 2004, </w:t>
      </w:r>
      <w:r w:rsidRPr="00AA0861">
        <w:rPr>
          <w:b/>
          <w:u w:val="single"/>
          <w:lang w:val="en-US"/>
        </w:rPr>
        <w:t>only pp.</w:t>
      </w:r>
      <w:r w:rsidR="00193903" w:rsidRPr="00AA0861">
        <w:rPr>
          <w:b/>
          <w:u w:val="single"/>
          <w:lang w:val="en-US"/>
        </w:rPr>
        <w:t xml:space="preserve"> 75-82</w:t>
      </w:r>
    </w:p>
    <w:p w:rsidR="00193903" w:rsidRPr="00AA0861" w:rsidRDefault="00193903" w:rsidP="00193903">
      <w:pPr>
        <w:pStyle w:val="Seznamsodrkami"/>
        <w:numPr>
          <w:ilvl w:val="0"/>
          <w:numId w:val="28"/>
        </w:numPr>
        <w:rPr>
          <w:lang w:val="en-US"/>
        </w:rPr>
      </w:pPr>
      <w:r w:rsidRPr="00AA0861">
        <w:rPr>
          <w:rStyle w:val="citation"/>
          <w:lang w:val="en-US"/>
        </w:rPr>
        <w:t xml:space="preserve">Hogg, Peter; Bushell, Allison (1997). "The Charter Dialogue </w:t>
      </w:r>
      <w:r w:rsidR="00F7590B" w:rsidRPr="00AA0861">
        <w:rPr>
          <w:rStyle w:val="citation"/>
          <w:lang w:val="en-US"/>
        </w:rPr>
        <w:t>between</w:t>
      </w:r>
      <w:r w:rsidRPr="00AA0861">
        <w:rPr>
          <w:rStyle w:val="citation"/>
          <w:lang w:val="en-US"/>
        </w:rPr>
        <w:t xml:space="preserve"> Courts and Legislatures". </w:t>
      </w:r>
      <w:r w:rsidRPr="00AA0861">
        <w:rPr>
          <w:rStyle w:val="citation"/>
          <w:i/>
          <w:iCs w:val="0"/>
          <w:lang w:val="en-US"/>
        </w:rPr>
        <w:t>Osgoode Hall Law Journal</w:t>
      </w:r>
      <w:r w:rsidRPr="00AA0861">
        <w:rPr>
          <w:rStyle w:val="citation"/>
          <w:lang w:val="en-US"/>
        </w:rPr>
        <w:t xml:space="preserve"> </w:t>
      </w:r>
      <w:r w:rsidRPr="00AA0861">
        <w:rPr>
          <w:rStyle w:val="citation"/>
          <w:bCs/>
          <w:lang w:val="en-US"/>
        </w:rPr>
        <w:t>35</w:t>
      </w:r>
      <w:r w:rsidRPr="00AA0861">
        <w:rPr>
          <w:rStyle w:val="citation"/>
          <w:lang w:val="en-US"/>
        </w:rPr>
        <w:t xml:space="preserve"> (1): 75–124 (extracts)</w:t>
      </w:r>
    </w:p>
    <w:p w:rsidR="00193903" w:rsidRPr="00AA0861" w:rsidRDefault="00193903" w:rsidP="00193903">
      <w:pPr>
        <w:pStyle w:val="Seznamsodrkami"/>
        <w:numPr>
          <w:ilvl w:val="0"/>
          <w:numId w:val="28"/>
        </w:numPr>
        <w:rPr>
          <w:lang w:val="en-US"/>
        </w:rPr>
      </w:pPr>
      <w:r w:rsidRPr="00AA0861">
        <w:rPr>
          <w:lang w:val="en-US"/>
        </w:rPr>
        <w:t>Stephen Gardbaum, “Reassessing the new</w:t>
      </w:r>
      <w:r w:rsidRPr="00AA0861">
        <w:rPr>
          <w:bCs/>
          <w:lang w:val="en-US"/>
        </w:rPr>
        <w:t xml:space="preserve"> Commonwealth Model of Constitutionalism”, </w:t>
      </w:r>
      <w:r w:rsidRPr="00AA0861">
        <w:rPr>
          <w:i/>
          <w:lang w:val="en-US"/>
        </w:rPr>
        <w:t>International Journal of Constitutional Law</w:t>
      </w:r>
      <w:r w:rsidRPr="00AA0861">
        <w:rPr>
          <w:lang w:val="en-US"/>
        </w:rPr>
        <w:t xml:space="preserve">, Vol. 8, No. 2, 2010, </w:t>
      </w:r>
      <w:r w:rsidR="00F7590B" w:rsidRPr="00AA0861">
        <w:rPr>
          <w:lang w:val="en-US"/>
        </w:rPr>
        <w:t>pp.</w:t>
      </w:r>
      <w:r w:rsidRPr="00AA0861">
        <w:rPr>
          <w:lang w:val="en-US"/>
        </w:rPr>
        <w:t xml:space="preserve"> 1-41</w:t>
      </w:r>
    </w:p>
    <w:p w:rsidR="00193903" w:rsidRPr="00AA0861" w:rsidRDefault="00193903" w:rsidP="00193903">
      <w:pPr>
        <w:pStyle w:val="Seznamsodrkami"/>
        <w:numPr>
          <w:ilvl w:val="0"/>
          <w:numId w:val="28"/>
        </w:numPr>
        <w:rPr>
          <w:lang w:val="en-US"/>
        </w:rPr>
      </w:pPr>
      <w:r w:rsidRPr="00AA0861">
        <w:rPr>
          <w:lang w:val="en-US"/>
        </w:rPr>
        <w:t xml:space="preserve">T. Kahana, “The Notwithstanding Mechanism and Public Discussion”, </w:t>
      </w:r>
      <w:r w:rsidRPr="00AA0861">
        <w:rPr>
          <w:i/>
          <w:lang w:val="en-US"/>
        </w:rPr>
        <w:t>University of Toronto Law Journal</w:t>
      </w:r>
      <w:r w:rsidRPr="00AA0861">
        <w:rPr>
          <w:lang w:val="en-US"/>
        </w:rPr>
        <w:t xml:space="preserve">, Vol. 52, No. 2 (Spring, 2002), </w:t>
      </w:r>
      <w:r w:rsidR="00F7590B" w:rsidRPr="00AA0861">
        <w:rPr>
          <w:lang w:val="en-US"/>
        </w:rPr>
        <w:t>pp.</w:t>
      </w:r>
      <w:r w:rsidRPr="00AA0861">
        <w:rPr>
          <w:lang w:val="en-US"/>
        </w:rPr>
        <w:t xml:space="preserve"> 221-274 </w:t>
      </w:r>
      <w:r w:rsidR="00B5339B" w:rsidRPr="00AA0861">
        <w:rPr>
          <w:b/>
          <w:u w:val="single"/>
          <w:lang w:val="en-US"/>
        </w:rPr>
        <w:t>or</w:t>
      </w:r>
      <w:r w:rsidRPr="00AA0861">
        <w:rPr>
          <w:b/>
          <w:lang w:val="en-US"/>
        </w:rPr>
        <w:t xml:space="preserve"> </w:t>
      </w:r>
      <w:r w:rsidRPr="00AA0861">
        <w:rPr>
          <w:lang w:val="en-US"/>
        </w:rPr>
        <w:t xml:space="preserve">T. Kahana, “The notwithstanding mechanism and public discussion: Lessons from the ignored practice of section 33 of the Charter”, Canadian Public Administration, (2001) 44: 255–291. </w:t>
      </w:r>
    </w:p>
    <w:p w:rsidR="00193903" w:rsidRPr="00AA0861" w:rsidRDefault="00193903" w:rsidP="00ED382F">
      <w:pPr>
        <w:autoSpaceDE w:val="0"/>
        <w:autoSpaceDN w:val="0"/>
        <w:adjustRightInd w:val="0"/>
        <w:spacing w:after="0"/>
        <w:rPr>
          <w:b/>
          <w:bCs/>
          <w:lang w:val="en-US"/>
        </w:rPr>
      </w:pPr>
    </w:p>
    <w:p w:rsidR="00611CF3" w:rsidRPr="00AA0861" w:rsidRDefault="00611CF3" w:rsidP="00ED382F">
      <w:pPr>
        <w:autoSpaceDE w:val="0"/>
        <w:autoSpaceDN w:val="0"/>
        <w:adjustRightInd w:val="0"/>
        <w:spacing w:after="0"/>
        <w:rPr>
          <w:b/>
          <w:bCs/>
          <w:lang w:val="en-US"/>
        </w:rPr>
      </w:pPr>
      <w:r w:rsidRPr="00AA0861">
        <w:rPr>
          <w:b/>
          <w:bCs/>
          <w:lang w:val="en-US"/>
        </w:rPr>
        <w:t xml:space="preserve">Class 7: </w:t>
      </w:r>
      <w:r w:rsidR="00097FE5" w:rsidRPr="00AA0861">
        <w:rPr>
          <w:b/>
          <w:lang w:val="en-US"/>
        </w:rPr>
        <w:t>Commonwealth model II. – New Zealand, UK, Australia (“weak judicial review”)</w:t>
      </w:r>
      <w:r w:rsidR="00097FE5" w:rsidRPr="00AA0861">
        <w:rPr>
          <w:bCs/>
          <w:lang w:val="en-US"/>
        </w:rPr>
        <w:t xml:space="preserve"> [DATE TBA]</w:t>
      </w:r>
    </w:p>
    <w:p w:rsidR="00193903" w:rsidRPr="00AA0861" w:rsidRDefault="00F7590B" w:rsidP="00193903">
      <w:pPr>
        <w:pStyle w:val="Seznamsodrkami"/>
        <w:rPr>
          <w:lang w:val="en-US"/>
        </w:rPr>
      </w:pPr>
      <w:r w:rsidRPr="00AA0861">
        <w:rPr>
          <w:b/>
          <w:u w:val="single"/>
          <w:lang w:val="en-US"/>
        </w:rPr>
        <w:t>reread</w:t>
      </w:r>
      <w:r w:rsidR="00193903" w:rsidRPr="00AA0861">
        <w:rPr>
          <w:lang w:val="en-US"/>
        </w:rPr>
        <w:t xml:space="preserve"> R. Hirschl, </w:t>
      </w:r>
      <w:r w:rsidR="00193903" w:rsidRPr="00AA0861">
        <w:rPr>
          <w:i/>
          <w:lang w:val="en-US"/>
        </w:rPr>
        <w:t>Towards Juristocracy</w:t>
      </w:r>
      <w:r w:rsidR="00193903" w:rsidRPr="00AA0861">
        <w:rPr>
          <w:lang w:val="en-US"/>
        </w:rPr>
        <w:t xml:space="preserve">, Harvard U.P., 2004, </w:t>
      </w:r>
      <w:r w:rsidRPr="00AA0861">
        <w:rPr>
          <w:b/>
          <w:u w:val="single"/>
          <w:lang w:val="en-US"/>
        </w:rPr>
        <w:t>only pp.</w:t>
      </w:r>
      <w:r w:rsidR="00193903" w:rsidRPr="00AA0861">
        <w:rPr>
          <w:b/>
          <w:u w:val="single"/>
          <w:lang w:val="en-US"/>
        </w:rPr>
        <w:t xml:space="preserve"> 82-89</w:t>
      </w:r>
    </w:p>
    <w:p w:rsidR="00B5339B" w:rsidRPr="00AA0861" w:rsidRDefault="00B5339B" w:rsidP="00193903">
      <w:pPr>
        <w:pStyle w:val="Seznamsodrkami"/>
        <w:rPr>
          <w:lang w:val="en-US"/>
        </w:rPr>
      </w:pPr>
      <w:r w:rsidRPr="00AA0861">
        <w:rPr>
          <w:b/>
          <w:u w:val="single"/>
          <w:lang w:val="en-US"/>
        </w:rPr>
        <w:t>recall</w:t>
      </w:r>
      <w:r w:rsidRPr="00AA0861">
        <w:rPr>
          <w:lang w:val="en-US"/>
        </w:rPr>
        <w:t xml:space="preserve"> from the previous class Stephen Gardbaum, “Reassessing the new</w:t>
      </w:r>
      <w:r w:rsidRPr="00AA0861">
        <w:rPr>
          <w:bCs/>
          <w:lang w:val="en-US"/>
        </w:rPr>
        <w:t xml:space="preserve"> Commonwealth Model of Constitutionalism”, </w:t>
      </w:r>
      <w:r w:rsidRPr="00AA0861">
        <w:rPr>
          <w:i/>
          <w:lang w:val="en-US"/>
        </w:rPr>
        <w:t>International Journal of Constitutional Law</w:t>
      </w:r>
      <w:r w:rsidRPr="00AA0861">
        <w:rPr>
          <w:lang w:val="en-US"/>
        </w:rPr>
        <w:t>, Vol. 8, No. 2, 2010, pp. 1-41</w:t>
      </w:r>
    </w:p>
    <w:p w:rsidR="00193903" w:rsidRPr="00AA0861" w:rsidRDefault="00193903" w:rsidP="00193903">
      <w:pPr>
        <w:pStyle w:val="Seznamsodrkami"/>
        <w:rPr>
          <w:lang w:val="en-US"/>
        </w:rPr>
      </w:pPr>
      <w:r w:rsidRPr="00AA0861">
        <w:rPr>
          <w:lang w:val="en-US"/>
        </w:rPr>
        <w:t>James Kelly, “</w:t>
      </w:r>
      <w:r w:rsidRPr="00AA0861">
        <w:rPr>
          <w:bCs/>
          <w:lang w:val="en-US"/>
        </w:rPr>
        <w:t xml:space="preserve">Judicial Review as ‘No-fault’ Insurance: The New Zealand Bill of Rights Act, </w:t>
      </w:r>
      <w:smartTag w:uri="urn:schemas-microsoft-com:office:smarttags" w:element="metricconverter">
        <w:smartTagPr>
          <w:attr w:name="ProductID" w:val="1990”"/>
        </w:smartTagPr>
        <w:r w:rsidRPr="00AA0861">
          <w:rPr>
            <w:bCs/>
            <w:lang w:val="en-US"/>
          </w:rPr>
          <w:t>1990”</w:t>
        </w:r>
      </w:smartTag>
      <w:r w:rsidRPr="00AA0861">
        <w:rPr>
          <w:bCs/>
          <w:lang w:val="en-US"/>
        </w:rPr>
        <w:t xml:space="preserve">, </w:t>
      </w:r>
      <w:r w:rsidRPr="00AA0861">
        <w:rPr>
          <w:lang w:val="en-US"/>
        </w:rPr>
        <w:t>A Paper Presented at RC 09 (Comparative Judicial Studies) International Political Science Association, June 21-23, 2010 , University of Bologna, Italy</w:t>
      </w:r>
    </w:p>
    <w:p w:rsidR="00193903" w:rsidRPr="00AA0861" w:rsidRDefault="00193903" w:rsidP="00193903">
      <w:pPr>
        <w:pStyle w:val="Seznamsodrkami"/>
        <w:rPr>
          <w:lang w:val="en-US"/>
        </w:rPr>
      </w:pPr>
      <w:r w:rsidRPr="00AA0861">
        <w:rPr>
          <w:lang w:val="en-US"/>
        </w:rPr>
        <w:t xml:space="preserve">Ian Leigh, “The standard of judicial review after the Human Rights Act”, in </w:t>
      </w:r>
      <w:r w:rsidRPr="00AA0861">
        <w:rPr>
          <w:i/>
          <w:lang w:val="en-US"/>
        </w:rPr>
        <w:t>Judicial Reasoning Under the UK Human Rights</w:t>
      </w:r>
      <w:r w:rsidRPr="00AA0861">
        <w:rPr>
          <w:smallCaps/>
          <w:lang w:val="en-US"/>
        </w:rPr>
        <w:t xml:space="preserve">, </w:t>
      </w:r>
      <w:r w:rsidRPr="00AA0861">
        <w:rPr>
          <w:lang w:val="en-US"/>
        </w:rPr>
        <w:t xml:space="preserve">Helen Fenwick, et al., eds. 2007, </w:t>
      </w:r>
      <w:r w:rsidR="00F7590B" w:rsidRPr="00AA0861">
        <w:rPr>
          <w:lang w:val="en-US"/>
        </w:rPr>
        <w:t>pp.</w:t>
      </w:r>
      <w:r w:rsidRPr="00AA0861">
        <w:rPr>
          <w:lang w:val="en-US"/>
        </w:rPr>
        <w:t xml:space="preserve"> 174-205</w:t>
      </w:r>
    </w:p>
    <w:p w:rsidR="00193903" w:rsidRPr="00AA0861" w:rsidRDefault="00193903" w:rsidP="00193903">
      <w:pPr>
        <w:pStyle w:val="Seznamsodrkami"/>
        <w:rPr>
          <w:lang w:val="en-US"/>
        </w:rPr>
      </w:pPr>
      <w:r w:rsidRPr="00AA0861">
        <w:rPr>
          <w:lang w:val="en-US"/>
        </w:rPr>
        <w:t>J. L. Pierce, D. L. Weiden &amp; R. D. Wood, “The changing role of the High Court of Australia”, Prepared for delivery at the</w:t>
      </w:r>
      <w:r w:rsidRPr="00AA0861">
        <w:rPr>
          <w:b/>
          <w:lang w:val="en-US"/>
        </w:rPr>
        <w:t xml:space="preserve"> </w:t>
      </w:r>
      <w:r w:rsidRPr="00AA0861">
        <w:rPr>
          <w:lang w:val="en-US"/>
        </w:rPr>
        <w:t>IPSA Interim Meeting, 2010, Bologna, Italy</w:t>
      </w:r>
    </w:p>
    <w:p w:rsidR="00475EDC" w:rsidRPr="00AA0861" w:rsidRDefault="00475EDC" w:rsidP="008C58E5">
      <w:pPr>
        <w:autoSpaceDE w:val="0"/>
        <w:autoSpaceDN w:val="0"/>
        <w:adjustRightInd w:val="0"/>
        <w:spacing w:after="0"/>
        <w:ind w:left="426" w:hanging="426"/>
        <w:rPr>
          <w:b/>
          <w:bCs/>
          <w:lang w:val="en-US"/>
        </w:rPr>
      </w:pPr>
    </w:p>
    <w:p w:rsidR="00611CF3" w:rsidRPr="00AA0861" w:rsidRDefault="00611CF3" w:rsidP="008C58E5">
      <w:pPr>
        <w:autoSpaceDE w:val="0"/>
        <w:autoSpaceDN w:val="0"/>
        <w:adjustRightInd w:val="0"/>
        <w:spacing w:after="0"/>
        <w:rPr>
          <w:b/>
          <w:bCs/>
          <w:lang w:val="en-US"/>
        </w:rPr>
      </w:pPr>
      <w:r w:rsidRPr="00AA0861">
        <w:rPr>
          <w:b/>
          <w:bCs/>
          <w:lang w:val="en-US"/>
        </w:rPr>
        <w:t xml:space="preserve">Class 8: </w:t>
      </w:r>
      <w:r w:rsidR="00193903" w:rsidRPr="00AA0861">
        <w:rPr>
          <w:b/>
          <w:lang w:val="en-US"/>
        </w:rPr>
        <w:t>South Africa – constitutional court in the one-party State</w:t>
      </w:r>
      <w:r w:rsidR="00995577" w:rsidRPr="00AA0861">
        <w:rPr>
          <w:b/>
          <w:bCs/>
          <w:lang w:val="en-US"/>
        </w:rPr>
        <w:t xml:space="preserve"> </w:t>
      </w:r>
      <w:r w:rsidR="00097FE5" w:rsidRPr="00AA0861">
        <w:rPr>
          <w:bCs/>
          <w:lang w:val="en-US"/>
        </w:rPr>
        <w:t>[DATE TBA]</w:t>
      </w:r>
    </w:p>
    <w:p w:rsidR="00193903" w:rsidRPr="00AA0861" w:rsidRDefault="00193903" w:rsidP="00193903">
      <w:pPr>
        <w:pStyle w:val="Odstavecseseznamem"/>
        <w:numPr>
          <w:ilvl w:val="0"/>
          <w:numId w:val="28"/>
        </w:numPr>
        <w:spacing w:after="0" w:line="240" w:lineRule="auto"/>
        <w:jc w:val="both"/>
        <w:rPr>
          <w:rFonts w:ascii="Times New Roman" w:hAnsi="Times New Roman"/>
          <w:sz w:val="24"/>
          <w:szCs w:val="24"/>
        </w:rPr>
      </w:pPr>
      <w:r w:rsidRPr="00AA0861">
        <w:rPr>
          <w:rFonts w:ascii="Times New Roman" w:hAnsi="Times New Roman"/>
          <w:b/>
          <w:sz w:val="24"/>
          <w:szCs w:val="24"/>
          <w:u w:val="single"/>
        </w:rPr>
        <w:t>reread</w:t>
      </w:r>
      <w:r w:rsidRPr="00AA0861">
        <w:rPr>
          <w:rFonts w:ascii="Times New Roman" w:hAnsi="Times New Roman"/>
          <w:sz w:val="24"/>
          <w:szCs w:val="24"/>
        </w:rPr>
        <w:t xml:space="preserve"> R. Hirschl, </w:t>
      </w:r>
      <w:r w:rsidRPr="00AA0861">
        <w:rPr>
          <w:rFonts w:ascii="Times New Roman" w:hAnsi="Times New Roman"/>
          <w:i/>
          <w:sz w:val="24"/>
          <w:szCs w:val="24"/>
        </w:rPr>
        <w:t>Towards Juristocracy</w:t>
      </w:r>
      <w:r w:rsidRPr="00AA0861">
        <w:rPr>
          <w:rFonts w:ascii="Times New Roman" w:hAnsi="Times New Roman"/>
          <w:sz w:val="24"/>
          <w:szCs w:val="24"/>
        </w:rPr>
        <w:t xml:space="preserve">, Harvard U.P., 2004, </w:t>
      </w:r>
      <w:r w:rsidR="00F7590B" w:rsidRPr="00AA0861">
        <w:rPr>
          <w:rFonts w:ascii="Times New Roman" w:hAnsi="Times New Roman"/>
          <w:b/>
          <w:sz w:val="24"/>
          <w:szCs w:val="24"/>
          <w:u w:val="single"/>
        </w:rPr>
        <w:t>only pp.</w:t>
      </w:r>
      <w:r w:rsidRPr="00AA0861">
        <w:rPr>
          <w:rFonts w:ascii="Times New Roman" w:hAnsi="Times New Roman"/>
          <w:b/>
          <w:sz w:val="24"/>
          <w:szCs w:val="24"/>
          <w:u w:val="single"/>
        </w:rPr>
        <w:t xml:space="preserve"> 89-99</w:t>
      </w:r>
    </w:p>
    <w:p w:rsidR="00193903" w:rsidRPr="00AA0861" w:rsidRDefault="00193903" w:rsidP="00193903">
      <w:pPr>
        <w:pStyle w:val="Seznamsodrkami"/>
        <w:numPr>
          <w:ilvl w:val="0"/>
          <w:numId w:val="28"/>
        </w:numPr>
        <w:rPr>
          <w:lang w:val="en-US"/>
        </w:rPr>
      </w:pPr>
      <w:r w:rsidRPr="00AA0861">
        <w:rPr>
          <w:lang w:val="en-US"/>
        </w:rPr>
        <w:t xml:space="preserve">H. Klug, South Africa’s Constitutional Court: Enabling Democracy and Promoting Law in the Transition from Apartheid, </w:t>
      </w:r>
      <w:r w:rsidRPr="00AA0861">
        <w:rPr>
          <w:i/>
          <w:lang w:val="en-US"/>
        </w:rPr>
        <w:t xml:space="preserve">JCL </w:t>
      </w:r>
      <w:r w:rsidRPr="00AA0861">
        <w:rPr>
          <w:lang w:val="en-US"/>
        </w:rPr>
        <w:t>3:2</w:t>
      </w:r>
      <w:r w:rsidRPr="00AA0861">
        <w:rPr>
          <w:b/>
          <w:lang w:val="en-US"/>
        </w:rPr>
        <w:t xml:space="preserve"> </w:t>
      </w:r>
      <w:r w:rsidRPr="00AA0861">
        <w:rPr>
          <w:lang w:val="en-US"/>
        </w:rPr>
        <w:t>(2008), 174-193</w:t>
      </w:r>
    </w:p>
    <w:p w:rsidR="00193903" w:rsidRPr="00AA0861" w:rsidRDefault="00193903" w:rsidP="00193903">
      <w:pPr>
        <w:pStyle w:val="Seznamsodrkami"/>
        <w:numPr>
          <w:ilvl w:val="0"/>
          <w:numId w:val="28"/>
        </w:numPr>
        <w:rPr>
          <w:lang w:val="en-US"/>
        </w:rPr>
      </w:pPr>
      <w:r w:rsidRPr="00AA0861">
        <w:rPr>
          <w:lang w:val="en-US"/>
        </w:rPr>
        <w:t xml:space="preserve">T. Roux, “Legitimating Transformation: Political Resource Allocation in the South African Constitutional Court”, </w:t>
      </w:r>
      <w:r w:rsidRPr="00AA0861">
        <w:rPr>
          <w:i/>
          <w:lang w:val="en-US"/>
        </w:rPr>
        <w:t>Democratization</w:t>
      </w:r>
      <w:r w:rsidRPr="00AA0861">
        <w:rPr>
          <w:lang w:val="en-US"/>
        </w:rPr>
        <w:t xml:space="preserve">, Volume 10, Issue 4, 2003, </w:t>
      </w:r>
      <w:r w:rsidR="00F7590B" w:rsidRPr="00AA0861">
        <w:rPr>
          <w:lang w:val="en-US"/>
        </w:rPr>
        <w:t>pp.</w:t>
      </w:r>
      <w:r w:rsidRPr="00AA0861">
        <w:rPr>
          <w:lang w:val="en-US"/>
        </w:rPr>
        <w:t xml:space="preserve"> 92–111</w:t>
      </w:r>
    </w:p>
    <w:p w:rsidR="00193903" w:rsidRPr="00AA0861" w:rsidRDefault="00193903" w:rsidP="00193903">
      <w:pPr>
        <w:pStyle w:val="Odstavecseseznamem"/>
        <w:numPr>
          <w:ilvl w:val="0"/>
          <w:numId w:val="28"/>
        </w:numPr>
        <w:spacing w:after="0" w:line="240" w:lineRule="auto"/>
        <w:jc w:val="both"/>
        <w:rPr>
          <w:rFonts w:ascii="Times New Roman" w:hAnsi="Times New Roman"/>
          <w:sz w:val="24"/>
          <w:szCs w:val="24"/>
        </w:rPr>
      </w:pPr>
      <w:r w:rsidRPr="00AA0861">
        <w:rPr>
          <w:rFonts w:ascii="Times New Roman" w:hAnsi="Times New Roman"/>
          <w:sz w:val="24"/>
          <w:szCs w:val="24"/>
        </w:rPr>
        <w:t xml:space="preserve"> T. Roux, “Principle and Pragmatism on the Constitutional Court of South Africa”,   </w:t>
      </w:r>
      <w:r w:rsidRPr="00AA0861">
        <w:rPr>
          <w:rFonts w:ascii="Times New Roman" w:hAnsi="Times New Roman"/>
          <w:i/>
          <w:sz w:val="24"/>
          <w:szCs w:val="24"/>
        </w:rPr>
        <w:t>International Journal of Constitutional Law</w:t>
      </w:r>
      <w:r w:rsidRPr="00AA0861">
        <w:rPr>
          <w:rFonts w:ascii="Times New Roman" w:hAnsi="Times New Roman"/>
          <w:sz w:val="24"/>
          <w:szCs w:val="24"/>
        </w:rPr>
        <w:t xml:space="preserve">,  Volume 7, Number 1, 2009, </w:t>
      </w:r>
      <w:r w:rsidR="00F7590B" w:rsidRPr="00AA0861">
        <w:rPr>
          <w:rFonts w:ascii="Times New Roman" w:hAnsi="Times New Roman"/>
          <w:sz w:val="24"/>
          <w:szCs w:val="24"/>
        </w:rPr>
        <w:t>pp.</w:t>
      </w:r>
      <w:r w:rsidRPr="00AA0861">
        <w:rPr>
          <w:rFonts w:ascii="Times New Roman" w:hAnsi="Times New Roman"/>
          <w:sz w:val="24"/>
          <w:szCs w:val="24"/>
        </w:rPr>
        <w:t xml:space="preserve"> 106-138</w:t>
      </w:r>
    </w:p>
    <w:p w:rsidR="00680631" w:rsidRPr="00AA0861" w:rsidRDefault="00680631" w:rsidP="008C58E5">
      <w:pPr>
        <w:autoSpaceDE w:val="0"/>
        <w:autoSpaceDN w:val="0"/>
        <w:adjustRightInd w:val="0"/>
        <w:spacing w:after="0"/>
        <w:ind w:left="426" w:hanging="426"/>
        <w:rPr>
          <w:b/>
          <w:bCs/>
          <w:lang w:val="en-US"/>
        </w:rPr>
      </w:pPr>
    </w:p>
    <w:p w:rsidR="00AA0861" w:rsidRDefault="00AA0861" w:rsidP="008C58E5">
      <w:pPr>
        <w:autoSpaceDE w:val="0"/>
        <w:autoSpaceDN w:val="0"/>
        <w:adjustRightInd w:val="0"/>
        <w:spacing w:after="0"/>
        <w:ind w:left="426" w:hanging="426"/>
        <w:rPr>
          <w:b/>
          <w:bCs/>
          <w:lang w:val="en-US"/>
        </w:rPr>
      </w:pPr>
    </w:p>
    <w:p w:rsidR="00AA0861" w:rsidRDefault="00AA0861" w:rsidP="008C58E5">
      <w:pPr>
        <w:autoSpaceDE w:val="0"/>
        <w:autoSpaceDN w:val="0"/>
        <w:adjustRightInd w:val="0"/>
        <w:spacing w:after="0"/>
        <w:ind w:left="426" w:hanging="426"/>
        <w:rPr>
          <w:b/>
          <w:bCs/>
          <w:lang w:val="en-US"/>
        </w:rPr>
      </w:pPr>
    </w:p>
    <w:p w:rsidR="00AA0861" w:rsidRDefault="00AA0861" w:rsidP="008C58E5">
      <w:pPr>
        <w:autoSpaceDE w:val="0"/>
        <w:autoSpaceDN w:val="0"/>
        <w:adjustRightInd w:val="0"/>
        <w:spacing w:after="0"/>
        <w:ind w:left="426" w:hanging="426"/>
        <w:rPr>
          <w:b/>
          <w:bCs/>
          <w:lang w:val="en-US"/>
        </w:rPr>
      </w:pPr>
    </w:p>
    <w:p w:rsidR="00611CF3" w:rsidRPr="00AA0861" w:rsidRDefault="00611CF3" w:rsidP="008C58E5">
      <w:pPr>
        <w:autoSpaceDE w:val="0"/>
        <w:autoSpaceDN w:val="0"/>
        <w:adjustRightInd w:val="0"/>
        <w:spacing w:after="0"/>
        <w:ind w:left="426" w:hanging="426"/>
        <w:rPr>
          <w:b/>
          <w:bCs/>
          <w:lang w:val="en-US"/>
        </w:rPr>
      </w:pPr>
      <w:r w:rsidRPr="00AA0861">
        <w:rPr>
          <w:b/>
          <w:bCs/>
          <w:lang w:val="en-US"/>
        </w:rPr>
        <w:lastRenderedPageBreak/>
        <w:t xml:space="preserve">Class 9: </w:t>
      </w:r>
      <w:r w:rsidR="00193903" w:rsidRPr="00AA0861">
        <w:rPr>
          <w:b/>
          <w:lang w:val="en-US"/>
        </w:rPr>
        <w:t>Israel – strong judicial review without a written constitution</w:t>
      </w:r>
      <w:r w:rsidR="00995577" w:rsidRPr="00AA0861">
        <w:rPr>
          <w:b/>
          <w:bCs/>
          <w:lang w:val="en-US"/>
        </w:rPr>
        <w:t xml:space="preserve"> </w:t>
      </w:r>
      <w:r w:rsidR="00097FE5" w:rsidRPr="00AA0861">
        <w:rPr>
          <w:bCs/>
          <w:lang w:val="en-US"/>
        </w:rPr>
        <w:t>[DATE TBA]</w:t>
      </w:r>
    </w:p>
    <w:p w:rsidR="00193903" w:rsidRPr="00AA0861" w:rsidRDefault="00193903" w:rsidP="00193903">
      <w:pPr>
        <w:pStyle w:val="Odstavecseseznamem"/>
        <w:numPr>
          <w:ilvl w:val="0"/>
          <w:numId w:val="28"/>
        </w:numPr>
        <w:spacing w:after="0" w:line="240" w:lineRule="auto"/>
        <w:jc w:val="both"/>
        <w:rPr>
          <w:rFonts w:ascii="Times New Roman" w:hAnsi="Times New Roman"/>
          <w:sz w:val="24"/>
          <w:szCs w:val="24"/>
        </w:rPr>
      </w:pPr>
      <w:r w:rsidRPr="00AA0861">
        <w:rPr>
          <w:rFonts w:ascii="Times New Roman" w:hAnsi="Times New Roman"/>
          <w:b/>
          <w:sz w:val="24"/>
          <w:szCs w:val="24"/>
          <w:u w:val="single"/>
        </w:rPr>
        <w:t>reread</w:t>
      </w:r>
      <w:r w:rsidRPr="00AA0861">
        <w:rPr>
          <w:rFonts w:ascii="Times New Roman" w:hAnsi="Times New Roman"/>
          <w:sz w:val="24"/>
          <w:szCs w:val="24"/>
        </w:rPr>
        <w:t xml:space="preserve"> R. Hirschl, </w:t>
      </w:r>
      <w:r w:rsidRPr="00AA0861">
        <w:rPr>
          <w:rFonts w:ascii="Times New Roman" w:hAnsi="Times New Roman"/>
          <w:i/>
          <w:sz w:val="24"/>
          <w:szCs w:val="24"/>
        </w:rPr>
        <w:t>Towards Juristocracy</w:t>
      </w:r>
      <w:r w:rsidRPr="00AA0861">
        <w:rPr>
          <w:rFonts w:ascii="Times New Roman" w:hAnsi="Times New Roman"/>
          <w:sz w:val="24"/>
          <w:szCs w:val="24"/>
        </w:rPr>
        <w:t xml:space="preserve">, Harvard U.P., 2004, </w:t>
      </w:r>
      <w:r w:rsidR="00F7590B" w:rsidRPr="00AA0861">
        <w:rPr>
          <w:rFonts w:ascii="Times New Roman" w:hAnsi="Times New Roman"/>
          <w:b/>
          <w:sz w:val="24"/>
          <w:szCs w:val="24"/>
          <w:u w:val="single"/>
        </w:rPr>
        <w:t>only pp.</w:t>
      </w:r>
      <w:r w:rsidRPr="00AA0861">
        <w:rPr>
          <w:rFonts w:ascii="Times New Roman" w:hAnsi="Times New Roman"/>
          <w:b/>
          <w:sz w:val="24"/>
          <w:szCs w:val="24"/>
          <w:u w:val="single"/>
        </w:rPr>
        <w:t xml:space="preserve"> 89-99</w:t>
      </w:r>
    </w:p>
    <w:p w:rsidR="00193903" w:rsidRPr="00AA0861" w:rsidRDefault="00193903" w:rsidP="00193903">
      <w:pPr>
        <w:pStyle w:val="Seznamsodrkami"/>
        <w:numPr>
          <w:ilvl w:val="0"/>
          <w:numId w:val="28"/>
        </w:numPr>
        <w:rPr>
          <w:lang w:val="en-US"/>
        </w:rPr>
      </w:pPr>
      <w:r w:rsidRPr="00AA0861">
        <w:rPr>
          <w:lang w:val="en-US"/>
        </w:rPr>
        <w:t xml:space="preserve">Joshua Segev, Who Needs </w:t>
      </w:r>
      <w:r w:rsidR="00B5339B" w:rsidRPr="00AA0861">
        <w:rPr>
          <w:lang w:val="en-US"/>
        </w:rPr>
        <w:t>a</w:t>
      </w:r>
      <w:r w:rsidRPr="00AA0861">
        <w:rPr>
          <w:lang w:val="en-US"/>
        </w:rPr>
        <w:t xml:space="preserve"> Constitution? In Defense of the Non-Decision Constitution-Making Tactic in Israel, 70 Alb. L. Rev. 409 (2006-2007)</w:t>
      </w:r>
    </w:p>
    <w:p w:rsidR="00193903" w:rsidRPr="00AA0861" w:rsidRDefault="00193903" w:rsidP="00193903">
      <w:pPr>
        <w:pStyle w:val="Seznamsodrkami"/>
        <w:numPr>
          <w:ilvl w:val="0"/>
          <w:numId w:val="28"/>
        </w:numPr>
        <w:rPr>
          <w:lang w:val="en-US"/>
        </w:rPr>
      </w:pPr>
      <w:r w:rsidRPr="00AA0861">
        <w:rPr>
          <w:lang w:val="en-US"/>
        </w:rPr>
        <w:t xml:space="preserve">Ran Hirschl, </w:t>
      </w:r>
      <w:bookmarkStart w:id="1" w:name="1"/>
      <w:r w:rsidRPr="00AA0861">
        <w:rPr>
          <w:rFonts w:eastAsia="Times New Roman"/>
          <w:lang w:val="en-US"/>
        </w:rPr>
        <w:t>Another chapter in Israel's constitutional wars</w:t>
      </w:r>
      <w:bookmarkEnd w:id="1"/>
      <w:r w:rsidRPr="00AA0861">
        <w:rPr>
          <w:lang w:val="en-US"/>
        </w:rPr>
        <w:t xml:space="preserve">, </w:t>
      </w:r>
      <w:hyperlink r:id="rId11" w:history="1">
        <w:r w:rsidRPr="00AA0861">
          <w:rPr>
            <w:rStyle w:val="Hypertextovodkaz"/>
            <w:lang w:val="en-US"/>
          </w:rPr>
          <w:t>http://www.comparativeconstitutions.org/2011/11/another-chapter-in-israels.html</w:t>
        </w:r>
      </w:hyperlink>
      <w:r w:rsidRPr="00AA0861">
        <w:rPr>
          <w:lang w:val="en-US"/>
        </w:rPr>
        <w:t xml:space="preserve"> </w:t>
      </w:r>
    </w:p>
    <w:p w:rsidR="00193903" w:rsidRPr="00AA0861" w:rsidRDefault="00193903" w:rsidP="00193903">
      <w:pPr>
        <w:pStyle w:val="Seznamsodrkami"/>
        <w:numPr>
          <w:ilvl w:val="0"/>
          <w:numId w:val="28"/>
        </w:numPr>
        <w:rPr>
          <w:lang w:val="en-US"/>
        </w:rPr>
      </w:pPr>
      <w:r w:rsidRPr="00AA0861">
        <w:rPr>
          <w:lang w:val="en-US"/>
        </w:rPr>
        <w:t>H.C. 4676/94 Meatrael v. The Knesset of Israel, 50(5) P.D. 16 (1997)</w:t>
      </w:r>
    </w:p>
    <w:p w:rsidR="00680631" w:rsidRPr="00AA0861" w:rsidRDefault="00680631" w:rsidP="00ED382F">
      <w:pPr>
        <w:autoSpaceDE w:val="0"/>
        <w:autoSpaceDN w:val="0"/>
        <w:adjustRightInd w:val="0"/>
        <w:spacing w:after="0"/>
        <w:ind w:left="426" w:hanging="426"/>
        <w:rPr>
          <w:b/>
          <w:bCs/>
          <w:lang w:val="en-US"/>
        </w:rPr>
      </w:pPr>
    </w:p>
    <w:p w:rsidR="00611CF3" w:rsidRPr="00AA0861" w:rsidRDefault="00611CF3" w:rsidP="00ED382F">
      <w:pPr>
        <w:autoSpaceDE w:val="0"/>
        <w:autoSpaceDN w:val="0"/>
        <w:adjustRightInd w:val="0"/>
        <w:spacing w:after="0"/>
        <w:rPr>
          <w:b/>
          <w:bCs/>
          <w:lang w:val="en-US"/>
        </w:rPr>
      </w:pPr>
      <w:r w:rsidRPr="00AA0861">
        <w:rPr>
          <w:b/>
          <w:bCs/>
          <w:lang w:val="en-US"/>
        </w:rPr>
        <w:t xml:space="preserve">Class 10: </w:t>
      </w:r>
      <w:r w:rsidR="00193903" w:rsidRPr="00AA0861">
        <w:rPr>
          <w:b/>
          <w:bCs/>
          <w:lang w:val="en-US"/>
        </w:rPr>
        <w:t>Student presentations of outlines</w:t>
      </w:r>
      <w:r w:rsidR="00995577" w:rsidRPr="00AA0861">
        <w:rPr>
          <w:b/>
          <w:bCs/>
          <w:lang w:val="en-US"/>
        </w:rPr>
        <w:t xml:space="preserve"> </w:t>
      </w:r>
      <w:r w:rsidR="00097FE5" w:rsidRPr="00AA0861">
        <w:rPr>
          <w:bCs/>
          <w:lang w:val="en-US"/>
        </w:rPr>
        <w:t>[DATE TBA]</w:t>
      </w:r>
    </w:p>
    <w:p w:rsidR="00680631" w:rsidRPr="00AA0861" w:rsidRDefault="00680631" w:rsidP="00ED382F">
      <w:pPr>
        <w:autoSpaceDE w:val="0"/>
        <w:autoSpaceDN w:val="0"/>
        <w:adjustRightInd w:val="0"/>
        <w:spacing w:after="0"/>
        <w:ind w:left="426" w:hanging="426"/>
        <w:rPr>
          <w:b/>
          <w:bCs/>
          <w:lang w:val="en-US"/>
        </w:rPr>
      </w:pPr>
    </w:p>
    <w:p w:rsidR="00611CF3" w:rsidRPr="00AA0861" w:rsidRDefault="005E6637" w:rsidP="00995577">
      <w:pPr>
        <w:autoSpaceDE w:val="0"/>
        <w:autoSpaceDN w:val="0"/>
        <w:adjustRightInd w:val="0"/>
        <w:spacing w:after="0"/>
        <w:ind w:left="426" w:hanging="426"/>
        <w:rPr>
          <w:b/>
          <w:bCs/>
          <w:lang w:val="en-US"/>
        </w:rPr>
      </w:pPr>
      <w:r w:rsidRPr="00AA0861">
        <w:rPr>
          <w:b/>
          <w:bCs/>
          <w:lang w:val="en-US"/>
        </w:rPr>
        <w:t>Week</w:t>
      </w:r>
      <w:r w:rsidR="00611CF3" w:rsidRPr="00AA0861">
        <w:rPr>
          <w:b/>
          <w:bCs/>
          <w:lang w:val="en-US"/>
        </w:rPr>
        <w:t xml:space="preserve"> 1</w:t>
      </w:r>
      <w:r w:rsidR="00995577" w:rsidRPr="00AA0861">
        <w:rPr>
          <w:b/>
          <w:bCs/>
          <w:lang w:val="en-US"/>
        </w:rPr>
        <w:t>1</w:t>
      </w:r>
      <w:r w:rsidR="00193903" w:rsidRPr="00AA0861">
        <w:rPr>
          <w:b/>
          <w:bCs/>
          <w:lang w:val="en-US"/>
        </w:rPr>
        <w:t>: Student presentations of</w:t>
      </w:r>
      <w:r w:rsidR="00611CF3" w:rsidRPr="00AA0861">
        <w:rPr>
          <w:b/>
          <w:bCs/>
          <w:lang w:val="en-US"/>
        </w:rPr>
        <w:t xml:space="preserve"> outlines</w:t>
      </w:r>
      <w:r w:rsidR="00995577" w:rsidRPr="00AA0861">
        <w:rPr>
          <w:b/>
          <w:bCs/>
          <w:lang w:val="en-US"/>
        </w:rPr>
        <w:t xml:space="preserve"> </w:t>
      </w:r>
      <w:r w:rsidR="00097FE5" w:rsidRPr="00AA0861">
        <w:rPr>
          <w:bCs/>
          <w:lang w:val="en-US"/>
        </w:rPr>
        <w:t>[DATE TBA]</w:t>
      </w:r>
    </w:p>
    <w:p w:rsidR="00680631" w:rsidRPr="00AA0861" w:rsidRDefault="00680631" w:rsidP="00995577">
      <w:pPr>
        <w:pStyle w:val="Nadpis1"/>
        <w:spacing w:before="0" w:after="0"/>
        <w:ind w:left="426" w:hanging="426"/>
        <w:jc w:val="both"/>
        <w:rPr>
          <w:b w:val="0"/>
          <w:bCs w:val="0"/>
          <w:lang w:val="en-US"/>
        </w:rPr>
      </w:pPr>
    </w:p>
    <w:p w:rsidR="00BD0F4F" w:rsidRPr="00AA0861" w:rsidRDefault="00611CF3" w:rsidP="00995577">
      <w:pPr>
        <w:pStyle w:val="Nadpis1"/>
        <w:spacing w:before="0" w:after="0"/>
        <w:ind w:left="426" w:hanging="426"/>
        <w:jc w:val="both"/>
        <w:rPr>
          <w:b w:val="0"/>
          <w:bCs w:val="0"/>
          <w:lang w:val="en-US"/>
        </w:rPr>
      </w:pPr>
      <w:r w:rsidRPr="00AA0861">
        <w:rPr>
          <w:bCs w:val="0"/>
          <w:lang w:val="en-US"/>
        </w:rPr>
        <w:t>Week 1</w:t>
      </w:r>
      <w:r w:rsidR="00995577" w:rsidRPr="00AA0861">
        <w:rPr>
          <w:bCs w:val="0"/>
          <w:lang w:val="en-US"/>
        </w:rPr>
        <w:t>2</w:t>
      </w:r>
      <w:r w:rsidRPr="00AA0861">
        <w:rPr>
          <w:bCs w:val="0"/>
          <w:lang w:val="en-US"/>
        </w:rPr>
        <w:t xml:space="preserve">: </w:t>
      </w:r>
      <w:r w:rsidR="00193903" w:rsidRPr="00AA0861">
        <w:rPr>
          <w:lang w:val="en-US"/>
        </w:rPr>
        <w:t>Legitimacy of constitutional adjudication</w:t>
      </w:r>
      <w:r w:rsidR="00193903" w:rsidRPr="00AA0861">
        <w:rPr>
          <w:rFonts w:cs="Times New Roman"/>
          <w:szCs w:val="24"/>
          <w:lang w:val="en-US"/>
        </w:rPr>
        <w:t xml:space="preserve"> – summation and reflections</w:t>
      </w:r>
      <w:r w:rsidR="005E6637" w:rsidRPr="00AA0861">
        <w:rPr>
          <w:bCs w:val="0"/>
          <w:lang w:val="en-US"/>
        </w:rPr>
        <w:t xml:space="preserve"> </w:t>
      </w:r>
      <w:r w:rsidR="00097FE5" w:rsidRPr="00AA0861">
        <w:rPr>
          <w:b w:val="0"/>
          <w:bCs w:val="0"/>
          <w:lang w:val="en-US"/>
        </w:rPr>
        <w:t>[DATE TBA]</w:t>
      </w:r>
    </w:p>
    <w:p w:rsidR="00022978" w:rsidRPr="00AA0861" w:rsidRDefault="00022978" w:rsidP="00022978">
      <w:pPr>
        <w:pStyle w:val="Seznamsodrkami"/>
        <w:rPr>
          <w:lang w:val="en-US"/>
        </w:rPr>
      </w:pPr>
      <w:r w:rsidRPr="00AA0861">
        <w:rPr>
          <w:lang w:val="en-US"/>
        </w:rPr>
        <w:t xml:space="preserve">J. Waldron, “The core of the case against judicial review”, </w:t>
      </w:r>
      <w:r w:rsidRPr="00AA0861">
        <w:rPr>
          <w:i/>
          <w:lang w:val="en-US"/>
        </w:rPr>
        <w:t>Yale Law Journal</w:t>
      </w:r>
      <w:r w:rsidRPr="00AA0861">
        <w:rPr>
          <w:lang w:val="en-US"/>
        </w:rPr>
        <w:t>, 2006, 115 (6): 1346ff;</w:t>
      </w:r>
    </w:p>
    <w:p w:rsidR="00022978" w:rsidRPr="00AA0861" w:rsidRDefault="00022978" w:rsidP="00022978">
      <w:pPr>
        <w:pStyle w:val="Seznamsodrkami"/>
        <w:rPr>
          <w:lang w:val="en-US"/>
        </w:rPr>
      </w:pPr>
      <w:r w:rsidRPr="00AA0861">
        <w:rPr>
          <w:lang w:val="en-US"/>
        </w:rPr>
        <w:t xml:space="preserve">J. Bertomeu, Against the Core of the Case: Structuring the Evaluation of Judicial Review, </w:t>
      </w:r>
      <w:r w:rsidRPr="00AA0861">
        <w:rPr>
          <w:i/>
          <w:lang w:val="en-US"/>
        </w:rPr>
        <w:t>Legal Theory</w:t>
      </w:r>
      <w:r w:rsidRPr="00AA0861">
        <w:rPr>
          <w:lang w:val="en-US"/>
        </w:rPr>
        <w:t>, 17 (2011), 81–118.</w:t>
      </w:r>
    </w:p>
    <w:p w:rsidR="009E639E" w:rsidRPr="00AA0861" w:rsidRDefault="009E639E" w:rsidP="009E639E">
      <w:pPr>
        <w:spacing w:after="0"/>
        <w:rPr>
          <w:lang w:val="en-GB"/>
        </w:rPr>
      </w:pPr>
    </w:p>
    <w:sectPr w:rsidR="009E639E" w:rsidRPr="00AA08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BD" w:rsidRDefault="00BD3ABD">
      <w:r>
        <w:separator/>
      </w:r>
    </w:p>
  </w:endnote>
  <w:endnote w:type="continuationSeparator" w:id="0">
    <w:p w:rsidR="00BD3ABD" w:rsidRDefault="00BD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BD" w:rsidRDefault="00BD3ABD">
      <w:r>
        <w:separator/>
      </w:r>
    </w:p>
  </w:footnote>
  <w:footnote w:type="continuationSeparator" w:id="0">
    <w:p w:rsidR="00BD3ABD" w:rsidRDefault="00BD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F404E4"/>
    <w:lvl w:ilvl="0">
      <w:start w:val="1"/>
      <w:numFmt w:val="decimal"/>
      <w:lvlText w:val="%1."/>
      <w:lvlJc w:val="left"/>
      <w:pPr>
        <w:tabs>
          <w:tab w:val="num" w:pos="1492"/>
        </w:tabs>
        <w:ind w:left="1492" w:hanging="360"/>
      </w:pPr>
    </w:lvl>
  </w:abstractNum>
  <w:abstractNum w:abstractNumId="1">
    <w:nsid w:val="FFFFFF7D"/>
    <w:multiLevelType w:val="singleLevel"/>
    <w:tmpl w:val="B492D7D6"/>
    <w:lvl w:ilvl="0">
      <w:start w:val="1"/>
      <w:numFmt w:val="decimal"/>
      <w:lvlText w:val="%1."/>
      <w:lvlJc w:val="left"/>
      <w:pPr>
        <w:tabs>
          <w:tab w:val="num" w:pos="1209"/>
        </w:tabs>
        <w:ind w:left="1209" w:hanging="360"/>
      </w:pPr>
    </w:lvl>
  </w:abstractNum>
  <w:abstractNum w:abstractNumId="2">
    <w:nsid w:val="FFFFFF7E"/>
    <w:multiLevelType w:val="singleLevel"/>
    <w:tmpl w:val="2B5A9F16"/>
    <w:lvl w:ilvl="0">
      <w:start w:val="1"/>
      <w:numFmt w:val="decimal"/>
      <w:lvlText w:val="%1."/>
      <w:lvlJc w:val="left"/>
      <w:pPr>
        <w:tabs>
          <w:tab w:val="num" w:pos="926"/>
        </w:tabs>
        <w:ind w:left="926" w:hanging="360"/>
      </w:pPr>
    </w:lvl>
  </w:abstractNum>
  <w:abstractNum w:abstractNumId="3">
    <w:nsid w:val="FFFFFF7F"/>
    <w:multiLevelType w:val="singleLevel"/>
    <w:tmpl w:val="60087BC2"/>
    <w:lvl w:ilvl="0">
      <w:start w:val="1"/>
      <w:numFmt w:val="decimal"/>
      <w:lvlText w:val="%1."/>
      <w:lvlJc w:val="left"/>
      <w:pPr>
        <w:tabs>
          <w:tab w:val="num" w:pos="643"/>
        </w:tabs>
        <w:ind w:left="643" w:hanging="360"/>
      </w:pPr>
    </w:lvl>
  </w:abstractNum>
  <w:abstractNum w:abstractNumId="4">
    <w:nsid w:val="FFFFFF80"/>
    <w:multiLevelType w:val="singleLevel"/>
    <w:tmpl w:val="C46CFE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5CFE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F8F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44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C08180"/>
    <w:lvl w:ilvl="0">
      <w:start w:val="1"/>
      <w:numFmt w:val="decimal"/>
      <w:pStyle w:val="slovanseznam"/>
      <w:lvlText w:val="%1."/>
      <w:lvlJc w:val="left"/>
      <w:pPr>
        <w:tabs>
          <w:tab w:val="num" w:pos="360"/>
        </w:tabs>
        <w:ind w:left="360" w:hanging="360"/>
      </w:pPr>
    </w:lvl>
  </w:abstractNum>
  <w:abstractNum w:abstractNumId="9">
    <w:nsid w:val="FFFFFF89"/>
    <w:multiLevelType w:val="singleLevel"/>
    <w:tmpl w:val="E0E8BA20"/>
    <w:lvl w:ilvl="0">
      <w:start w:val="1"/>
      <w:numFmt w:val="bullet"/>
      <w:lvlText w:val=""/>
      <w:lvlJc w:val="left"/>
      <w:pPr>
        <w:tabs>
          <w:tab w:val="num" w:pos="360"/>
        </w:tabs>
        <w:ind w:left="360" w:hanging="360"/>
      </w:pPr>
      <w:rPr>
        <w:rFonts w:ascii="Symbol" w:hAnsi="Symbol" w:hint="default"/>
      </w:rPr>
    </w:lvl>
  </w:abstractNum>
  <w:abstractNum w:abstractNumId="10">
    <w:nsid w:val="01065FE6"/>
    <w:multiLevelType w:val="hybridMultilevel"/>
    <w:tmpl w:val="8F787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39214B8"/>
    <w:multiLevelType w:val="hybridMultilevel"/>
    <w:tmpl w:val="24BC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107EA"/>
    <w:multiLevelType w:val="hybridMultilevel"/>
    <w:tmpl w:val="B1384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054C5A"/>
    <w:multiLevelType w:val="hybridMultilevel"/>
    <w:tmpl w:val="CDAAA192"/>
    <w:lvl w:ilvl="0" w:tplc="37D08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67D27"/>
    <w:multiLevelType w:val="hybridMultilevel"/>
    <w:tmpl w:val="35C6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25842"/>
    <w:multiLevelType w:val="hybridMultilevel"/>
    <w:tmpl w:val="DC9CF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60C27"/>
    <w:multiLevelType w:val="hybridMultilevel"/>
    <w:tmpl w:val="1E249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B374CD"/>
    <w:multiLevelType w:val="hybridMultilevel"/>
    <w:tmpl w:val="CA4A1352"/>
    <w:lvl w:ilvl="0" w:tplc="9190ACBA">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D7322E7"/>
    <w:multiLevelType w:val="hybridMultilevel"/>
    <w:tmpl w:val="BD90D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45137"/>
    <w:multiLevelType w:val="hybridMultilevel"/>
    <w:tmpl w:val="50507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20C25"/>
    <w:multiLevelType w:val="hybridMultilevel"/>
    <w:tmpl w:val="46A8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368EC"/>
    <w:multiLevelType w:val="hybridMultilevel"/>
    <w:tmpl w:val="DE5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D0C2E"/>
    <w:multiLevelType w:val="hybridMultilevel"/>
    <w:tmpl w:val="447823D8"/>
    <w:lvl w:ilvl="0" w:tplc="2BFA61FA">
      <w:start w:val="1"/>
      <w:numFmt w:val="bullet"/>
      <w:pStyle w:val="Seznamsodrkam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4651C"/>
    <w:multiLevelType w:val="hybridMultilevel"/>
    <w:tmpl w:val="347A9012"/>
    <w:lvl w:ilvl="0" w:tplc="A87C3B3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C3D7E40"/>
    <w:multiLevelType w:val="hybridMultilevel"/>
    <w:tmpl w:val="F174B380"/>
    <w:lvl w:ilvl="0" w:tplc="EC3EC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F03EE"/>
    <w:multiLevelType w:val="multilevel"/>
    <w:tmpl w:val="C980A8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1B61DC"/>
    <w:multiLevelType w:val="hybridMultilevel"/>
    <w:tmpl w:val="1D328D6E"/>
    <w:lvl w:ilvl="0" w:tplc="349EE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616C02"/>
    <w:multiLevelType w:val="hybridMultilevel"/>
    <w:tmpl w:val="9C2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F1E52"/>
    <w:multiLevelType w:val="hybridMultilevel"/>
    <w:tmpl w:val="C0C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82080"/>
    <w:multiLevelType w:val="hybridMultilevel"/>
    <w:tmpl w:val="727A0ADC"/>
    <w:lvl w:ilvl="0" w:tplc="D94C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23"/>
  </w:num>
  <w:num w:numId="14">
    <w:abstractNumId w:val="27"/>
  </w:num>
  <w:num w:numId="15">
    <w:abstractNumId w:val="28"/>
  </w:num>
  <w:num w:numId="16">
    <w:abstractNumId w:val="20"/>
  </w:num>
  <w:num w:numId="17">
    <w:abstractNumId w:val="26"/>
  </w:num>
  <w:num w:numId="18">
    <w:abstractNumId w:val="24"/>
  </w:num>
  <w:num w:numId="19">
    <w:abstractNumId w:val="29"/>
  </w:num>
  <w:num w:numId="20">
    <w:abstractNumId w:val="18"/>
  </w:num>
  <w:num w:numId="21">
    <w:abstractNumId w:val="19"/>
  </w:num>
  <w:num w:numId="22">
    <w:abstractNumId w:val="15"/>
  </w:num>
  <w:num w:numId="23">
    <w:abstractNumId w:val="14"/>
  </w:num>
  <w:num w:numId="24">
    <w:abstractNumId w:val="22"/>
  </w:num>
  <w:num w:numId="25">
    <w:abstractNumId w:val="12"/>
  </w:num>
  <w:num w:numId="26">
    <w:abstractNumId w:val="13"/>
  </w:num>
  <w:num w:numId="27">
    <w:abstractNumId w:val="21"/>
  </w:num>
  <w:num w:numId="28">
    <w:abstractNumId w:val="16"/>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65"/>
    <w:rsid w:val="0000535E"/>
    <w:rsid w:val="0000570B"/>
    <w:rsid w:val="000075F3"/>
    <w:rsid w:val="000108E5"/>
    <w:rsid w:val="000132DA"/>
    <w:rsid w:val="000135D8"/>
    <w:rsid w:val="00016F74"/>
    <w:rsid w:val="00022978"/>
    <w:rsid w:val="00025235"/>
    <w:rsid w:val="000305D1"/>
    <w:rsid w:val="00036B6F"/>
    <w:rsid w:val="00036FEA"/>
    <w:rsid w:val="00040C40"/>
    <w:rsid w:val="00041DD5"/>
    <w:rsid w:val="0004614F"/>
    <w:rsid w:val="00046C8A"/>
    <w:rsid w:val="00053336"/>
    <w:rsid w:val="00054ECE"/>
    <w:rsid w:val="00061DD0"/>
    <w:rsid w:val="00062067"/>
    <w:rsid w:val="00063C95"/>
    <w:rsid w:val="00064567"/>
    <w:rsid w:val="000714F0"/>
    <w:rsid w:val="00073330"/>
    <w:rsid w:val="000741C7"/>
    <w:rsid w:val="0007556F"/>
    <w:rsid w:val="00076470"/>
    <w:rsid w:val="000812A5"/>
    <w:rsid w:val="00083773"/>
    <w:rsid w:val="00084D5E"/>
    <w:rsid w:val="00091D08"/>
    <w:rsid w:val="00094BB3"/>
    <w:rsid w:val="00096648"/>
    <w:rsid w:val="000973A6"/>
    <w:rsid w:val="000976F4"/>
    <w:rsid w:val="00097FE5"/>
    <w:rsid w:val="000A48F7"/>
    <w:rsid w:val="000A629E"/>
    <w:rsid w:val="000A7349"/>
    <w:rsid w:val="000B0E01"/>
    <w:rsid w:val="000B2E67"/>
    <w:rsid w:val="000B3BF1"/>
    <w:rsid w:val="000B52D1"/>
    <w:rsid w:val="000C1408"/>
    <w:rsid w:val="000C2163"/>
    <w:rsid w:val="000C3749"/>
    <w:rsid w:val="000C374D"/>
    <w:rsid w:val="000C690E"/>
    <w:rsid w:val="000C6FB7"/>
    <w:rsid w:val="000D2257"/>
    <w:rsid w:val="000D3A35"/>
    <w:rsid w:val="000D6A89"/>
    <w:rsid w:val="000E133F"/>
    <w:rsid w:val="000E4FE1"/>
    <w:rsid w:val="000E62F7"/>
    <w:rsid w:val="000E7A7E"/>
    <w:rsid w:val="000F615F"/>
    <w:rsid w:val="00100938"/>
    <w:rsid w:val="00102056"/>
    <w:rsid w:val="00103284"/>
    <w:rsid w:val="00105599"/>
    <w:rsid w:val="00106E3E"/>
    <w:rsid w:val="001128ED"/>
    <w:rsid w:val="00113BA2"/>
    <w:rsid w:val="00114519"/>
    <w:rsid w:val="0011752E"/>
    <w:rsid w:val="0012044D"/>
    <w:rsid w:val="00132181"/>
    <w:rsid w:val="001351DC"/>
    <w:rsid w:val="00140814"/>
    <w:rsid w:val="00142724"/>
    <w:rsid w:val="0014308F"/>
    <w:rsid w:val="0015113B"/>
    <w:rsid w:val="001522DD"/>
    <w:rsid w:val="00152B10"/>
    <w:rsid w:val="00152B2C"/>
    <w:rsid w:val="001541CB"/>
    <w:rsid w:val="0015608C"/>
    <w:rsid w:val="001723A1"/>
    <w:rsid w:val="0017307A"/>
    <w:rsid w:val="00174142"/>
    <w:rsid w:val="0017749E"/>
    <w:rsid w:val="00180E2A"/>
    <w:rsid w:val="001811F6"/>
    <w:rsid w:val="001817AC"/>
    <w:rsid w:val="00182128"/>
    <w:rsid w:val="00185B45"/>
    <w:rsid w:val="00191788"/>
    <w:rsid w:val="0019221C"/>
    <w:rsid w:val="00193903"/>
    <w:rsid w:val="00197CF2"/>
    <w:rsid w:val="00197F3E"/>
    <w:rsid w:val="001A1A10"/>
    <w:rsid w:val="001A76CB"/>
    <w:rsid w:val="001B0FAC"/>
    <w:rsid w:val="001B1C9D"/>
    <w:rsid w:val="001B4E5B"/>
    <w:rsid w:val="001B79D0"/>
    <w:rsid w:val="001C119A"/>
    <w:rsid w:val="001C4449"/>
    <w:rsid w:val="001C459E"/>
    <w:rsid w:val="001D0A1E"/>
    <w:rsid w:val="001D0B18"/>
    <w:rsid w:val="001D1FFE"/>
    <w:rsid w:val="001D23B8"/>
    <w:rsid w:val="001D3EC7"/>
    <w:rsid w:val="001D5345"/>
    <w:rsid w:val="001D6153"/>
    <w:rsid w:val="001D67AB"/>
    <w:rsid w:val="001E0E56"/>
    <w:rsid w:val="001E448D"/>
    <w:rsid w:val="001E505A"/>
    <w:rsid w:val="001E62DE"/>
    <w:rsid w:val="001E7440"/>
    <w:rsid w:val="001F35B0"/>
    <w:rsid w:val="001F570E"/>
    <w:rsid w:val="001F6EB6"/>
    <w:rsid w:val="001F7F36"/>
    <w:rsid w:val="002025C0"/>
    <w:rsid w:val="00207461"/>
    <w:rsid w:val="00207FC0"/>
    <w:rsid w:val="002110C7"/>
    <w:rsid w:val="00212C9B"/>
    <w:rsid w:val="00215F45"/>
    <w:rsid w:val="00216E45"/>
    <w:rsid w:val="00224CF0"/>
    <w:rsid w:val="002363AB"/>
    <w:rsid w:val="00240195"/>
    <w:rsid w:val="00243268"/>
    <w:rsid w:val="00246728"/>
    <w:rsid w:val="002505CF"/>
    <w:rsid w:val="00252C8A"/>
    <w:rsid w:val="0025632D"/>
    <w:rsid w:val="00262D62"/>
    <w:rsid w:val="0026468A"/>
    <w:rsid w:val="00267AA8"/>
    <w:rsid w:val="00270972"/>
    <w:rsid w:val="002731C5"/>
    <w:rsid w:val="00273873"/>
    <w:rsid w:val="00274474"/>
    <w:rsid w:val="00282D03"/>
    <w:rsid w:val="00283D46"/>
    <w:rsid w:val="00284880"/>
    <w:rsid w:val="00287A00"/>
    <w:rsid w:val="0029109F"/>
    <w:rsid w:val="002938FB"/>
    <w:rsid w:val="00296692"/>
    <w:rsid w:val="00297CBD"/>
    <w:rsid w:val="002A2CF1"/>
    <w:rsid w:val="002A67F7"/>
    <w:rsid w:val="002B130B"/>
    <w:rsid w:val="002B1BD0"/>
    <w:rsid w:val="002B1E48"/>
    <w:rsid w:val="002B378B"/>
    <w:rsid w:val="002B508B"/>
    <w:rsid w:val="002B5A42"/>
    <w:rsid w:val="002B624B"/>
    <w:rsid w:val="002C1209"/>
    <w:rsid w:val="002C2DAF"/>
    <w:rsid w:val="002D1301"/>
    <w:rsid w:val="002D2900"/>
    <w:rsid w:val="002D6C84"/>
    <w:rsid w:val="002D6D7D"/>
    <w:rsid w:val="002D720F"/>
    <w:rsid w:val="002F2985"/>
    <w:rsid w:val="002F32F8"/>
    <w:rsid w:val="002F5A80"/>
    <w:rsid w:val="002F6C91"/>
    <w:rsid w:val="002F72AF"/>
    <w:rsid w:val="003011D6"/>
    <w:rsid w:val="003028A8"/>
    <w:rsid w:val="0030298F"/>
    <w:rsid w:val="003052F5"/>
    <w:rsid w:val="00305E4B"/>
    <w:rsid w:val="00306FF5"/>
    <w:rsid w:val="003115A2"/>
    <w:rsid w:val="00314614"/>
    <w:rsid w:val="00327610"/>
    <w:rsid w:val="003311DC"/>
    <w:rsid w:val="00333A2E"/>
    <w:rsid w:val="00345D7F"/>
    <w:rsid w:val="00350102"/>
    <w:rsid w:val="0035145E"/>
    <w:rsid w:val="00351A0D"/>
    <w:rsid w:val="00351C46"/>
    <w:rsid w:val="0035370B"/>
    <w:rsid w:val="00353E02"/>
    <w:rsid w:val="0035558B"/>
    <w:rsid w:val="00356D19"/>
    <w:rsid w:val="003712A2"/>
    <w:rsid w:val="00373F4A"/>
    <w:rsid w:val="003741BA"/>
    <w:rsid w:val="0037451D"/>
    <w:rsid w:val="00380759"/>
    <w:rsid w:val="00385F3B"/>
    <w:rsid w:val="00386E62"/>
    <w:rsid w:val="003918E9"/>
    <w:rsid w:val="00395A49"/>
    <w:rsid w:val="003A0BAE"/>
    <w:rsid w:val="003A167D"/>
    <w:rsid w:val="003A3196"/>
    <w:rsid w:val="003A60A1"/>
    <w:rsid w:val="003B304B"/>
    <w:rsid w:val="003B6DE0"/>
    <w:rsid w:val="003B7140"/>
    <w:rsid w:val="003C0B8E"/>
    <w:rsid w:val="003C17A9"/>
    <w:rsid w:val="003C6D9C"/>
    <w:rsid w:val="003C6E2D"/>
    <w:rsid w:val="003C7753"/>
    <w:rsid w:val="003D110C"/>
    <w:rsid w:val="003D2982"/>
    <w:rsid w:val="003D5106"/>
    <w:rsid w:val="003D51BE"/>
    <w:rsid w:val="003E0DE0"/>
    <w:rsid w:val="003E1268"/>
    <w:rsid w:val="003E2341"/>
    <w:rsid w:val="003E68AA"/>
    <w:rsid w:val="003E71DC"/>
    <w:rsid w:val="003F74D0"/>
    <w:rsid w:val="004002A4"/>
    <w:rsid w:val="004013A0"/>
    <w:rsid w:val="004036D4"/>
    <w:rsid w:val="004053B3"/>
    <w:rsid w:val="00412E64"/>
    <w:rsid w:val="004146AE"/>
    <w:rsid w:val="00420693"/>
    <w:rsid w:val="004224E9"/>
    <w:rsid w:val="004230DB"/>
    <w:rsid w:val="00426597"/>
    <w:rsid w:val="00432419"/>
    <w:rsid w:val="0043320F"/>
    <w:rsid w:val="0043414A"/>
    <w:rsid w:val="004357F6"/>
    <w:rsid w:val="00436A64"/>
    <w:rsid w:val="0044074B"/>
    <w:rsid w:val="00440B62"/>
    <w:rsid w:val="00441890"/>
    <w:rsid w:val="00442FDA"/>
    <w:rsid w:val="00444FFB"/>
    <w:rsid w:val="004535AE"/>
    <w:rsid w:val="00454321"/>
    <w:rsid w:val="00460A82"/>
    <w:rsid w:val="00461BA4"/>
    <w:rsid w:val="00462C64"/>
    <w:rsid w:val="00471748"/>
    <w:rsid w:val="00472C2E"/>
    <w:rsid w:val="00475EDC"/>
    <w:rsid w:val="00476A7D"/>
    <w:rsid w:val="00490BF5"/>
    <w:rsid w:val="00497C6F"/>
    <w:rsid w:val="004B0F8F"/>
    <w:rsid w:val="004B4CC0"/>
    <w:rsid w:val="004B5499"/>
    <w:rsid w:val="004B69B2"/>
    <w:rsid w:val="004B7501"/>
    <w:rsid w:val="004C2DA0"/>
    <w:rsid w:val="004C36BF"/>
    <w:rsid w:val="004C4240"/>
    <w:rsid w:val="004C64B8"/>
    <w:rsid w:val="004C7E8E"/>
    <w:rsid w:val="004D0D39"/>
    <w:rsid w:val="004D65BF"/>
    <w:rsid w:val="004D7932"/>
    <w:rsid w:val="004E3C88"/>
    <w:rsid w:val="004E51BA"/>
    <w:rsid w:val="004E5320"/>
    <w:rsid w:val="004E6BAB"/>
    <w:rsid w:val="004E6DB3"/>
    <w:rsid w:val="004F3BDC"/>
    <w:rsid w:val="004F4A39"/>
    <w:rsid w:val="004F5443"/>
    <w:rsid w:val="004F5781"/>
    <w:rsid w:val="004F5DA0"/>
    <w:rsid w:val="005008F4"/>
    <w:rsid w:val="00504A45"/>
    <w:rsid w:val="00516D30"/>
    <w:rsid w:val="00517F61"/>
    <w:rsid w:val="00521EB4"/>
    <w:rsid w:val="005307E8"/>
    <w:rsid w:val="00533626"/>
    <w:rsid w:val="0053490D"/>
    <w:rsid w:val="0053550E"/>
    <w:rsid w:val="00537236"/>
    <w:rsid w:val="005420A6"/>
    <w:rsid w:val="00551AB3"/>
    <w:rsid w:val="00552197"/>
    <w:rsid w:val="005550B4"/>
    <w:rsid w:val="0056004C"/>
    <w:rsid w:val="00565A4C"/>
    <w:rsid w:val="00573186"/>
    <w:rsid w:val="005800A6"/>
    <w:rsid w:val="00583AAF"/>
    <w:rsid w:val="0058414F"/>
    <w:rsid w:val="00585F4D"/>
    <w:rsid w:val="00593A9B"/>
    <w:rsid w:val="00596B8B"/>
    <w:rsid w:val="005A0093"/>
    <w:rsid w:val="005A4601"/>
    <w:rsid w:val="005A4933"/>
    <w:rsid w:val="005A73D5"/>
    <w:rsid w:val="005B1E6E"/>
    <w:rsid w:val="005B716E"/>
    <w:rsid w:val="005B7935"/>
    <w:rsid w:val="005C12C6"/>
    <w:rsid w:val="005C2D81"/>
    <w:rsid w:val="005D2BED"/>
    <w:rsid w:val="005D5C94"/>
    <w:rsid w:val="005D7CA3"/>
    <w:rsid w:val="005E1967"/>
    <w:rsid w:val="005E414E"/>
    <w:rsid w:val="005E6637"/>
    <w:rsid w:val="005F2115"/>
    <w:rsid w:val="005F5092"/>
    <w:rsid w:val="006012C1"/>
    <w:rsid w:val="00602BCD"/>
    <w:rsid w:val="00606920"/>
    <w:rsid w:val="00606D72"/>
    <w:rsid w:val="00610F0F"/>
    <w:rsid w:val="00611CF3"/>
    <w:rsid w:val="00626EDE"/>
    <w:rsid w:val="00630B5A"/>
    <w:rsid w:val="00631AFC"/>
    <w:rsid w:val="00632BDB"/>
    <w:rsid w:val="0064284A"/>
    <w:rsid w:val="00643CB6"/>
    <w:rsid w:val="00647533"/>
    <w:rsid w:val="00647576"/>
    <w:rsid w:val="00647FF8"/>
    <w:rsid w:val="00680631"/>
    <w:rsid w:val="00681F76"/>
    <w:rsid w:val="00682715"/>
    <w:rsid w:val="00684365"/>
    <w:rsid w:val="006843B9"/>
    <w:rsid w:val="00693D70"/>
    <w:rsid w:val="00695C45"/>
    <w:rsid w:val="006A0BC0"/>
    <w:rsid w:val="006A3339"/>
    <w:rsid w:val="006A500F"/>
    <w:rsid w:val="006A696E"/>
    <w:rsid w:val="006B66C4"/>
    <w:rsid w:val="006B7590"/>
    <w:rsid w:val="006B7775"/>
    <w:rsid w:val="006C1AA8"/>
    <w:rsid w:val="006C45AC"/>
    <w:rsid w:val="006C4C75"/>
    <w:rsid w:val="006C6F0F"/>
    <w:rsid w:val="006D2236"/>
    <w:rsid w:val="006D4A06"/>
    <w:rsid w:val="006D596C"/>
    <w:rsid w:val="006D5B42"/>
    <w:rsid w:val="006E148F"/>
    <w:rsid w:val="006E28D8"/>
    <w:rsid w:val="006E3731"/>
    <w:rsid w:val="006E5FE2"/>
    <w:rsid w:val="006F1931"/>
    <w:rsid w:val="006F22D3"/>
    <w:rsid w:val="006F575B"/>
    <w:rsid w:val="0071108E"/>
    <w:rsid w:val="00712096"/>
    <w:rsid w:val="00712136"/>
    <w:rsid w:val="00717281"/>
    <w:rsid w:val="007211C9"/>
    <w:rsid w:val="00721C32"/>
    <w:rsid w:val="007312DC"/>
    <w:rsid w:val="0073348E"/>
    <w:rsid w:val="00735341"/>
    <w:rsid w:val="0073636F"/>
    <w:rsid w:val="00737BB1"/>
    <w:rsid w:val="00740F89"/>
    <w:rsid w:val="007422E4"/>
    <w:rsid w:val="00742C5D"/>
    <w:rsid w:val="00747E1A"/>
    <w:rsid w:val="0075225F"/>
    <w:rsid w:val="00754983"/>
    <w:rsid w:val="00762BC0"/>
    <w:rsid w:val="00764AC1"/>
    <w:rsid w:val="0076743F"/>
    <w:rsid w:val="00767635"/>
    <w:rsid w:val="007707B0"/>
    <w:rsid w:val="00773778"/>
    <w:rsid w:val="0077579C"/>
    <w:rsid w:val="00781C78"/>
    <w:rsid w:val="00785A19"/>
    <w:rsid w:val="00786C72"/>
    <w:rsid w:val="00791D89"/>
    <w:rsid w:val="007969D6"/>
    <w:rsid w:val="00796AF6"/>
    <w:rsid w:val="00796B1F"/>
    <w:rsid w:val="007972F8"/>
    <w:rsid w:val="007A0401"/>
    <w:rsid w:val="007B1313"/>
    <w:rsid w:val="007B7F83"/>
    <w:rsid w:val="007C17B5"/>
    <w:rsid w:val="007C3BC8"/>
    <w:rsid w:val="007D4759"/>
    <w:rsid w:val="007E0091"/>
    <w:rsid w:val="007E2351"/>
    <w:rsid w:val="007E38F6"/>
    <w:rsid w:val="007E48CF"/>
    <w:rsid w:val="007E615F"/>
    <w:rsid w:val="007E7AF7"/>
    <w:rsid w:val="007F450B"/>
    <w:rsid w:val="008027EF"/>
    <w:rsid w:val="008029C7"/>
    <w:rsid w:val="00803DE3"/>
    <w:rsid w:val="008059D5"/>
    <w:rsid w:val="00807AFE"/>
    <w:rsid w:val="00807D3D"/>
    <w:rsid w:val="00813FB9"/>
    <w:rsid w:val="0081506C"/>
    <w:rsid w:val="008260B0"/>
    <w:rsid w:val="00830BC1"/>
    <w:rsid w:val="008343B5"/>
    <w:rsid w:val="0084632D"/>
    <w:rsid w:val="008514EF"/>
    <w:rsid w:val="008524BF"/>
    <w:rsid w:val="00862B06"/>
    <w:rsid w:val="00864429"/>
    <w:rsid w:val="00866973"/>
    <w:rsid w:val="00867042"/>
    <w:rsid w:val="0086741A"/>
    <w:rsid w:val="00871E94"/>
    <w:rsid w:val="0087716C"/>
    <w:rsid w:val="00877A12"/>
    <w:rsid w:val="00882A7A"/>
    <w:rsid w:val="00884280"/>
    <w:rsid w:val="008959C0"/>
    <w:rsid w:val="00897303"/>
    <w:rsid w:val="008A05D5"/>
    <w:rsid w:val="008A0846"/>
    <w:rsid w:val="008A094F"/>
    <w:rsid w:val="008A45B1"/>
    <w:rsid w:val="008A58A0"/>
    <w:rsid w:val="008A6850"/>
    <w:rsid w:val="008B5E4D"/>
    <w:rsid w:val="008B5F60"/>
    <w:rsid w:val="008C306D"/>
    <w:rsid w:val="008C337F"/>
    <w:rsid w:val="008C58E5"/>
    <w:rsid w:val="008C6254"/>
    <w:rsid w:val="008D7889"/>
    <w:rsid w:val="008E0FA8"/>
    <w:rsid w:val="008E7BCC"/>
    <w:rsid w:val="008F0C6A"/>
    <w:rsid w:val="008F26D0"/>
    <w:rsid w:val="008F292B"/>
    <w:rsid w:val="008F43C0"/>
    <w:rsid w:val="00901762"/>
    <w:rsid w:val="00921376"/>
    <w:rsid w:val="0093476C"/>
    <w:rsid w:val="009367CF"/>
    <w:rsid w:val="009422A4"/>
    <w:rsid w:val="00942347"/>
    <w:rsid w:val="00943048"/>
    <w:rsid w:val="00943B85"/>
    <w:rsid w:val="0094525E"/>
    <w:rsid w:val="0094632E"/>
    <w:rsid w:val="00950855"/>
    <w:rsid w:val="00954118"/>
    <w:rsid w:val="00955238"/>
    <w:rsid w:val="00957947"/>
    <w:rsid w:val="00961F70"/>
    <w:rsid w:val="00963CE2"/>
    <w:rsid w:val="00964199"/>
    <w:rsid w:val="00965723"/>
    <w:rsid w:val="00972DAD"/>
    <w:rsid w:val="00975A8B"/>
    <w:rsid w:val="0097681F"/>
    <w:rsid w:val="00980C41"/>
    <w:rsid w:val="009827DC"/>
    <w:rsid w:val="0098593E"/>
    <w:rsid w:val="00986672"/>
    <w:rsid w:val="00992A1F"/>
    <w:rsid w:val="0099300D"/>
    <w:rsid w:val="00995577"/>
    <w:rsid w:val="009975D0"/>
    <w:rsid w:val="009A0A42"/>
    <w:rsid w:val="009A12BC"/>
    <w:rsid w:val="009A3951"/>
    <w:rsid w:val="009A6CC8"/>
    <w:rsid w:val="009A6DFD"/>
    <w:rsid w:val="009A787D"/>
    <w:rsid w:val="009B35B1"/>
    <w:rsid w:val="009B3818"/>
    <w:rsid w:val="009B4880"/>
    <w:rsid w:val="009C030E"/>
    <w:rsid w:val="009C59D1"/>
    <w:rsid w:val="009D1767"/>
    <w:rsid w:val="009D2609"/>
    <w:rsid w:val="009E4CB5"/>
    <w:rsid w:val="009E639E"/>
    <w:rsid w:val="009F07D9"/>
    <w:rsid w:val="009F2C89"/>
    <w:rsid w:val="009F61F0"/>
    <w:rsid w:val="00A0079A"/>
    <w:rsid w:val="00A013F3"/>
    <w:rsid w:val="00A061CA"/>
    <w:rsid w:val="00A06C83"/>
    <w:rsid w:val="00A1065F"/>
    <w:rsid w:val="00A10B6B"/>
    <w:rsid w:val="00A1259C"/>
    <w:rsid w:val="00A1387C"/>
    <w:rsid w:val="00A161F3"/>
    <w:rsid w:val="00A17D39"/>
    <w:rsid w:val="00A265D5"/>
    <w:rsid w:val="00A33535"/>
    <w:rsid w:val="00A370B6"/>
    <w:rsid w:val="00A409D2"/>
    <w:rsid w:val="00A42FED"/>
    <w:rsid w:val="00A4314D"/>
    <w:rsid w:val="00A43D11"/>
    <w:rsid w:val="00A50DB3"/>
    <w:rsid w:val="00A518E1"/>
    <w:rsid w:val="00A52DB0"/>
    <w:rsid w:val="00A52E47"/>
    <w:rsid w:val="00A54168"/>
    <w:rsid w:val="00A56061"/>
    <w:rsid w:val="00A61EA7"/>
    <w:rsid w:val="00A650F3"/>
    <w:rsid w:val="00A67189"/>
    <w:rsid w:val="00A7037A"/>
    <w:rsid w:val="00A729D6"/>
    <w:rsid w:val="00A73DC3"/>
    <w:rsid w:val="00A749F4"/>
    <w:rsid w:val="00A76504"/>
    <w:rsid w:val="00A77A1E"/>
    <w:rsid w:val="00A83793"/>
    <w:rsid w:val="00A83E3C"/>
    <w:rsid w:val="00A91713"/>
    <w:rsid w:val="00A927FE"/>
    <w:rsid w:val="00A9480F"/>
    <w:rsid w:val="00A95D1C"/>
    <w:rsid w:val="00AA0861"/>
    <w:rsid w:val="00AA23A0"/>
    <w:rsid w:val="00AA2743"/>
    <w:rsid w:val="00AA2ED1"/>
    <w:rsid w:val="00AA3170"/>
    <w:rsid w:val="00AA3AB5"/>
    <w:rsid w:val="00AB0CF8"/>
    <w:rsid w:val="00AB2681"/>
    <w:rsid w:val="00AB3B0F"/>
    <w:rsid w:val="00AC245E"/>
    <w:rsid w:val="00AC42ED"/>
    <w:rsid w:val="00AC5CFC"/>
    <w:rsid w:val="00AC6B22"/>
    <w:rsid w:val="00AD3F88"/>
    <w:rsid w:val="00AD767F"/>
    <w:rsid w:val="00AE1FDE"/>
    <w:rsid w:val="00AE3438"/>
    <w:rsid w:val="00AE360C"/>
    <w:rsid w:val="00AE66EB"/>
    <w:rsid w:val="00AF0958"/>
    <w:rsid w:val="00AF19F6"/>
    <w:rsid w:val="00B01BF5"/>
    <w:rsid w:val="00B042FE"/>
    <w:rsid w:val="00B04AE7"/>
    <w:rsid w:val="00B04D0C"/>
    <w:rsid w:val="00B053AF"/>
    <w:rsid w:val="00B11A99"/>
    <w:rsid w:val="00B12EA2"/>
    <w:rsid w:val="00B22363"/>
    <w:rsid w:val="00B24357"/>
    <w:rsid w:val="00B307BC"/>
    <w:rsid w:val="00B315F2"/>
    <w:rsid w:val="00B34B68"/>
    <w:rsid w:val="00B357D7"/>
    <w:rsid w:val="00B35E4C"/>
    <w:rsid w:val="00B372D2"/>
    <w:rsid w:val="00B43E0C"/>
    <w:rsid w:val="00B46326"/>
    <w:rsid w:val="00B46825"/>
    <w:rsid w:val="00B52D6B"/>
    <w:rsid w:val="00B5339B"/>
    <w:rsid w:val="00B55217"/>
    <w:rsid w:val="00B553E6"/>
    <w:rsid w:val="00B56114"/>
    <w:rsid w:val="00B5722A"/>
    <w:rsid w:val="00B57D26"/>
    <w:rsid w:val="00B603DF"/>
    <w:rsid w:val="00B656C6"/>
    <w:rsid w:val="00B729CA"/>
    <w:rsid w:val="00B72C53"/>
    <w:rsid w:val="00B73CB3"/>
    <w:rsid w:val="00B773D8"/>
    <w:rsid w:val="00B8051F"/>
    <w:rsid w:val="00B81B70"/>
    <w:rsid w:val="00B85358"/>
    <w:rsid w:val="00B87D43"/>
    <w:rsid w:val="00B92BD9"/>
    <w:rsid w:val="00B92FF7"/>
    <w:rsid w:val="00B95591"/>
    <w:rsid w:val="00BA2002"/>
    <w:rsid w:val="00BA2813"/>
    <w:rsid w:val="00BA2C24"/>
    <w:rsid w:val="00BA3865"/>
    <w:rsid w:val="00BB70E5"/>
    <w:rsid w:val="00BB7215"/>
    <w:rsid w:val="00BC0FEC"/>
    <w:rsid w:val="00BC18D4"/>
    <w:rsid w:val="00BC1B42"/>
    <w:rsid w:val="00BC423D"/>
    <w:rsid w:val="00BC47D4"/>
    <w:rsid w:val="00BC5C98"/>
    <w:rsid w:val="00BD0F4F"/>
    <w:rsid w:val="00BD3ABD"/>
    <w:rsid w:val="00BE03ED"/>
    <w:rsid w:val="00BE044D"/>
    <w:rsid w:val="00BE1A64"/>
    <w:rsid w:val="00BF4A6E"/>
    <w:rsid w:val="00BF55E2"/>
    <w:rsid w:val="00BF72E9"/>
    <w:rsid w:val="00C00857"/>
    <w:rsid w:val="00C10206"/>
    <w:rsid w:val="00C11162"/>
    <w:rsid w:val="00C22150"/>
    <w:rsid w:val="00C22B71"/>
    <w:rsid w:val="00C269FA"/>
    <w:rsid w:val="00C31707"/>
    <w:rsid w:val="00C31D6A"/>
    <w:rsid w:val="00C340F8"/>
    <w:rsid w:val="00C4252E"/>
    <w:rsid w:val="00C503C5"/>
    <w:rsid w:val="00C50D4D"/>
    <w:rsid w:val="00C517DA"/>
    <w:rsid w:val="00C577C9"/>
    <w:rsid w:val="00C60FF9"/>
    <w:rsid w:val="00C616F0"/>
    <w:rsid w:val="00C62A65"/>
    <w:rsid w:val="00C62A8E"/>
    <w:rsid w:val="00C62D56"/>
    <w:rsid w:val="00C665ED"/>
    <w:rsid w:val="00C730A4"/>
    <w:rsid w:val="00C731C4"/>
    <w:rsid w:val="00C7418E"/>
    <w:rsid w:val="00C77165"/>
    <w:rsid w:val="00C84859"/>
    <w:rsid w:val="00C860CA"/>
    <w:rsid w:val="00C92DDB"/>
    <w:rsid w:val="00C942BE"/>
    <w:rsid w:val="00C9726D"/>
    <w:rsid w:val="00CA2B65"/>
    <w:rsid w:val="00CA2F05"/>
    <w:rsid w:val="00CA382E"/>
    <w:rsid w:val="00CA6C12"/>
    <w:rsid w:val="00CA76FF"/>
    <w:rsid w:val="00CB0E3E"/>
    <w:rsid w:val="00CB0FEA"/>
    <w:rsid w:val="00CB3A96"/>
    <w:rsid w:val="00CB59C3"/>
    <w:rsid w:val="00CB7F0A"/>
    <w:rsid w:val="00CC0899"/>
    <w:rsid w:val="00CC433F"/>
    <w:rsid w:val="00CC766E"/>
    <w:rsid w:val="00CD785A"/>
    <w:rsid w:val="00CF0FAF"/>
    <w:rsid w:val="00CF1021"/>
    <w:rsid w:val="00CF10B3"/>
    <w:rsid w:val="00CF1B05"/>
    <w:rsid w:val="00CF2B92"/>
    <w:rsid w:val="00CF3017"/>
    <w:rsid w:val="00CF3504"/>
    <w:rsid w:val="00CF7370"/>
    <w:rsid w:val="00D03224"/>
    <w:rsid w:val="00D04985"/>
    <w:rsid w:val="00D1004F"/>
    <w:rsid w:val="00D104BA"/>
    <w:rsid w:val="00D175C4"/>
    <w:rsid w:val="00D353EF"/>
    <w:rsid w:val="00D36F5F"/>
    <w:rsid w:val="00D44C6C"/>
    <w:rsid w:val="00D46377"/>
    <w:rsid w:val="00D5053F"/>
    <w:rsid w:val="00D55EC0"/>
    <w:rsid w:val="00D566D1"/>
    <w:rsid w:val="00D57255"/>
    <w:rsid w:val="00D57EBE"/>
    <w:rsid w:val="00D606D9"/>
    <w:rsid w:val="00D64D89"/>
    <w:rsid w:val="00D6536C"/>
    <w:rsid w:val="00D65CA4"/>
    <w:rsid w:val="00D71324"/>
    <w:rsid w:val="00D772DC"/>
    <w:rsid w:val="00D91FAB"/>
    <w:rsid w:val="00D92084"/>
    <w:rsid w:val="00DA3FA0"/>
    <w:rsid w:val="00DA5DCD"/>
    <w:rsid w:val="00DB1ACD"/>
    <w:rsid w:val="00DB3A79"/>
    <w:rsid w:val="00DB5CF7"/>
    <w:rsid w:val="00DB7581"/>
    <w:rsid w:val="00DC5161"/>
    <w:rsid w:val="00DC5E7F"/>
    <w:rsid w:val="00DD4454"/>
    <w:rsid w:val="00DE082C"/>
    <w:rsid w:val="00DE0CE1"/>
    <w:rsid w:val="00DF3571"/>
    <w:rsid w:val="00DF653E"/>
    <w:rsid w:val="00DF7510"/>
    <w:rsid w:val="00E00EE3"/>
    <w:rsid w:val="00E015D6"/>
    <w:rsid w:val="00E01AE3"/>
    <w:rsid w:val="00E03D71"/>
    <w:rsid w:val="00E06539"/>
    <w:rsid w:val="00E07BE5"/>
    <w:rsid w:val="00E1367B"/>
    <w:rsid w:val="00E13699"/>
    <w:rsid w:val="00E15DE4"/>
    <w:rsid w:val="00E17183"/>
    <w:rsid w:val="00E21872"/>
    <w:rsid w:val="00E25120"/>
    <w:rsid w:val="00E3272A"/>
    <w:rsid w:val="00E342AA"/>
    <w:rsid w:val="00E404C8"/>
    <w:rsid w:val="00E4435C"/>
    <w:rsid w:val="00E447EE"/>
    <w:rsid w:val="00E4568C"/>
    <w:rsid w:val="00E462E4"/>
    <w:rsid w:val="00E53784"/>
    <w:rsid w:val="00E54211"/>
    <w:rsid w:val="00E57E89"/>
    <w:rsid w:val="00E64962"/>
    <w:rsid w:val="00E654B9"/>
    <w:rsid w:val="00E70036"/>
    <w:rsid w:val="00E706D6"/>
    <w:rsid w:val="00E739DD"/>
    <w:rsid w:val="00E74D90"/>
    <w:rsid w:val="00E7505B"/>
    <w:rsid w:val="00E76614"/>
    <w:rsid w:val="00E81C6C"/>
    <w:rsid w:val="00E81E49"/>
    <w:rsid w:val="00E863B9"/>
    <w:rsid w:val="00E90C55"/>
    <w:rsid w:val="00E94DF2"/>
    <w:rsid w:val="00EB5CBD"/>
    <w:rsid w:val="00EB5D3D"/>
    <w:rsid w:val="00EB5F65"/>
    <w:rsid w:val="00EC06B3"/>
    <w:rsid w:val="00EC0E7C"/>
    <w:rsid w:val="00EC65D0"/>
    <w:rsid w:val="00ED382F"/>
    <w:rsid w:val="00ED4290"/>
    <w:rsid w:val="00EE1688"/>
    <w:rsid w:val="00EE2B4E"/>
    <w:rsid w:val="00EE4B3D"/>
    <w:rsid w:val="00EF25C2"/>
    <w:rsid w:val="00EF4473"/>
    <w:rsid w:val="00EF6A6A"/>
    <w:rsid w:val="00F01D06"/>
    <w:rsid w:val="00F0506F"/>
    <w:rsid w:val="00F1192F"/>
    <w:rsid w:val="00F11DE3"/>
    <w:rsid w:val="00F1364B"/>
    <w:rsid w:val="00F1425D"/>
    <w:rsid w:val="00F1429A"/>
    <w:rsid w:val="00F142BF"/>
    <w:rsid w:val="00F14D2E"/>
    <w:rsid w:val="00F14E13"/>
    <w:rsid w:val="00F14F63"/>
    <w:rsid w:val="00F2397F"/>
    <w:rsid w:val="00F32984"/>
    <w:rsid w:val="00F35166"/>
    <w:rsid w:val="00F41B8C"/>
    <w:rsid w:val="00F46D69"/>
    <w:rsid w:val="00F5205E"/>
    <w:rsid w:val="00F531AF"/>
    <w:rsid w:val="00F536FF"/>
    <w:rsid w:val="00F637E0"/>
    <w:rsid w:val="00F7590B"/>
    <w:rsid w:val="00F76C6A"/>
    <w:rsid w:val="00F77A2C"/>
    <w:rsid w:val="00F77D03"/>
    <w:rsid w:val="00F828A2"/>
    <w:rsid w:val="00F84021"/>
    <w:rsid w:val="00F845C9"/>
    <w:rsid w:val="00F87325"/>
    <w:rsid w:val="00F9113D"/>
    <w:rsid w:val="00F97803"/>
    <w:rsid w:val="00FA5936"/>
    <w:rsid w:val="00FA59AE"/>
    <w:rsid w:val="00FB25C6"/>
    <w:rsid w:val="00FB2FB3"/>
    <w:rsid w:val="00FB3E76"/>
    <w:rsid w:val="00FD0D3A"/>
    <w:rsid w:val="00FD33E3"/>
    <w:rsid w:val="00FD4F8F"/>
    <w:rsid w:val="00FD562E"/>
    <w:rsid w:val="00FE09BE"/>
    <w:rsid w:val="00FE469A"/>
    <w:rsid w:val="00FE4C68"/>
    <w:rsid w:val="00FE7016"/>
    <w:rsid w:val="00FE7F50"/>
    <w:rsid w:val="00FF1A31"/>
    <w:rsid w:val="00FF2612"/>
    <w:rsid w:val="00FF2C0E"/>
    <w:rsid w:val="00FF470E"/>
    <w:rsid w:val="00FF4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0506F"/>
    <w:pPr>
      <w:spacing w:after="240"/>
      <w:jc w:val="both"/>
    </w:pPr>
    <w:rPr>
      <w:sz w:val="24"/>
      <w:szCs w:val="24"/>
    </w:rPr>
  </w:style>
  <w:style w:type="paragraph" w:styleId="Nadpis1">
    <w:name w:val="heading 1"/>
    <w:basedOn w:val="Normln"/>
    <w:next w:val="Normln"/>
    <w:qFormat/>
    <w:rsid w:val="0025632D"/>
    <w:pPr>
      <w:keepNext/>
      <w:tabs>
        <w:tab w:val="left" w:pos="360"/>
      </w:tabs>
      <w:spacing w:before="180" w:after="120"/>
      <w:jc w:val="left"/>
      <w:outlineLvl w:val="0"/>
    </w:pPr>
    <w:rPr>
      <w:rFonts w:cs="Arial"/>
      <w:b/>
      <w:bCs/>
      <w:kern w:val="32"/>
      <w:szCs w:val="32"/>
    </w:rPr>
  </w:style>
  <w:style w:type="paragraph" w:styleId="Nadpis2">
    <w:name w:val="heading 2"/>
    <w:basedOn w:val="Normln"/>
    <w:next w:val="Normln"/>
    <w:link w:val="Nadpis2Char"/>
    <w:autoRedefine/>
    <w:qFormat/>
    <w:rsid w:val="008A45B1"/>
    <w:pPr>
      <w:keepNext/>
      <w:spacing w:before="60" w:after="120"/>
      <w:jc w:val="left"/>
      <w:outlineLvl w:val="1"/>
    </w:pPr>
    <w:rPr>
      <w:bCs/>
      <w:i/>
      <w:iCs/>
      <w:szCs w:val="28"/>
    </w:rPr>
  </w:style>
  <w:style w:type="paragraph" w:styleId="Nadpis3">
    <w:name w:val="heading 3"/>
    <w:basedOn w:val="Normln"/>
    <w:next w:val="Normln"/>
    <w:link w:val="Nadpis3Char"/>
    <w:autoRedefine/>
    <w:qFormat/>
    <w:rsid w:val="00871E94"/>
    <w:pPr>
      <w:keepNext/>
      <w:tabs>
        <w:tab w:val="left" w:pos="1134"/>
      </w:tabs>
      <w:spacing w:before="240" w:after="60"/>
      <w:ind w:left="1134" w:hanging="708"/>
      <w:jc w:val="left"/>
      <w:outlineLvl w:val="2"/>
    </w:pPr>
    <w:rPr>
      <w:bCs/>
      <w:spacing w:val="2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autoRedefine/>
    <w:qFormat/>
    <w:rsid w:val="00C62A8E"/>
    <w:pPr>
      <w:spacing w:after="0"/>
      <w:jc w:val="center"/>
      <w:outlineLvl w:val="0"/>
    </w:pPr>
    <w:rPr>
      <w:b/>
      <w:bCs/>
      <w:spacing w:val="20"/>
      <w:kern w:val="28"/>
      <w:sz w:val="32"/>
      <w:szCs w:val="32"/>
    </w:rPr>
  </w:style>
  <w:style w:type="paragraph" w:styleId="Textpoznpodarou">
    <w:name w:val="footnote text"/>
    <w:link w:val="TextpoznpodarouChar"/>
    <w:semiHidden/>
    <w:rsid w:val="00AC245E"/>
    <w:pPr>
      <w:jc w:val="both"/>
    </w:pPr>
  </w:style>
  <w:style w:type="character" w:styleId="Znakapoznpodarou">
    <w:name w:val="footnote reference"/>
    <w:semiHidden/>
    <w:rsid w:val="00441890"/>
    <w:rPr>
      <w:vertAlign w:val="superscript"/>
    </w:rPr>
  </w:style>
  <w:style w:type="paragraph" w:customStyle="1" w:styleId="Styl1">
    <w:name w:val="Styl1"/>
    <w:basedOn w:val="Nzev"/>
    <w:autoRedefine/>
    <w:rsid w:val="001C4449"/>
    <w:pPr>
      <w:spacing w:after="360"/>
    </w:pPr>
  </w:style>
  <w:style w:type="character" w:styleId="Hypertextovodkaz">
    <w:name w:val="Hyperlink"/>
    <w:unhideWhenUsed/>
    <w:rsid w:val="00F1364B"/>
    <w:rPr>
      <w:color w:val="0000FF"/>
      <w:u w:val="single"/>
    </w:rPr>
  </w:style>
  <w:style w:type="character" w:customStyle="1" w:styleId="Nadpis2Char">
    <w:name w:val="Nadpis 2 Char"/>
    <w:link w:val="Nadpis2"/>
    <w:rsid w:val="008A45B1"/>
    <w:rPr>
      <w:bCs/>
      <w:i/>
      <w:iCs/>
      <w:sz w:val="24"/>
      <w:szCs w:val="28"/>
      <w:lang w:val="cs-CZ" w:eastAsia="cs-CZ" w:bidi="ar-SA"/>
    </w:rPr>
  </w:style>
  <w:style w:type="paragraph" w:styleId="Zhlav">
    <w:name w:val="header"/>
    <w:basedOn w:val="Normln"/>
    <w:link w:val="ZhlavChar"/>
    <w:rsid w:val="001351DC"/>
    <w:pPr>
      <w:tabs>
        <w:tab w:val="center" w:pos="4536"/>
        <w:tab w:val="right" w:pos="9072"/>
      </w:tabs>
    </w:pPr>
  </w:style>
  <w:style w:type="character" w:customStyle="1" w:styleId="ZhlavChar">
    <w:name w:val="Záhlaví Char"/>
    <w:link w:val="Zhlav"/>
    <w:rsid w:val="001351DC"/>
    <w:rPr>
      <w:sz w:val="24"/>
      <w:szCs w:val="24"/>
      <w:lang w:val="cs-CZ" w:eastAsia="cs-CZ"/>
    </w:rPr>
  </w:style>
  <w:style w:type="paragraph" w:styleId="Zpat">
    <w:name w:val="footer"/>
    <w:basedOn w:val="Normln"/>
    <w:link w:val="ZpatChar"/>
    <w:uiPriority w:val="99"/>
    <w:rsid w:val="001351DC"/>
    <w:pPr>
      <w:tabs>
        <w:tab w:val="center" w:pos="4536"/>
        <w:tab w:val="right" w:pos="9072"/>
      </w:tabs>
    </w:pPr>
  </w:style>
  <w:style w:type="character" w:customStyle="1" w:styleId="ZpatChar">
    <w:name w:val="Zápatí Char"/>
    <w:link w:val="Zpat"/>
    <w:uiPriority w:val="99"/>
    <w:rsid w:val="001351DC"/>
    <w:rPr>
      <w:sz w:val="24"/>
      <w:szCs w:val="24"/>
      <w:lang w:val="cs-CZ" w:eastAsia="cs-CZ"/>
    </w:rPr>
  </w:style>
  <w:style w:type="character" w:customStyle="1" w:styleId="Nadpis3Char">
    <w:name w:val="Nadpis 3 Char"/>
    <w:link w:val="Nadpis3"/>
    <w:rsid w:val="00871E94"/>
    <w:rPr>
      <w:rFonts w:eastAsia="Times New Roman" w:cs="Times New Roman"/>
      <w:bCs/>
      <w:spacing w:val="20"/>
      <w:sz w:val="26"/>
      <w:szCs w:val="26"/>
      <w:lang w:val="cs-CZ" w:eastAsia="cs-CZ"/>
    </w:rPr>
  </w:style>
  <w:style w:type="character" w:customStyle="1" w:styleId="TextpoznpodarouChar">
    <w:name w:val="Text pozn. pod čarou Char"/>
    <w:link w:val="Textpoznpodarou"/>
    <w:semiHidden/>
    <w:rsid w:val="000A48F7"/>
    <w:rPr>
      <w:lang w:val="cs-CZ" w:eastAsia="cs-CZ" w:bidi="ar-SA"/>
    </w:rPr>
  </w:style>
  <w:style w:type="paragraph" w:customStyle="1" w:styleId="Citace">
    <w:name w:val="Citace"/>
    <w:basedOn w:val="Normln"/>
    <w:link w:val="CitaceChar"/>
    <w:qFormat/>
    <w:rsid w:val="00DC5161"/>
    <w:pPr>
      <w:ind w:left="540"/>
    </w:pPr>
  </w:style>
  <w:style w:type="paragraph" w:styleId="Seznamsodrkami">
    <w:name w:val="List Bullet"/>
    <w:basedOn w:val="Normln"/>
    <w:autoRedefine/>
    <w:rsid w:val="004B4CC0"/>
    <w:pPr>
      <w:numPr>
        <w:numId w:val="24"/>
      </w:numPr>
      <w:autoSpaceDE w:val="0"/>
      <w:autoSpaceDN w:val="0"/>
      <w:adjustRightInd w:val="0"/>
      <w:spacing w:after="0"/>
    </w:pPr>
    <w:rPr>
      <w:rFonts w:eastAsia="PalatinoLinotype-Roman"/>
      <w:iCs/>
      <w:lang w:eastAsia="en-US"/>
    </w:rPr>
  </w:style>
  <w:style w:type="character" w:customStyle="1" w:styleId="CitaceChar">
    <w:name w:val="Citace Char"/>
    <w:link w:val="Citace"/>
    <w:rsid w:val="00DC5161"/>
    <w:rPr>
      <w:sz w:val="24"/>
      <w:szCs w:val="24"/>
      <w:lang w:val="cs-CZ" w:eastAsia="cs-CZ" w:bidi="ar-SA"/>
    </w:rPr>
  </w:style>
  <w:style w:type="paragraph" w:styleId="slovanseznam">
    <w:name w:val="List Number"/>
    <w:basedOn w:val="Normln"/>
    <w:link w:val="slovanseznamChar"/>
    <w:autoRedefine/>
    <w:rsid w:val="00D04985"/>
    <w:pPr>
      <w:numPr>
        <w:numId w:val="1"/>
      </w:numPr>
    </w:pPr>
  </w:style>
  <w:style w:type="character" w:customStyle="1" w:styleId="slovanseznamChar">
    <w:name w:val="Číslovaný seznam Char"/>
    <w:link w:val="slovanseznam"/>
    <w:rsid w:val="00D04985"/>
    <w:rPr>
      <w:sz w:val="24"/>
      <w:szCs w:val="24"/>
      <w:lang w:val="cs-CZ" w:eastAsia="cs-CZ" w:bidi="ar-SA"/>
    </w:rPr>
  </w:style>
  <w:style w:type="paragraph" w:styleId="Textbubliny">
    <w:name w:val="Balloon Text"/>
    <w:basedOn w:val="Normln"/>
    <w:semiHidden/>
    <w:rsid w:val="00877A12"/>
    <w:rPr>
      <w:rFonts w:ascii="Tahoma" w:hAnsi="Tahoma" w:cs="Tahoma"/>
      <w:sz w:val="16"/>
      <w:szCs w:val="16"/>
    </w:rPr>
  </w:style>
  <w:style w:type="character" w:styleId="Odkaznakoment">
    <w:name w:val="annotation reference"/>
    <w:semiHidden/>
    <w:rsid w:val="00D46377"/>
    <w:rPr>
      <w:sz w:val="16"/>
      <w:szCs w:val="16"/>
    </w:rPr>
  </w:style>
  <w:style w:type="paragraph" w:styleId="Textkomente">
    <w:name w:val="annotation text"/>
    <w:basedOn w:val="Normln"/>
    <w:semiHidden/>
    <w:rsid w:val="00D46377"/>
    <w:rPr>
      <w:sz w:val="20"/>
      <w:szCs w:val="20"/>
    </w:rPr>
  </w:style>
  <w:style w:type="paragraph" w:styleId="Pedmtkomente">
    <w:name w:val="annotation subject"/>
    <w:basedOn w:val="Textkomente"/>
    <w:next w:val="Textkomente"/>
    <w:semiHidden/>
    <w:rsid w:val="00D46377"/>
    <w:rPr>
      <w:b/>
      <w:bCs/>
    </w:rPr>
  </w:style>
  <w:style w:type="paragraph" w:styleId="Seznam">
    <w:name w:val="List"/>
    <w:basedOn w:val="Normln"/>
    <w:rsid w:val="00152B2C"/>
    <w:pPr>
      <w:ind w:left="283" w:hanging="283"/>
    </w:pPr>
  </w:style>
  <w:style w:type="paragraph" w:styleId="Prosttext">
    <w:name w:val="Plain Text"/>
    <w:basedOn w:val="Normln"/>
    <w:link w:val="ProsttextChar"/>
    <w:rsid w:val="001C119A"/>
    <w:pPr>
      <w:spacing w:after="0"/>
      <w:jc w:val="left"/>
    </w:pPr>
    <w:rPr>
      <w:rFonts w:cs="Courier New"/>
      <w:szCs w:val="20"/>
      <w:lang w:val="fr-FR" w:eastAsia="fr-FR"/>
    </w:rPr>
  </w:style>
  <w:style w:type="character" w:customStyle="1" w:styleId="ProsttextChar">
    <w:name w:val="Prostý text Char"/>
    <w:link w:val="Prosttext"/>
    <w:rsid w:val="001C119A"/>
    <w:rPr>
      <w:rFonts w:cs="Courier New"/>
      <w:sz w:val="24"/>
      <w:lang w:val="fr-FR" w:eastAsia="fr-FR"/>
    </w:rPr>
  </w:style>
  <w:style w:type="paragraph" w:styleId="Zkladntext">
    <w:name w:val="Body Text"/>
    <w:basedOn w:val="Normln"/>
    <w:link w:val="ZkladntextChar"/>
    <w:rsid w:val="003E68AA"/>
    <w:pPr>
      <w:spacing w:after="0" w:line="360" w:lineRule="auto"/>
      <w:jc w:val="center"/>
    </w:pPr>
    <w:rPr>
      <w:b/>
      <w:bCs/>
      <w:sz w:val="28"/>
      <w:u w:val="single"/>
      <w:lang w:val="en-GB" w:eastAsia="fr-FR"/>
    </w:rPr>
  </w:style>
  <w:style w:type="character" w:customStyle="1" w:styleId="ZkladntextChar">
    <w:name w:val="Základní text Char"/>
    <w:link w:val="Zkladntext"/>
    <w:rsid w:val="003E68AA"/>
    <w:rPr>
      <w:b/>
      <w:bCs/>
      <w:sz w:val="28"/>
      <w:szCs w:val="24"/>
      <w:u w:val="single"/>
      <w:lang w:val="en-GB" w:eastAsia="fr-FR"/>
    </w:rPr>
  </w:style>
  <w:style w:type="paragraph" w:styleId="Zkladntext2">
    <w:name w:val="Body Text 2"/>
    <w:basedOn w:val="Normln"/>
    <w:link w:val="Zkladntext2Char"/>
    <w:rsid w:val="001D3EC7"/>
    <w:pPr>
      <w:spacing w:after="120" w:line="480" w:lineRule="auto"/>
    </w:pPr>
  </w:style>
  <w:style w:type="character" w:customStyle="1" w:styleId="Zkladntext2Char">
    <w:name w:val="Základní text 2 Char"/>
    <w:link w:val="Zkladntext2"/>
    <w:rsid w:val="001D3EC7"/>
    <w:rPr>
      <w:sz w:val="24"/>
      <w:szCs w:val="24"/>
      <w:lang w:val="cs-CZ" w:eastAsia="cs-CZ"/>
    </w:rPr>
  </w:style>
  <w:style w:type="paragraph" w:customStyle="1" w:styleId="Default">
    <w:name w:val="Default"/>
    <w:rsid w:val="006E3731"/>
    <w:pPr>
      <w:autoSpaceDE w:val="0"/>
      <w:autoSpaceDN w:val="0"/>
      <w:adjustRightInd w:val="0"/>
    </w:pPr>
    <w:rPr>
      <w:color w:val="000000"/>
      <w:sz w:val="24"/>
      <w:szCs w:val="24"/>
      <w:lang w:val="en-US" w:eastAsia="en-US"/>
    </w:rPr>
  </w:style>
  <w:style w:type="character" w:customStyle="1" w:styleId="searchword">
    <w:name w:val="searchword"/>
    <w:rsid w:val="00FE7F50"/>
  </w:style>
  <w:style w:type="character" w:customStyle="1" w:styleId="previewtxt">
    <w:name w:val="previewtxt"/>
    <w:rsid w:val="00A77A1E"/>
  </w:style>
  <w:style w:type="character" w:styleId="Siln">
    <w:name w:val="Strong"/>
    <w:uiPriority w:val="22"/>
    <w:qFormat/>
    <w:rsid w:val="00A77A1E"/>
    <w:rPr>
      <w:b/>
      <w:bCs/>
    </w:rPr>
  </w:style>
  <w:style w:type="character" w:styleId="Zvraznn">
    <w:name w:val="Emphasis"/>
    <w:uiPriority w:val="20"/>
    <w:qFormat/>
    <w:rsid w:val="00A77A1E"/>
    <w:rPr>
      <w:i/>
      <w:iCs/>
    </w:rPr>
  </w:style>
  <w:style w:type="character" w:styleId="Sledovanodkaz">
    <w:name w:val="FollowedHyperlink"/>
    <w:rsid w:val="001F35B0"/>
    <w:rPr>
      <w:color w:val="800080"/>
      <w:u w:val="single"/>
    </w:rPr>
  </w:style>
  <w:style w:type="character" w:customStyle="1" w:styleId="citation">
    <w:name w:val="citation"/>
    <w:rsid w:val="00F77D03"/>
  </w:style>
  <w:style w:type="paragraph" w:styleId="Odstavecseseznamem">
    <w:name w:val="List Paragraph"/>
    <w:basedOn w:val="Normln"/>
    <w:uiPriority w:val="34"/>
    <w:qFormat/>
    <w:rsid w:val="00475EDC"/>
    <w:pPr>
      <w:spacing w:after="200" w:line="276" w:lineRule="auto"/>
      <w:ind w:left="720"/>
      <w:contextualSpacing/>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0506F"/>
    <w:pPr>
      <w:spacing w:after="240"/>
      <w:jc w:val="both"/>
    </w:pPr>
    <w:rPr>
      <w:sz w:val="24"/>
      <w:szCs w:val="24"/>
    </w:rPr>
  </w:style>
  <w:style w:type="paragraph" w:styleId="Nadpis1">
    <w:name w:val="heading 1"/>
    <w:basedOn w:val="Normln"/>
    <w:next w:val="Normln"/>
    <w:qFormat/>
    <w:rsid w:val="0025632D"/>
    <w:pPr>
      <w:keepNext/>
      <w:tabs>
        <w:tab w:val="left" w:pos="360"/>
      </w:tabs>
      <w:spacing w:before="180" w:after="120"/>
      <w:jc w:val="left"/>
      <w:outlineLvl w:val="0"/>
    </w:pPr>
    <w:rPr>
      <w:rFonts w:cs="Arial"/>
      <w:b/>
      <w:bCs/>
      <w:kern w:val="32"/>
      <w:szCs w:val="32"/>
    </w:rPr>
  </w:style>
  <w:style w:type="paragraph" w:styleId="Nadpis2">
    <w:name w:val="heading 2"/>
    <w:basedOn w:val="Normln"/>
    <w:next w:val="Normln"/>
    <w:link w:val="Nadpis2Char"/>
    <w:autoRedefine/>
    <w:qFormat/>
    <w:rsid w:val="008A45B1"/>
    <w:pPr>
      <w:keepNext/>
      <w:spacing w:before="60" w:after="120"/>
      <w:jc w:val="left"/>
      <w:outlineLvl w:val="1"/>
    </w:pPr>
    <w:rPr>
      <w:bCs/>
      <w:i/>
      <w:iCs/>
      <w:szCs w:val="28"/>
    </w:rPr>
  </w:style>
  <w:style w:type="paragraph" w:styleId="Nadpis3">
    <w:name w:val="heading 3"/>
    <w:basedOn w:val="Normln"/>
    <w:next w:val="Normln"/>
    <w:link w:val="Nadpis3Char"/>
    <w:autoRedefine/>
    <w:qFormat/>
    <w:rsid w:val="00871E94"/>
    <w:pPr>
      <w:keepNext/>
      <w:tabs>
        <w:tab w:val="left" w:pos="1134"/>
      </w:tabs>
      <w:spacing w:before="240" w:after="60"/>
      <w:ind w:left="1134" w:hanging="708"/>
      <w:jc w:val="left"/>
      <w:outlineLvl w:val="2"/>
    </w:pPr>
    <w:rPr>
      <w:bCs/>
      <w:spacing w:val="2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autoRedefine/>
    <w:qFormat/>
    <w:rsid w:val="00C62A8E"/>
    <w:pPr>
      <w:spacing w:after="0"/>
      <w:jc w:val="center"/>
      <w:outlineLvl w:val="0"/>
    </w:pPr>
    <w:rPr>
      <w:b/>
      <w:bCs/>
      <w:spacing w:val="20"/>
      <w:kern w:val="28"/>
      <w:sz w:val="32"/>
      <w:szCs w:val="32"/>
    </w:rPr>
  </w:style>
  <w:style w:type="paragraph" w:styleId="Textpoznpodarou">
    <w:name w:val="footnote text"/>
    <w:link w:val="TextpoznpodarouChar"/>
    <w:semiHidden/>
    <w:rsid w:val="00AC245E"/>
    <w:pPr>
      <w:jc w:val="both"/>
    </w:pPr>
  </w:style>
  <w:style w:type="character" w:styleId="Znakapoznpodarou">
    <w:name w:val="footnote reference"/>
    <w:semiHidden/>
    <w:rsid w:val="00441890"/>
    <w:rPr>
      <w:vertAlign w:val="superscript"/>
    </w:rPr>
  </w:style>
  <w:style w:type="paragraph" w:customStyle="1" w:styleId="Styl1">
    <w:name w:val="Styl1"/>
    <w:basedOn w:val="Nzev"/>
    <w:autoRedefine/>
    <w:rsid w:val="001C4449"/>
    <w:pPr>
      <w:spacing w:after="360"/>
    </w:pPr>
  </w:style>
  <w:style w:type="character" w:styleId="Hypertextovodkaz">
    <w:name w:val="Hyperlink"/>
    <w:unhideWhenUsed/>
    <w:rsid w:val="00F1364B"/>
    <w:rPr>
      <w:color w:val="0000FF"/>
      <w:u w:val="single"/>
    </w:rPr>
  </w:style>
  <w:style w:type="character" w:customStyle="1" w:styleId="Nadpis2Char">
    <w:name w:val="Nadpis 2 Char"/>
    <w:link w:val="Nadpis2"/>
    <w:rsid w:val="008A45B1"/>
    <w:rPr>
      <w:bCs/>
      <w:i/>
      <w:iCs/>
      <w:sz w:val="24"/>
      <w:szCs w:val="28"/>
      <w:lang w:val="cs-CZ" w:eastAsia="cs-CZ" w:bidi="ar-SA"/>
    </w:rPr>
  </w:style>
  <w:style w:type="paragraph" w:styleId="Zhlav">
    <w:name w:val="header"/>
    <w:basedOn w:val="Normln"/>
    <w:link w:val="ZhlavChar"/>
    <w:rsid w:val="001351DC"/>
    <w:pPr>
      <w:tabs>
        <w:tab w:val="center" w:pos="4536"/>
        <w:tab w:val="right" w:pos="9072"/>
      </w:tabs>
    </w:pPr>
  </w:style>
  <w:style w:type="character" w:customStyle="1" w:styleId="ZhlavChar">
    <w:name w:val="Záhlaví Char"/>
    <w:link w:val="Zhlav"/>
    <w:rsid w:val="001351DC"/>
    <w:rPr>
      <w:sz w:val="24"/>
      <w:szCs w:val="24"/>
      <w:lang w:val="cs-CZ" w:eastAsia="cs-CZ"/>
    </w:rPr>
  </w:style>
  <w:style w:type="paragraph" w:styleId="Zpat">
    <w:name w:val="footer"/>
    <w:basedOn w:val="Normln"/>
    <w:link w:val="ZpatChar"/>
    <w:uiPriority w:val="99"/>
    <w:rsid w:val="001351DC"/>
    <w:pPr>
      <w:tabs>
        <w:tab w:val="center" w:pos="4536"/>
        <w:tab w:val="right" w:pos="9072"/>
      </w:tabs>
    </w:pPr>
  </w:style>
  <w:style w:type="character" w:customStyle="1" w:styleId="ZpatChar">
    <w:name w:val="Zápatí Char"/>
    <w:link w:val="Zpat"/>
    <w:uiPriority w:val="99"/>
    <w:rsid w:val="001351DC"/>
    <w:rPr>
      <w:sz w:val="24"/>
      <w:szCs w:val="24"/>
      <w:lang w:val="cs-CZ" w:eastAsia="cs-CZ"/>
    </w:rPr>
  </w:style>
  <w:style w:type="character" w:customStyle="1" w:styleId="Nadpis3Char">
    <w:name w:val="Nadpis 3 Char"/>
    <w:link w:val="Nadpis3"/>
    <w:rsid w:val="00871E94"/>
    <w:rPr>
      <w:rFonts w:eastAsia="Times New Roman" w:cs="Times New Roman"/>
      <w:bCs/>
      <w:spacing w:val="20"/>
      <w:sz w:val="26"/>
      <w:szCs w:val="26"/>
      <w:lang w:val="cs-CZ" w:eastAsia="cs-CZ"/>
    </w:rPr>
  </w:style>
  <w:style w:type="character" w:customStyle="1" w:styleId="TextpoznpodarouChar">
    <w:name w:val="Text pozn. pod čarou Char"/>
    <w:link w:val="Textpoznpodarou"/>
    <w:semiHidden/>
    <w:rsid w:val="000A48F7"/>
    <w:rPr>
      <w:lang w:val="cs-CZ" w:eastAsia="cs-CZ" w:bidi="ar-SA"/>
    </w:rPr>
  </w:style>
  <w:style w:type="paragraph" w:customStyle="1" w:styleId="Citace">
    <w:name w:val="Citace"/>
    <w:basedOn w:val="Normln"/>
    <w:link w:val="CitaceChar"/>
    <w:qFormat/>
    <w:rsid w:val="00DC5161"/>
    <w:pPr>
      <w:ind w:left="540"/>
    </w:pPr>
  </w:style>
  <w:style w:type="paragraph" w:styleId="Seznamsodrkami">
    <w:name w:val="List Bullet"/>
    <w:basedOn w:val="Normln"/>
    <w:autoRedefine/>
    <w:rsid w:val="004B4CC0"/>
    <w:pPr>
      <w:numPr>
        <w:numId w:val="24"/>
      </w:numPr>
      <w:autoSpaceDE w:val="0"/>
      <w:autoSpaceDN w:val="0"/>
      <w:adjustRightInd w:val="0"/>
      <w:spacing w:after="0"/>
    </w:pPr>
    <w:rPr>
      <w:rFonts w:eastAsia="PalatinoLinotype-Roman"/>
      <w:iCs/>
      <w:lang w:eastAsia="en-US"/>
    </w:rPr>
  </w:style>
  <w:style w:type="character" w:customStyle="1" w:styleId="CitaceChar">
    <w:name w:val="Citace Char"/>
    <w:link w:val="Citace"/>
    <w:rsid w:val="00DC5161"/>
    <w:rPr>
      <w:sz w:val="24"/>
      <w:szCs w:val="24"/>
      <w:lang w:val="cs-CZ" w:eastAsia="cs-CZ" w:bidi="ar-SA"/>
    </w:rPr>
  </w:style>
  <w:style w:type="paragraph" w:styleId="slovanseznam">
    <w:name w:val="List Number"/>
    <w:basedOn w:val="Normln"/>
    <w:link w:val="slovanseznamChar"/>
    <w:autoRedefine/>
    <w:rsid w:val="00D04985"/>
    <w:pPr>
      <w:numPr>
        <w:numId w:val="1"/>
      </w:numPr>
    </w:pPr>
  </w:style>
  <w:style w:type="character" w:customStyle="1" w:styleId="slovanseznamChar">
    <w:name w:val="Číslovaný seznam Char"/>
    <w:link w:val="slovanseznam"/>
    <w:rsid w:val="00D04985"/>
    <w:rPr>
      <w:sz w:val="24"/>
      <w:szCs w:val="24"/>
      <w:lang w:val="cs-CZ" w:eastAsia="cs-CZ" w:bidi="ar-SA"/>
    </w:rPr>
  </w:style>
  <w:style w:type="paragraph" w:styleId="Textbubliny">
    <w:name w:val="Balloon Text"/>
    <w:basedOn w:val="Normln"/>
    <w:semiHidden/>
    <w:rsid w:val="00877A12"/>
    <w:rPr>
      <w:rFonts w:ascii="Tahoma" w:hAnsi="Tahoma" w:cs="Tahoma"/>
      <w:sz w:val="16"/>
      <w:szCs w:val="16"/>
    </w:rPr>
  </w:style>
  <w:style w:type="character" w:styleId="Odkaznakoment">
    <w:name w:val="annotation reference"/>
    <w:semiHidden/>
    <w:rsid w:val="00D46377"/>
    <w:rPr>
      <w:sz w:val="16"/>
      <w:szCs w:val="16"/>
    </w:rPr>
  </w:style>
  <w:style w:type="paragraph" w:styleId="Textkomente">
    <w:name w:val="annotation text"/>
    <w:basedOn w:val="Normln"/>
    <w:semiHidden/>
    <w:rsid w:val="00D46377"/>
    <w:rPr>
      <w:sz w:val="20"/>
      <w:szCs w:val="20"/>
    </w:rPr>
  </w:style>
  <w:style w:type="paragraph" w:styleId="Pedmtkomente">
    <w:name w:val="annotation subject"/>
    <w:basedOn w:val="Textkomente"/>
    <w:next w:val="Textkomente"/>
    <w:semiHidden/>
    <w:rsid w:val="00D46377"/>
    <w:rPr>
      <w:b/>
      <w:bCs/>
    </w:rPr>
  </w:style>
  <w:style w:type="paragraph" w:styleId="Seznam">
    <w:name w:val="List"/>
    <w:basedOn w:val="Normln"/>
    <w:rsid w:val="00152B2C"/>
    <w:pPr>
      <w:ind w:left="283" w:hanging="283"/>
    </w:pPr>
  </w:style>
  <w:style w:type="paragraph" w:styleId="Prosttext">
    <w:name w:val="Plain Text"/>
    <w:basedOn w:val="Normln"/>
    <w:link w:val="ProsttextChar"/>
    <w:rsid w:val="001C119A"/>
    <w:pPr>
      <w:spacing w:after="0"/>
      <w:jc w:val="left"/>
    </w:pPr>
    <w:rPr>
      <w:rFonts w:cs="Courier New"/>
      <w:szCs w:val="20"/>
      <w:lang w:val="fr-FR" w:eastAsia="fr-FR"/>
    </w:rPr>
  </w:style>
  <w:style w:type="character" w:customStyle="1" w:styleId="ProsttextChar">
    <w:name w:val="Prostý text Char"/>
    <w:link w:val="Prosttext"/>
    <w:rsid w:val="001C119A"/>
    <w:rPr>
      <w:rFonts w:cs="Courier New"/>
      <w:sz w:val="24"/>
      <w:lang w:val="fr-FR" w:eastAsia="fr-FR"/>
    </w:rPr>
  </w:style>
  <w:style w:type="paragraph" w:styleId="Zkladntext">
    <w:name w:val="Body Text"/>
    <w:basedOn w:val="Normln"/>
    <w:link w:val="ZkladntextChar"/>
    <w:rsid w:val="003E68AA"/>
    <w:pPr>
      <w:spacing w:after="0" w:line="360" w:lineRule="auto"/>
      <w:jc w:val="center"/>
    </w:pPr>
    <w:rPr>
      <w:b/>
      <w:bCs/>
      <w:sz w:val="28"/>
      <w:u w:val="single"/>
      <w:lang w:val="en-GB" w:eastAsia="fr-FR"/>
    </w:rPr>
  </w:style>
  <w:style w:type="character" w:customStyle="1" w:styleId="ZkladntextChar">
    <w:name w:val="Základní text Char"/>
    <w:link w:val="Zkladntext"/>
    <w:rsid w:val="003E68AA"/>
    <w:rPr>
      <w:b/>
      <w:bCs/>
      <w:sz w:val="28"/>
      <w:szCs w:val="24"/>
      <w:u w:val="single"/>
      <w:lang w:val="en-GB" w:eastAsia="fr-FR"/>
    </w:rPr>
  </w:style>
  <w:style w:type="paragraph" w:styleId="Zkladntext2">
    <w:name w:val="Body Text 2"/>
    <w:basedOn w:val="Normln"/>
    <w:link w:val="Zkladntext2Char"/>
    <w:rsid w:val="001D3EC7"/>
    <w:pPr>
      <w:spacing w:after="120" w:line="480" w:lineRule="auto"/>
    </w:pPr>
  </w:style>
  <w:style w:type="character" w:customStyle="1" w:styleId="Zkladntext2Char">
    <w:name w:val="Základní text 2 Char"/>
    <w:link w:val="Zkladntext2"/>
    <w:rsid w:val="001D3EC7"/>
    <w:rPr>
      <w:sz w:val="24"/>
      <w:szCs w:val="24"/>
      <w:lang w:val="cs-CZ" w:eastAsia="cs-CZ"/>
    </w:rPr>
  </w:style>
  <w:style w:type="paragraph" w:customStyle="1" w:styleId="Default">
    <w:name w:val="Default"/>
    <w:rsid w:val="006E3731"/>
    <w:pPr>
      <w:autoSpaceDE w:val="0"/>
      <w:autoSpaceDN w:val="0"/>
      <w:adjustRightInd w:val="0"/>
    </w:pPr>
    <w:rPr>
      <w:color w:val="000000"/>
      <w:sz w:val="24"/>
      <w:szCs w:val="24"/>
      <w:lang w:val="en-US" w:eastAsia="en-US"/>
    </w:rPr>
  </w:style>
  <w:style w:type="character" w:customStyle="1" w:styleId="searchword">
    <w:name w:val="searchword"/>
    <w:rsid w:val="00FE7F50"/>
  </w:style>
  <w:style w:type="character" w:customStyle="1" w:styleId="previewtxt">
    <w:name w:val="previewtxt"/>
    <w:rsid w:val="00A77A1E"/>
  </w:style>
  <w:style w:type="character" w:styleId="Siln">
    <w:name w:val="Strong"/>
    <w:uiPriority w:val="22"/>
    <w:qFormat/>
    <w:rsid w:val="00A77A1E"/>
    <w:rPr>
      <w:b/>
      <w:bCs/>
    </w:rPr>
  </w:style>
  <w:style w:type="character" w:styleId="Zvraznn">
    <w:name w:val="Emphasis"/>
    <w:uiPriority w:val="20"/>
    <w:qFormat/>
    <w:rsid w:val="00A77A1E"/>
    <w:rPr>
      <w:i/>
      <w:iCs/>
    </w:rPr>
  </w:style>
  <w:style w:type="character" w:styleId="Sledovanodkaz">
    <w:name w:val="FollowedHyperlink"/>
    <w:rsid w:val="001F35B0"/>
    <w:rPr>
      <w:color w:val="800080"/>
      <w:u w:val="single"/>
    </w:rPr>
  </w:style>
  <w:style w:type="character" w:customStyle="1" w:styleId="citation">
    <w:name w:val="citation"/>
    <w:rsid w:val="00F77D03"/>
  </w:style>
  <w:style w:type="paragraph" w:styleId="Odstavecseseznamem">
    <w:name w:val="List Paragraph"/>
    <w:basedOn w:val="Normln"/>
    <w:uiPriority w:val="34"/>
    <w:qFormat/>
    <w:rsid w:val="00475EDC"/>
    <w:pPr>
      <w:spacing w:after="200" w:line="276" w:lineRule="auto"/>
      <w:ind w:left="720"/>
      <w:contextualSpacing/>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5996">
      <w:bodyDiv w:val="1"/>
      <w:marLeft w:val="0"/>
      <w:marRight w:val="0"/>
      <w:marTop w:val="0"/>
      <w:marBottom w:val="0"/>
      <w:divBdr>
        <w:top w:val="none" w:sz="0" w:space="0" w:color="auto"/>
        <w:left w:val="none" w:sz="0" w:space="0" w:color="auto"/>
        <w:bottom w:val="none" w:sz="0" w:space="0" w:color="auto"/>
        <w:right w:val="none" w:sz="0" w:space="0" w:color="auto"/>
      </w:divBdr>
      <w:divsChild>
        <w:div w:id="20475438">
          <w:marLeft w:val="0"/>
          <w:marRight w:val="0"/>
          <w:marTop w:val="0"/>
          <w:marBottom w:val="0"/>
          <w:divBdr>
            <w:top w:val="none" w:sz="0" w:space="0" w:color="auto"/>
            <w:left w:val="none" w:sz="0" w:space="0" w:color="auto"/>
            <w:bottom w:val="none" w:sz="0" w:space="0" w:color="auto"/>
            <w:right w:val="none" w:sz="0" w:space="0" w:color="auto"/>
          </w:divBdr>
        </w:div>
        <w:div w:id="360862501">
          <w:marLeft w:val="0"/>
          <w:marRight w:val="0"/>
          <w:marTop w:val="0"/>
          <w:marBottom w:val="0"/>
          <w:divBdr>
            <w:top w:val="none" w:sz="0" w:space="0" w:color="auto"/>
            <w:left w:val="none" w:sz="0" w:space="0" w:color="auto"/>
            <w:bottom w:val="none" w:sz="0" w:space="0" w:color="auto"/>
            <w:right w:val="none" w:sz="0" w:space="0" w:color="auto"/>
          </w:divBdr>
        </w:div>
        <w:div w:id="607935675">
          <w:marLeft w:val="0"/>
          <w:marRight w:val="0"/>
          <w:marTop w:val="0"/>
          <w:marBottom w:val="0"/>
          <w:divBdr>
            <w:top w:val="none" w:sz="0" w:space="0" w:color="auto"/>
            <w:left w:val="none" w:sz="0" w:space="0" w:color="auto"/>
            <w:bottom w:val="none" w:sz="0" w:space="0" w:color="auto"/>
            <w:right w:val="none" w:sz="0" w:space="0" w:color="auto"/>
          </w:divBdr>
        </w:div>
        <w:div w:id="1314523276">
          <w:marLeft w:val="0"/>
          <w:marRight w:val="0"/>
          <w:marTop w:val="0"/>
          <w:marBottom w:val="0"/>
          <w:divBdr>
            <w:top w:val="none" w:sz="0" w:space="0" w:color="auto"/>
            <w:left w:val="none" w:sz="0" w:space="0" w:color="auto"/>
            <w:bottom w:val="none" w:sz="0" w:space="0" w:color="auto"/>
            <w:right w:val="none" w:sz="0" w:space="0" w:color="auto"/>
          </w:divBdr>
        </w:div>
        <w:div w:id="1589922273">
          <w:marLeft w:val="0"/>
          <w:marRight w:val="0"/>
          <w:marTop w:val="0"/>
          <w:marBottom w:val="0"/>
          <w:divBdr>
            <w:top w:val="none" w:sz="0" w:space="0" w:color="auto"/>
            <w:left w:val="none" w:sz="0" w:space="0" w:color="auto"/>
            <w:bottom w:val="none" w:sz="0" w:space="0" w:color="auto"/>
            <w:right w:val="none" w:sz="0" w:space="0" w:color="auto"/>
          </w:divBdr>
        </w:div>
        <w:div w:id="1698508934">
          <w:marLeft w:val="0"/>
          <w:marRight w:val="0"/>
          <w:marTop w:val="0"/>
          <w:marBottom w:val="0"/>
          <w:divBdr>
            <w:top w:val="none" w:sz="0" w:space="0" w:color="auto"/>
            <w:left w:val="none" w:sz="0" w:space="0" w:color="auto"/>
            <w:bottom w:val="none" w:sz="0" w:space="0" w:color="auto"/>
            <w:right w:val="none" w:sz="0" w:space="0" w:color="auto"/>
          </w:divBdr>
        </w:div>
        <w:div w:id="1993755971">
          <w:marLeft w:val="0"/>
          <w:marRight w:val="0"/>
          <w:marTop w:val="0"/>
          <w:marBottom w:val="0"/>
          <w:divBdr>
            <w:top w:val="none" w:sz="0" w:space="0" w:color="auto"/>
            <w:left w:val="none" w:sz="0" w:space="0" w:color="auto"/>
            <w:bottom w:val="none" w:sz="0" w:space="0" w:color="auto"/>
            <w:right w:val="none" w:sz="0" w:space="0" w:color="auto"/>
          </w:divBdr>
        </w:div>
      </w:divsChild>
    </w:div>
    <w:div w:id="1052928581">
      <w:bodyDiv w:val="1"/>
      <w:marLeft w:val="0"/>
      <w:marRight w:val="0"/>
      <w:marTop w:val="0"/>
      <w:marBottom w:val="0"/>
      <w:divBdr>
        <w:top w:val="none" w:sz="0" w:space="0" w:color="auto"/>
        <w:left w:val="none" w:sz="0" w:space="0" w:color="auto"/>
        <w:bottom w:val="none" w:sz="0" w:space="0" w:color="auto"/>
        <w:right w:val="none" w:sz="0" w:space="0" w:color="auto"/>
      </w:divBdr>
    </w:div>
    <w:div w:id="1756315659">
      <w:bodyDiv w:val="1"/>
      <w:marLeft w:val="0"/>
      <w:marRight w:val="0"/>
      <w:marTop w:val="0"/>
      <w:marBottom w:val="0"/>
      <w:divBdr>
        <w:top w:val="none" w:sz="0" w:space="0" w:color="auto"/>
        <w:left w:val="none" w:sz="0" w:space="0" w:color="auto"/>
        <w:bottom w:val="none" w:sz="0" w:space="0" w:color="auto"/>
        <w:right w:val="none" w:sz="0" w:space="0" w:color="auto"/>
      </w:divBdr>
    </w:div>
    <w:div w:id="2094234683">
      <w:bodyDiv w:val="1"/>
      <w:marLeft w:val="0"/>
      <w:marRight w:val="0"/>
      <w:marTop w:val="0"/>
      <w:marBottom w:val="0"/>
      <w:divBdr>
        <w:top w:val="none" w:sz="0" w:space="0" w:color="auto"/>
        <w:left w:val="none" w:sz="0" w:space="0" w:color="auto"/>
        <w:bottom w:val="none" w:sz="0" w:space="0" w:color="auto"/>
        <w:right w:val="none" w:sz="0" w:space="0" w:color="auto"/>
      </w:divBdr>
    </w:div>
    <w:div w:id="2134712877">
      <w:bodyDiv w:val="1"/>
      <w:marLeft w:val="0"/>
      <w:marRight w:val="0"/>
      <w:marTop w:val="0"/>
      <w:marBottom w:val="0"/>
      <w:divBdr>
        <w:top w:val="none" w:sz="0" w:space="0" w:color="auto"/>
        <w:left w:val="none" w:sz="0" w:space="0" w:color="auto"/>
        <w:bottom w:val="none" w:sz="0" w:space="0" w:color="auto"/>
        <w:right w:val="none" w:sz="0" w:space="0" w:color="auto"/>
      </w:divBdr>
      <w:divsChild>
        <w:div w:id="1019359269">
          <w:marLeft w:val="0"/>
          <w:marRight w:val="0"/>
          <w:marTop w:val="0"/>
          <w:marBottom w:val="0"/>
          <w:divBdr>
            <w:top w:val="none" w:sz="0" w:space="0" w:color="auto"/>
            <w:left w:val="none" w:sz="0" w:space="0" w:color="auto"/>
            <w:bottom w:val="none" w:sz="0" w:space="0" w:color="auto"/>
            <w:right w:val="none" w:sz="0" w:space="0" w:color="auto"/>
          </w:divBdr>
        </w:div>
        <w:div w:id="194603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775@mail.mun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arativeconstitutions.org/2011/11/another-chapter-in-israels.html" TargetMode="External"/><Relationship Id="rId5" Type="http://schemas.openxmlformats.org/officeDocument/2006/relationships/webSettings" Target="webSettings.xml"/><Relationship Id="rId10" Type="http://schemas.openxmlformats.org/officeDocument/2006/relationships/hyperlink" Target="http://www.iconnectblog.com/2013/01/75-millionaire-tax-rate-ruled-unconstitutional-are-good-judges-bad-for-democracy/" TargetMode="External"/><Relationship Id="rId4" Type="http://schemas.openxmlformats.org/officeDocument/2006/relationships/settings" Target="settings.xml"/><Relationship Id="rId9" Type="http://schemas.openxmlformats.org/officeDocument/2006/relationships/hyperlink" Target="http://www.cortecostituzionale.it/versioni_in_lingua/eng/lacortecostituzionale/cosaelacorte/cosaelacorte.as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1811</Words>
  <Characters>10687</Characters>
  <Application>Microsoft Office Word</Application>
  <DocSecurity>0</DocSecurity>
  <Lines>89</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Ústavní dimenze členství České republiky v Evropské unii</vt:lpstr>
      <vt:lpstr>Ústavní dimenze členství České republiky v Evropské unii</vt:lpstr>
    </vt:vector>
  </TitlesOfParts>
  <Company>Ustavni soud CR</Company>
  <LinksUpToDate>false</LinksUpToDate>
  <CharactersWithSpaces>12474</CharactersWithSpaces>
  <SharedDoc>false</SharedDoc>
  <HLinks>
    <vt:vector size="6" baseType="variant">
      <vt:variant>
        <vt:i4>8060957</vt:i4>
      </vt:variant>
      <vt:variant>
        <vt:i4>0</vt:i4>
      </vt:variant>
      <vt:variant>
        <vt:i4>0</vt:i4>
      </vt:variant>
      <vt:variant>
        <vt:i4>5</vt:i4>
      </vt:variant>
      <vt:variant>
        <vt:lpwstr>mailto:4775@mail.muni.cz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Ústavní dimenze členství České republiky v Evropské unii</dc:title>
  <dc:creator>Administrator</dc:creator>
  <cp:lastModifiedBy>DKNY</cp:lastModifiedBy>
  <cp:revision>6</cp:revision>
  <cp:lastPrinted>2009-11-16T13:25:00Z</cp:lastPrinted>
  <dcterms:created xsi:type="dcterms:W3CDTF">2014-01-07T21:05:00Z</dcterms:created>
  <dcterms:modified xsi:type="dcterms:W3CDTF">2014-01-20T12:40:00Z</dcterms:modified>
</cp:coreProperties>
</file>