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02" w:rsidRPr="008B5802" w:rsidRDefault="008B5802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  <w:sz w:val="28"/>
          <w:szCs w:val="28"/>
        </w:rPr>
      </w:pPr>
      <w:r w:rsidRPr="008B5802">
        <w:rPr>
          <w:rFonts w:ascii="Arial-Black" w:hAnsi="Arial-Black" w:cs="Arial-Black"/>
          <w:color w:val="231F20"/>
          <w:sz w:val="28"/>
          <w:szCs w:val="28"/>
        </w:rPr>
        <w:t xml:space="preserve">Studijní materiály Bezpečnost, dimenze bezpečnosti a bezpečnostní hrozby a bezpečností rizika jsou převzaty z práce J.Eichlera: Mezinárodní bezpečnost na prahu 21. století </w:t>
      </w:r>
    </w:p>
    <w:p w:rsidR="008B5802" w:rsidRDefault="008B5802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  <w:sz w:val="28"/>
          <w:szCs w:val="28"/>
        </w:rPr>
      </w:pPr>
    </w:p>
    <w:p w:rsidR="008B5802" w:rsidRDefault="008B5802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  <w:sz w:val="28"/>
          <w:szCs w:val="28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231F20"/>
          <w:sz w:val="20"/>
          <w:szCs w:val="20"/>
        </w:rPr>
      </w:pPr>
      <w:r w:rsidRPr="008B5802">
        <w:rPr>
          <w:rFonts w:ascii="Arial-Black" w:hAnsi="Arial-Black" w:cs="Arial-Black"/>
          <w:color w:val="231F20"/>
          <w:sz w:val="28"/>
          <w:szCs w:val="28"/>
        </w:rPr>
        <w:t>Bezpečnost</w:t>
      </w:r>
      <w:r>
        <w:rPr>
          <w:rFonts w:ascii="Arial-Black" w:hAnsi="Arial-Black" w:cs="Arial-Black"/>
          <w:color w:val="231F20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color w:val="231F20"/>
          <w:sz w:val="20"/>
          <w:szCs w:val="20"/>
        </w:rPr>
        <w:t>(Security, Sécurité)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Pojem bezpečnost je námětem tisíců odborných článků a stovek knih na celém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světě. Jejich autoři přinášejí řadu rozdílných pohledů, ale v některých základních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charakteristikách se shodují.</w:t>
      </w:r>
    </w:p>
    <w:p w:rsidR="00F24AE1" w:rsidRDefault="00F24AE1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  <w:r>
        <w:rPr>
          <w:rFonts w:ascii="Arial-Black" w:hAnsi="Arial-Black" w:cs="Arial-Black"/>
          <w:color w:val="231F20"/>
        </w:rPr>
        <w:t>Základní vymezení bezpečnosti</w:t>
      </w:r>
    </w:p>
    <w:p w:rsidR="00F24AE1" w:rsidRDefault="00F24AE1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Bezpečnost je elusivním</w:t>
      </w:r>
      <w:r>
        <w:rPr>
          <w:rFonts w:ascii="MinionPro-Regular" w:hAnsi="MinionPro-Regular" w:cs="MinionPro-Regular"/>
          <w:color w:val="231F20"/>
          <w:sz w:val="12"/>
          <w:szCs w:val="12"/>
        </w:rPr>
        <w:t>1</w:t>
      </w:r>
      <w:r>
        <w:rPr>
          <w:rFonts w:ascii="MinionPro-Regular" w:hAnsi="MinionPro-Regular" w:cs="MinionPro-Regular"/>
          <w:color w:val="231F20"/>
          <w:sz w:val="20"/>
          <w:szCs w:val="20"/>
        </w:rPr>
        <w:t>, tedy pomíjivým pojmem. Je to pojem nesnadno postižitelný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a těžko změřitelný, jeho obsah nelze exaktně vyčíslit. V nejobecnější rovině je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bezpečnost definována dvěma základními způsoby – negativně a pozitivně.</w:t>
      </w:r>
    </w:p>
    <w:p w:rsidR="00F24AE1" w:rsidRDefault="00F24AE1" w:rsidP="00602AC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Bold" w:hAnsi="MinionPro-Bold" w:cs="MinionPro-Bold"/>
          <w:b/>
          <w:bCs/>
          <w:color w:val="231F20"/>
          <w:sz w:val="20"/>
          <w:szCs w:val="20"/>
        </w:rPr>
        <w:t xml:space="preserve">Negativní vymezení </w:t>
      </w:r>
      <w:r>
        <w:rPr>
          <w:rFonts w:ascii="MinionPro-Regular" w:hAnsi="MinionPro-Regular" w:cs="MinionPro-Regular"/>
          <w:color w:val="231F20"/>
          <w:sz w:val="20"/>
          <w:szCs w:val="20"/>
        </w:rPr>
        <w:t>je podobné jako negativní vymezení svobody, které říká, že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jde o absenci omezení či nepřítomnosti odporu nebo vážnějších překážek pohybu.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Negativní vymezení bezpečnosti pak znamená, že jde o nepřítomnost či neexistenci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hrozby. Podle tohoto vymezení je bezpečnost opakem stavu ohrožení, který vyplývá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z existence a vzájemné interakce aktérů, kteří mají protichůdné preference a jsou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odhodlání k jejich dosažení použít i sílu, ať už politickou, hospodářskou nebo i vojenskou</w:t>
      </w:r>
      <w:r>
        <w:rPr>
          <w:rFonts w:ascii="MinionPro-Regular" w:hAnsi="MinionPro-Regular" w:cs="MinionPro-Regular"/>
          <w:color w:val="231F20"/>
          <w:sz w:val="12"/>
          <w:szCs w:val="12"/>
        </w:rPr>
        <w:t>2</w:t>
      </w:r>
      <w:r>
        <w:rPr>
          <w:rFonts w:ascii="MinionPro-Regular" w:hAnsi="MinionPro-Regular" w:cs="MinionPro-Regular"/>
          <w:color w:val="231F20"/>
          <w:sz w:val="20"/>
          <w:szCs w:val="20"/>
        </w:rPr>
        <w:t>.</w:t>
      </w:r>
    </w:p>
    <w:p w:rsidR="00F24AE1" w:rsidRDefault="00F24AE1" w:rsidP="00602AC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Bold" w:hAnsi="MinionPro-Bold" w:cs="MinionPro-Bold"/>
          <w:b/>
          <w:bCs/>
          <w:color w:val="231F20"/>
          <w:sz w:val="20"/>
          <w:szCs w:val="20"/>
        </w:rPr>
        <w:t xml:space="preserve">Pozitivní vymezení bezpečnosti </w:t>
      </w:r>
      <w:r>
        <w:rPr>
          <w:rFonts w:ascii="MinionPro-Regular" w:hAnsi="MinionPro-Regular" w:cs="MinionPro-Regular"/>
          <w:color w:val="231F20"/>
          <w:sz w:val="20"/>
          <w:szCs w:val="20"/>
        </w:rPr>
        <w:t>se vždy vztahuje ke konkrétnímu předmětu,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k věci, člověku, obci, státu nebo bezpečnostnímu společenství. Nejbezpečnější je ten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subjekt, který má zajištěno své přežití a možnosti dalšího rozvoje. Bezpečnost bývá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často vysvětlována jako negace negativních stavů. To znamená, že bezpečný je ten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subjekt, který je mimo dosah přímých a naléhavých hrozeb, nebo který je před možnými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hrozbami spolehlivě chráněn. Živočišný druh je bezpečný, když v dané oblasti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nemá svého přirozeného nepřítele</w:t>
      </w:r>
      <w:r>
        <w:rPr>
          <w:rFonts w:ascii="MinionPro-Regular" w:hAnsi="MinionPro-Regular" w:cs="MinionPro-Regular"/>
          <w:color w:val="231F20"/>
          <w:sz w:val="12"/>
          <w:szCs w:val="12"/>
        </w:rPr>
        <w:t>3</w:t>
      </w:r>
      <w:r>
        <w:rPr>
          <w:rFonts w:ascii="MinionPro-Regular" w:hAnsi="MinionPro-Regular" w:cs="MinionPro-Regular"/>
          <w:color w:val="231F20"/>
          <w:sz w:val="20"/>
          <w:szCs w:val="20"/>
        </w:rPr>
        <w:t>. Životní prostředí je bezpečné tam, kde nepůsobí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nepříznivé dopady průmyslové činnosti lidstva. Vysoký bezpečnostní statut mají odlehlé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vyspělé ostrovní státy jako Austrálie nebo Nový Zéland.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 pozitivním slova smyslu lze bezpečnost upevňovat cestou takových opatření,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díky kterým je hrozba buď zcela eliminována, nebo alespoň minimalizována. Dům je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bezpečný proti zlodějům, když je střežen, proti bouřce je bezpečný, když má spolehlivý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hromosvod a proti povodním je bezpečný, když je postaven dostatečně daleko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od záplavových oblastí. Ulice či obec je bezpečná, když v ní hlídkují policisté. Peníze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jsou bezpečné, když jsou uloženy ve spolehlivé a prověřené bance.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  <w:r>
        <w:rPr>
          <w:rFonts w:ascii="Arial-Black" w:hAnsi="Arial-Black" w:cs="Arial-Black"/>
          <w:color w:val="231F20"/>
        </w:rPr>
        <w:t>Bezpečnost v mezinárodních vztazích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231F20"/>
          <w:sz w:val="20"/>
          <w:szCs w:val="20"/>
        </w:rPr>
      </w:pPr>
      <w:r>
        <w:rPr>
          <w:rFonts w:ascii="MinionPro-Bold" w:hAnsi="MinionPro-Bold" w:cs="MinionPro-Bold"/>
          <w:b/>
          <w:bCs/>
          <w:color w:val="231F20"/>
          <w:sz w:val="20"/>
          <w:szCs w:val="20"/>
        </w:rPr>
        <w:t>Základní charakteristika</w:t>
      </w:r>
    </w:p>
    <w:p w:rsidR="00F24AE1" w:rsidRDefault="00F24AE1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 xml:space="preserve">V mezinárodních vztazích je bezpečnost vymezována jako </w:t>
      </w: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základní hodnota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a nejvyšší cíl každého státu či bezpečnostního společenství sdružujícího více států</w:t>
      </w:r>
      <w:r>
        <w:rPr>
          <w:rFonts w:ascii="MinionPro-Regular" w:hAnsi="MinionPro-Regular" w:cs="MinionPro-Regular"/>
          <w:color w:val="231F20"/>
          <w:sz w:val="20"/>
          <w:szCs w:val="20"/>
        </w:rPr>
        <w:t>. Bezpečnost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 xml:space="preserve">jako stav je nejčastěji vysvětlována jako </w:t>
      </w: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nepřítomnost či neexistence ohrožení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nejvyšších hodnot státu či společenství</w:t>
      </w:r>
      <w:r>
        <w:rPr>
          <w:rFonts w:ascii="MinionPro-Regular" w:hAnsi="MinionPro-Regular" w:cs="MinionPro-Regular"/>
          <w:color w:val="231F20"/>
          <w:sz w:val="20"/>
          <w:szCs w:val="20"/>
        </w:rPr>
        <w:t>. Stát je bezpečný v tom případě, když je zajištěna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obrana jeho území a hodnot, které se na něm nacházejí, fungování jeho institucí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a ochrana obyvatelstva.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Pokud jde o státy, hovoří se o objektivním a subjektivním smyslu jejich bezpečnosti.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První z těchto případů znamená, že hodnoty, které sdílí společnost, nejsou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vystaveny žádné přímé hrozbě. A subjektivní smysl znamená, že neexistuje strach,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že tyto sdílené hodnoty by se mohly stát předmětem útoku</w:t>
      </w:r>
      <w:r>
        <w:rPr>
          <w:rFonts w:ascii="MinionPro-Regular" w:hAnsi="MinionPro-Regular" w:cs="MinionPro-Regular"/>
          <w:color w:val="231F20"/>
          <w:sz w:val="12"/>
          <w:szCs w:val="12"/>
        </w:rPr>
        <w:t>4</w:t>
      </w:r>
      <w:r>
        <w:rPr>
          <w:rFonts w:ascii="MinionPro-Regular" w:hAnsi="MinionPro-Regular" w:cs="MinionPro-Regular"/>
          <w:color w:val="231F20"/>
          <w:sz w:val="20"/>
          <w:szCs w:val="20"/>
        </w:rPr>
        <w:t>. Z toho se pak odvozují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základní otázky: jaká nebezpečí by mohla ohrozit bezpečnost státu a jeho přežití, jak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by se mohla projevit, jak je třeba jim čelit.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Úsilí každého státu o zajištění vlastní bezpečnosti se zaměřuje na tři hlavní cíle.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Prvním cílem je eliminace možných hrozeb, ať už mají vojenský nebo nevojenský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charakter. Druhým je zajištění vnitřního pořádku a soudržnosti, která je tím pevnější,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lastRenderedPageBreak/>
        <w:t>čím zřejmější je kolektivní charakter přijímaných rozhodnutí. A konečně třetí cíl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je spojen se zajištěním spravedlnosti a bezpečnosti občanů</w:t>
      </w:r>
      <w:r>
        <w:rPr>
          <w:rFonts w:ascii="MinionPro-Regular" w:hAnsi="MinionPro-Regular" w:cs="MinionPro-Regular"/>
          <w:color w:val="231F20"/>
          <w:sz w:val="12"/>
          <w:szCs w:val="12"/>
        </w:rPr>
        <w:t>5</w:t>
      </w:r>
      <w:r>
        <w:rPr>
          <w:rFonts w:ascii="MinionPro-Regular" w:hAnsi="MinionPro-Regular" w:cs="MinionPro-Regular"/>
          <w:color w:val="231F20"/>
          <w:sz w:val="20"/>
          <w:szCs w:val="20"/>
        </w:rPr>
        <w:t>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 xml:space="preserve">Také bezpečnost států může být vymezována negativně nebo pozitivně. Podle </w:t>
      </w: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negativního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 xml:space="preserve">vymezení </w:t>
      </w:r>
      <w:r>
        <w:rPr>
          <w:rFonts w:ascii="MinionPro-Regular" w:hAnsi="MinionPro-Regular" w:cs="MinionPro-Regular"/>
          <w:color w:val="231F20"/>
          <w:sz w:val="20"/>
          <w:szCs w:val="20"/>
        </w:rPr>
        <w:t>je bezpečnost stavem, za kterého stát není vystaven žádné přímé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 xml:space="preserve">a naléhavé hrozbě a nejsou zpochybněny myšlenky, na kterých byl založen. </w:t>
      </w: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O pozitivním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 xml:space="preserve">vymezení </w:t>
      </w:r>
      <w:r>
        <w:rPr>
          <w:rFonts w:ascii="MinionPro-Regular" w:hAnsi="MinionPro-Regular" w:cs="MinionPro-Regular"/>
          <w:color w:val="231F20"/>
          <w:sz w:val="20"/>
          <w:szCs w:val="20"/>
        </w:rPr>
        <w:t>bezpečnosti států či bezpečnostních společenství lze hovořit v tom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případě, když je zajištěna obrana jejich území a hodnot, které se na něm nacházejí,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když mohou fungovat jejich instituce a je ochráněno jejich obyvatelstvo.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Velmi důležitým prvkem bezpečnosti států jsou také myšlenky, na kterých byly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založeny. Jako učebnicový příklad lze připomenout meziválečnou ČSR. Ta prokázala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svoji ekonomickou i politickou životaschopnost, dokázala překonat i světovou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hospodářskou krizi na přelomu 20. a 30. let. Nakonec ale stejně zanikla, protože se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zhroutily dvě základní myšlenky, na kterých spočívaly její základy. Byla to myšlenka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poválečného uspořádání Evropy na základě versaillesko-washingtonské soustavy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a myšlenka čechoslovakismu.</w:t>
      </w:r>
    </w:p>
    <w:p w:rsidR="00F24AE1" w:rsidRDefault="00F24AE1" w:rsidP="00602AC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231F20"/>
          <w:sz w:val="20"/>
          <w:szCs w:val="20"/>
        </w:rPr>
      </w:pPr>
      <w:r>
        <w:rPr>
          <w:rFonts w:ascii="MinionPro-Bold" w:hAnsi="MinionPro-Bold" w:cs="MinionPro-Bold"/>
          <w:b/>
          <w:bCs/>
          <w:color w:val="231F20"/>
          <w:sz w:val="20"/>
          <w:szCs w:val="20"/>
        </w:rPr>
        <w:t>Relativita bezpečnosti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 xml:space="preserve">Bezpečnost nemůže být absolutní, </w:t>
      </w: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vždy je relativní, je přímo úměrná hrozbám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 xml:space="preserve">či rizikům. </w:t>
      </w:r>
      <w:r>
        <w:rPr>
          <w:rFonts w:ascii="MinionPro-Regular" w:hAnsi="MinionPro-Regular" w:cs="MinionPro-Regular"/>
          <w:color w:val="231F20"/>
          <w:sz w:val="20"/>
          <w:szCs w:val="20"/>
        </w:rPr>
        <w:t>Na bezpečnost nelze nahlížet z krajních poloh – tedy tak, zda je zajiš-</w:t>
      </w:r>
    </w:p>
    <w:p w:rsidR="00602AC9" w:rsidRDefault="00083A3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t</w:t>
      </w:r>
      <w:r w:rsidR="00602AC9">
        <w:rPr>
          <w:rFonts w:ascii="MinionPro-Regular" w:hAnsi="MinionPro-Regular" w:cs="MinionPro-Regular"/>
          <w:color w:val="231F20"/>
          <w:sz w:val="20"/>
          <w:szCs w:val="20"/>
        </w:rPr>
        <w:t>ěna úplně, nebo vůbec. Žádný stát nemůže dosáhnout stavu absolutního zajištění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své bezpečnosti. Většinou je bezpečnost zajištěna více nebo méně. I když ji nelze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nikdy exaktně změřit, a proto relevantní otázka nejčastěji zní, kolik bezpečnosti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postačuje.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  <w:r>
        <w:rPr>
          <w:rFonts w:ascii="Arial-Black" w:hAnsi="Arial-Black" w:cs="Arial-Black"/>
          <w:color w:val="231F20"/>
        </w:rPr>
        <w:t>Bezpečnost jako výsledek souhry objektivních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231F20"/>
        </w:rPr>
      </w:pPr>
      <w:r>
        <w:rPr>
          <w:rFonts w:ascii="Arial-Black" w:hAnsi="Arial-Black" w:cs="Arial-Black"/>
          <w:color w:val="231F20"/>
        </w:rPr>
        <w:t>a subjektivních faktorů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color w:val="231F20"/>
          <w:sz w:val="20"/>
          <w:szCs w:val="20"/>
        </w:rPr>
      </w:pPr>
      <w:r>
        <w:rPr>
          <w:rFonts w:ascii="MinionPro-BoldIt" w:hAnsi="MinionPro-BoldIt" w:cs="MinionPro-BoldIt"/>
          <w:b/>
          <w:bCs/>
          <w:i/>
          <w:iCs/>
          <w:color w:val="231F20"/>
          <w:sz w:val="20"/>
          <w:szCs w:val="20"/>
        </w:rPr>
        <w:t>Objektivní faktory</w:t>
      </w:r>
    </w:p>
    <w:p w:rsidR="00083A39" w:rsidRDefault="00083A3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 xml:space="preserve">Prvním dlouhodobě působícím </w:t>
      </w:r>
      <w:r w:rsidR="00083A39">
        <w:rPr>
          <w:rFonts w:ascii="MinionPro-Regular" w:hAnsi="MinionPro-Regular" w:cs="MinionPro-Regular"/>
          <w:color w:val="231F20"/>
          <w:sz w:val="20"/>
          <w:szCs w:val="20"/>
        </w:rPr>
        <w:t>objektivní faktorem je geografi</w:t>
      </w:r>
      <w:r>
        <w:rPr>
          <w:rFonts w:ascii="MinionPro-Regular" w:hAnsi="MinionPro-Regular" w:cs="MinionPro-Regular"/>
          <w:color w:val="231F20"/>
          <w:sz w:val="20"/>
          <w:szCs w:val="20"/>
        </w:rPr>
        <w:t>e – čím vzdálenější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je hrozba, tím méně je naléhavá a tím větší jsou možnosti, jak jí čelit. Pro znázornění</w:t>
      </w:r>
    </w:p>
    <w:p w:rsidR="00602AC9" w:rsidRDefault="00083A3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velkých geografi</w:t>
      </w:r>
      <w:r w:rsidR="00602AC9">
        <w:rPr>
          <w:rFonts w:ascii="MinionPro-Regular" w:hAnsi="MinionPro-Regular" w:cs="MinionPro-Regular"/>
          <w:color w:val="231F20"/>
          <w:sz w:val="20"/>
          <w:szCs w:val="20"/>
        </w:rPr>
        <w:t>ckých rozdílů mezi státy můžeme uvést následující tři typy: odlehlé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ostrovní státy typu Austrálie či Nového Zélandu, Českou republikou s její polohou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 centru Evropy a Izrael, který svoji polohu vnímá jako stav trvalého, každodenního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ohrožení a neustálého boje o přežití. Důležitou roli hraje i terén – pobaltské státy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nebo Polsko jsou na tom při obraně svého území vzhledem k rovinatému charakteru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jeho povrchu podstatně hůře než třeba hornaté Švýcarsko.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Dalším objektivním faktorem jsou dějiny. Jenom v Evropě bylo či je několik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dvojic tzv. dědičných nepřátel – např. napětí mezi Řeky a Turky přetrvává, přestože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oba státy jsou ve stejném bezpečnostním společenství. Na druhé straně se podařilo,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zejména díky integračním procesům, postupně překonat historické animozity mezi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státy, které se po dlouhou dobu navzájem považovaly za hrozby: Francie s Velkou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Británií, Švédsko s Dánskem, Francie s Německem.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color w:val="231F20"/>
          <w:sz w:val="20"/>
          <w:szCs w:val="20"/>
        </w:rPr>
      </w:pPr>
      <w:r>
        <w:rPr>
          <w:rFonts w:ascii="MinionPro-BoldIt" w:hAnsi="MinionPro-BoldIt" w:cs="MinionPro-BoldIt"/>
          <w:b/>
          <w:bCs/>
          <w:i/>
          <w:iCs/>
          <w:color w:val="231F20"/>
          <w:sz w:val="20"/>
          <w:szCs w:val="20"/>
        </w:rPr>
        <w:t>Subjektivní faktory</w:t>
      </w:r>
    </w:p>
    <w:p w:rsidR="00083A39" w:rsidRDefault="00083A3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>Bezpečnost spočívá na souhrnu opatření, která každý stát či bezpečnostní společenství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 xml:space="preserve">přijímá v zájmu zajištění vlastní bezpečnosti. </w:t>
      </w:r>
      <w:r>
        <w:rPr>
          <w:rFonts w:ascii="MinionPro-Regular" w:hAnsi="MinionPro-Regular" w:cs="MinionPro-Regular"/>
          <w:color w:val="231F20"/>
          <w:sz w:val="20"/>
          <w:szCs w:val="20"/>
        </w:rPr>
        <w:t>Všechna tato opatření a jejich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prosazování tvoří bezpečnostní politiku státu nebo bezpečnostního společenství.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Nevojenskou část bezpečnostní politiky představují především aktivní opatření na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poli diplomacie, která se zaměřuje zejména na uzavírání dvoustranných a vícestranných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smluv a na získávání bezpečnostních záruk na základě členství v aliancích nebo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v koalicích. Vojenská část bezpečnostní politiky se zaměřuje především na výstavbu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ozbrojených sil a na jejich bojovou přípravu.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It" w:hAnsi="MinionPro-It" w:cs="MinionPro-It"/>
          <w:i/>
          <w:iCs/>
          <w:color w:val="231F20"/>
          <w:sz w:val="20"/>
          <w:szCs w:val="20"/>
        </w:rPr>
        <w:t xml:space="preserve">Silný vliv politiky </w:t>
      </w:r>
      <w:r>
        <w:rPr>
          <w:rFonts w:ascii="MinionPro-Regular" w:hAnsi="MinionPro-Regular" w:cs="MinionPro-Regular"/>
          <w:color w:val="231F20"/>
          <w:sz w:val="20"/>
          <w:szCs w:val="20"/>
        </w:rPr>
        <w:t>se projevuje také v tom, že státy s výrazně rozdílným politickým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uspořádáním a s nesmiřitelnými ideologiemi si zpravidla navzájem přisuzují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nepřátelské záměry a považují se za hrozby. To se zvlášť výrazně projevovalo během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bipolární konfrontace v době studené války. Naproti tomu shoda na základních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politických hodnotách umožňuje vytvářet bezpečnostně-politická společenství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či komplexy, jejichž členské státy se navzájem nepovažují za hrozby a v bezpečnostní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lastRenderedPageBreak/>
        <w:t>oblasti prosazují společné zájmy. To platí zejména o Evropě, která stále ještě není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naprosto demokratická, nicméně je mnohem demokratičtější, než byla kdykoliv</w:t>
      </w:r>
    </w:p>
    <w:p w:rsidR="00602AC9" w:rsidRDefault="00602AC9" w:rsidP="00602AC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231F20"/>
          <w:sz w:val="20"/>
          <w:szCs w:val="20"/>
        </w:rPr>
      </w:pPr>
      <w:r>
        <w:rPr>
          <w:rFonts w:ascii="MinionPro-Regular" w:hAnsi="MinionPro-Regular" w:cs="MinionPro-Regular"/>
          <w:color w:val="231F20"/>
          <w:sz w:val="20"/>
          <w:szCs w:val="20"/>
        </w:rPr>
        <w:t>předtím.</w:t>
      </w:r>
    </w:p>
    <w:sectPr w:rsidR="00602AC9" w:rsidSect="001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22" w:rsidRDefault="00F86422" w:rsidP="00853458">
      <w:pPr>
        <w:spacing w:after="0" w:line="240" w:lineRule="auto"/>
      </w:pPr>
      <w:r>
        <w:separator/>
      </w:r>
    </w:p>
  </w:endnote>
  <w:endnote w:type="continuationSeparator" w:id="1">
    <w:p w:rsidR="00F86422" w:rsidRDefault="00F86422" w:rsidP="0085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22" w:rsidRDefault="00F86422" w:rsidP="00853458">
      <w:pPr>
        <w:spacing w:after="0" w:line="240" w:lineRule="auto"/>
      </w:pPr>
      <w:r>
        <w:separator/>
      </w:r>
    </w:p>
  </w:footnote>
  <w:footnote w:type="continuationSeparator" w:id="1">
    <w:p w:rsidR="00F86422" w:rsidRDefault="00F86422" w:rsidP="0085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AC1"/>
    <w:multiLevelType w:val="hybridMultilevel"/>
    <w:tmpl w:val="79FAD208"/>
    <w:lvl w:ilvl="0" w:tplc="A330F0FC">
      <w:start w:val="95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87A"/>
    <w:rsid w:val="000612D7"/>
    <w:rsid w:val="00083A39"/>
    <w:rsid w:val="000A3C47"/>
    <w:rsid w:val="000E6703"/>
    <w:rsid w:val="00181A4E"/>
    <w:rsid w:val="001D6664"/>
    <w:rsid w:val="00295289"/>
    <w:rsid w:val="002C1C5D"/>
    <w:rsid w:val="002D2834"/>
    <w:rsid w:val="002E56B4"/>
    <w:rsid w:val="003D797A"/>
    <w:rsid w:val="00445C97"/>
    <w:rsid w:val="00497D8F"/>
    <w:rsid w:val="004F636D"/>
    <w:rsid w:val="005A4D3B"/>
    <w:rsid w:val="005D15A2"/>
    <w:rsid w:val="00602AC9"/>
    <w:rsid w:val="0060325F"/>
    <w:rsid w:val="00614F1E"/>
    <w:rsid w:val="00634AF4"/>
    <w:rsid w:val="006464C5"/>
    <w:rsid w:val="006A4A3A"/>
    <w:rsid w:val="006D4D29"/>
    <w:rsid w:val="007676D8"/>
    <w:rsid w:val="00845365"/>
    <w:rsid w:val="00853458"/>
    <w:rsid w:val="008B5802"/>
    <w:rsid w:val="008B7C94"/>
    <w:rsid w:val="008D713C"/>
    <w:rsid w:val="009159F6"/>
    <w:rsid w:val="00943D6A"/>
    <w:rsid w:val="00943DDE"/>
    <w:rsid w:val="00960F43"/>
    <w:rsid w:val="009B257A"/>
    <w:rsid w:val="00A57F68"/>
    <w:rsid w:val="00A62855"/>
    <w:rsid w:val="00A868CD"/>
    <w:rsid w:val="00A90ECA"/>
    <w:rsid w:val="00AB358C"/>
    <w:rsid w:val="00AE360D"/>
    <w:rsid w:val="00BC1895"/>
    <w:rsid w:val="00C9364A"/>
    <w:rsid w:val="00CE4F4C"/>
    <w:rsid w:val="00D02802"/>
    <w:rsid w:val="00D85F37"/>
    <w:rsid w:val="00DE787A"/>
    <w:rsid w:val="00E1564C"/>
    <w:rsid w:val="00F24AE1"/>
    <w:rsid w:val="00F27159"/>
    <w:rsid w:val="00F40EDA"/>
    <w:rsid w:val="00F5502C"/>
    <w:rsid w:val="00F812F2"/>
    <w:rsid w:val="00F86422"/>
    <w:rsid w:val="00FA0A3B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76D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D4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D4D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5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3458"/>
  </w:style>
  <w:style w:type="paragraph" w:styleId="Zpat">
    <w:name w:val="footer"/>
    <w:basedOn w:val="Normln"/>
    <w:link w:val="ZpatChar"/>
    <w:uiPriority w:val="99"/>
    <w:semiHidden/>
    <w:unhideWhenUsed/>
    <w:rsid w:val="0085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3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530</dc:creator>
  <cp:lastModifiedBy>Kroupa</cp:lastModifiedBy>
  <cp:revision>2</cp:revision>
  <dcterms:created xsi:type="dcterms:W3CDTF">2020-05-09T17:33:00Z</dcterms:created>
  <dcterms:modified xsi:type="dcterms:W3CDTF">2020-05-09T17:33:00Z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-612791537</vt:i4>
  </property>
</Properties>
</file>