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CBBAA" w14:textId="37DA3DE8" w:rsidR="00CE327C" w:rsidRPr="00CE327C" w:rsidRDefault="00CE327C" w:rsidP="00CE327C">
      <w:pPr>
        <w:pBdr>
          <w:top w:val="single" w:sz="8" w:space="1" w:color="auto"/>
          <w:left w:val="single" w:sz="8" w:space="4" w:color="auto"/>
          <w:bottom w:val="single" w:sz="8" w:space="1" w:color="auto"/>
          <w:right w:val="single" w:sz="8" w:space="4" w:color="auto"/>
        </w:pBdr>
        <w:spacing w:before="120" w:after="0" w:line="240" w:lineRule="auto"/>
        <w:contextualSpacing/>
        <w:jc w:val="center"/>
        <w:rPr>
          <w:rFonts w:asciiTheme="majorHAnsi" w:eastAsiaTheme="majorEastAsia" w:hAnsiTheme="majorHAnsi" w:cstheme="majorBidi"/>
          <w:b/>
          <w:spacing w:val="-10"/>
          <w:kern w:val="28"/>
          <w:sz w:val="40"/>
          <w:szCs w:val="56"/>
        </w:rPr>
      </w:pPr>
      <w:bookmarkStart w:id="0" w:name="_GoBack"/>
      <w:bookmarkEnd w:id="0"/>
      <w:r>
        <w:rPr>
          <w:rFonts w:asciiTheme="majorHAnsi" w:eastAsiaTheme="majorEastAsia" w:hAnsiTheme="majorHAnsi" w:cstheme="majorBidi"/>
          <w:b/>
          <w:spacing w:val="-10"/>
          <w:kern w:val="28"/>
          <w:sz w:val="40"/>
          <w:szCs w:val="56"/>
        </w:rPr>
        <w:t>ČAS V SOUKROMÉM PRÁVU</w:t>
      </w:r>
    </w:p>
    <w:p w14:paraId="0B903DFD" w14:textId="43330EEC" w:rsidR="00CE327C" w:rsidRPr="00CE327C" w:rsidRDefault="00CE327C" w:rsidP="00CE327C">
      <w:pPr>
        <w:spacing w:before="120" w:after="120" w:line="240" w:lineRule="auto"/>
        <w:rPr>
          <w:i/>
          <w:iCs/>
          <w:sz w:val="22"/>
        </w:rPr>
      </w:pPr>
      <w:r w:rsidRPr="00CE327C">
        <w:rPr>
          <w:i/>
          <w:iCs/>
          <w:sz w:val="22"/>
        </w:rPr>
        <w:t>Tento sylabus slouží jako vzdělávací materiál pro potřeby předmětu MP214Zk Občanské právo – obecná část. Výčet informací v tomto sylabu není vyčerpávající. Pro závěrečné a postupové zkoušky v kontextu uvedených předmětů může být proto samotný sylabus nedostačující.</w:t>
      </w:r>
    </w:p>
    <w:p w14:paraId="43BE4D72" w14:textId="4030D2DB" w:rsidR="004C7A1D" w:rsidRDefault="00395FA9" w:rsidP="006B03F7">
      <w:pPr>
        <w:pStyle w:val="Nadpis1"/>
      </w:pPr>
      <w:r>
        <w:t xml:space="preserve">Čas v soukromém právu </w:t>
      </w:r>
      <w:r w:rsidR="0015297B">
        <w:t>a </w:t>
      </w:r>
      <w:r>
        <w:t>jeho význam</w:t>
      </w:r>
    </w:p>
    <w:p w14:paraId="433439B4" w14:textId="371FEC3B" w:rsidR="00395FA9" w:rsidRDefault="0086239C" w:rsidP="00395FA9">
      <w:r>
        <w:t xml:space="preserve">Plynutí času </w:t>
      </w:r>
      <w:r w:rsidR="00123E54">
        <w:t xml:space="preserve">jako </w:t>
      </w:r>
      <w:r w:rsidR="00123E54" w:rsidRPr="00123E54">
        <w:rPr>
          <w:b/>
          <w:bCs/>
        </w:rPr>
        <w:t>objektivní právní skutečnost</w:t>
      </w:r>
      <w:r w:rsidR="00123E54">
        <w:t xml:space="preserve"> (právní událost) </w:t>
      </w:r>
      <w:r>
        <w:t xml:space="preserve">zaujímá v občanském právu </w:t>
      </w:r>
      <w:r w:rsidR="00123E54">
        <w:t xml:space="preserve">významné místo. </w:t>
      </w:r>
      <w:r w:rsidR="00FE4E39">
        <w:t xml:space="preserve">Tam, kde s ním spojuje objektivní právo právní následky, </w:t>
      </w:r>
      <w:r w:rsidR="00FE4E39" w:rsidRPr="00FE4E39">
        <w:rPr>
          <w:b/>
          <w:bCs/>
        </w:rPr>
        <w:t>vyvolává vznik, změnu nebo zánik občanskoprávních vztahů</w:t>
      </w:r>
      <w:r w:rsidR="00FE4E39">
        <w:t>.</w:t>
      </w:r>
      <w:r w:rsidR="00C40922" w:rsidRPr="00817A52">
        <w:rPr>
          <w:rStyle w:val="Znakapoznpodarou"/>
        </w:rPr>
        <w:footnoteReference w:id="1"/>
      </w:r>
      <w:r w:rsidR="003D5CB0">
        <w:t xml:space="preserve"> </w:t>
      </w:r>
      <w:r w:rsidR="004A7FCE">
        <w:t xml:space="preserve">Rozhodující časový okamžik stanoví </w:t>
      </w:r>
      <w:r w:rsidR="00FB76B4">
        <w:t>přímo zákon nebo strany. Plné svéprávnosti se například dosahuje dovršením osmnáctého roku věku</w:t>
      </w:r>
      <w:r w:rsidR="00794A81">
        <w:t xml:space="preserve"> (tj. zletilostí) nebo dlužník musí splnit svůj dluh k určitému časovému okamžiku</w:t>
      </w:r>
      <w:r w:rsidR="00726044">
        <w:t xml:space="preserve"> (srov. § 600 OZ)</w:t>
      </w:r>
      <w:r w:rsidR="00794A81">
        <w:t>.</w:t>
      </w:r>
      <w:r w:rsidR="000772DB" w:rsidRPr="00817A52">
        <w:rPr>
          <w:rStyle w:val="Znakapoznpodarou"/>
        </w:rPr>
        <w:footnoteReference w:id="2"/>
      </w:r>
    </w:p>
    <w:p w14:paraId="5EB65A50" w14:textId="2CBC7A0E" w:rsidR="00814EBE" w:rsidRDefault="00814EBE" w:rsidP="00395FA9">
      <w:r>
        <w:t xml:space="preserve">Označení pro uložení času může mít </w:t>
      </w:r>
      <w:r w:rsidRPr="00814EBE">
        <w:rPr>
          <w:b/>
        </w:rPr>
        <w:t>čtyři podoby</w:t>
      </w:r>
      <w:r>
        <w:t>:</w:t>
      </w:r>
    </w:p>
    <w:p w14:paraId="0E5FAA5C" w14:textId="0F75CFEF" w:rsidR="00814EBE" w:rsidRDefault="00814EBE" w:rsidP="00814EBE">
      <w:pPr>
        <w:pStyle w:val="Odstavecseseznamem"/>
        <w:numPr>
          <w:ilvl w:val="0"/>
          <w:numId w:val="8"/>
        </w:numPr>
      </w:pPr>
      <w:proofErr w:type="spellStart"/>
      <w:r w:rsidRPr="00814EBE">
        <w:rPr>
          <w:b/>
        </w:rPr>
        <w:t>dies</w:t>
      </w:r>
      <w:proofErr w:type="spellEnd"/>
      <w:r w:rsidRPr="00814EBE">
        <w:rPr>
          <w:b/>
        </w:rPr>
        <w:t xml:space="preserve"> </w:t>
      </w:r>
      <w:proofErr w:type="spellStart"/>
      <w:r w:rsidRPr="00814EBE">
        <w:rPr>
          <w:b/>
        </w:rPr>
        <w:t>certus</w:t>
      </w:r>
      <w:proofErr w:type="spellEnd"/>
      <w:r w:rsidRPr="00814EBE">
        <w:rPr>
          <w:b/>
        </w:rPr>
        <w:t xml:space="preserve"> </w:t>
      </w:r>
      <w:proofErr w:type="spellStart"/>
      <w:r w:rsidRPr="00814EBE">
        <w:rPr>
          <w:b/>
        </w:rPr>
        <w:t>an</w:t>
      </w:r>
      <w:proofErr w:type="spellEnd"/>
      <w:r w:rsidRPr="00814EBE">
        <w:rPr>
          <w:b/>
        </w:rPr>
        <w:t xml:space="preserve">, </w:t>
      </w:r>
      <w:proofErr w:type="spellStart"/>
      <w:r w:rsidRPr="00814EBE">
        <w:rPr>
          <w:b/>
        </w:rPr>
        <w:t>certus</w:t>
      </w:r>
      <w:proofErr w:type="spellEnd"/>
      <w:r w:rsidRPr="00814EBE">
        <w:rPr>
          <w:b/>
        </w:rPr>
        <w:t xml:space="preserve"> </w:t>
      </w:r>
      <w:proofErr w:type="spellStart"/>
      <w:r w:rsidRPr="00814EBE">
        <w:rPr>
          <w:b/>
        </w:rPr>
        <w:t>quando</w:t>
      </w:r>
      <w:proofErr w:type="spellEnd"/>
      <w:r>
        <w:t xml:space="preserve"> – den, který jistě nastane a ví se kdy (12. 4. 2021)</w:t>
      </w:r>
    </w:p>
    <w:p w14:paraId="07173AB5" w14:textId="4DF50C9B" w:rsidR="00814EBE" w:rsidRDefault="00814EBE" w:rsidP="00814EBE">
      <w:pPr>
        <w:pStyle w:val="Odstavecseseznamem"/>
        <w:numPr>
          <w:ilvl w:val="0"/>
          <w:numId w:val="8"/>
        </w:numPr>
      </w:pPr>
      <w:proofErr w:type="spellStart"/>
      <w:r w:rsidRPr="00814EBE">
        <w:rPr>
          <w:b/>
        </w:rPr>
        <w:t>dies</w:t>
      </w:r>
      <w:proofErr w:type="spellEnd"/>
      <w:r w:rsidRPr="00814EBE">
        <w:rPr>
          <w:b/>
        </w:rPr>
        <w:t xml:space="preserve"> </w:t>
      </w:r>
      <w:proofErr w:type="spellStart"/>
      <w:r w:rsidRPr="00814EBE">
        <w:rPr>
          <w:b/>
        </w:rPr>
        <w:t>certus</w:t>
      </w:r>
      <w:proofErr w:type="spellEnd"/>
      <w:r w:rsidRPr="00814EBE">
        <w:rPr>
          <w:b/>
        </w:rPr>
        <w:t xml:space="preserve"> </w:t>
      </w:r>
      <w:proofErr w:type="spellStart"/>
      <w:r w:rsidRPr="00814EBE">
        <w:rPr>
          <w:b/>
        </w:rPr>
        <w:t>an</w:t>
      </w:r>
      <w:proofErr w:type="spellEnd"/>
      <w:r w:rsidRPr="00814EBE">
        <w:rPr>
          <w:b/>
        </w:rPr>
        <w:t xml:space="preserve">, </w:t>
      </w:r>
      <w:proofErr w:type="spellStart"/>
      <w:r w:rsidRPr="00814EBE">
        <w:rPr>
          <w:b/>
        </w:rPr>
        <w:t>incertus</w:t>
      </w:r>
      <w:proofErr w:type="spellEnd"/>
      <w:r w:rsidRPr="00814EBE">
        <w:rPr>
          <w:b/>
        </w:rPr>
        <w:t xml:space="preserve"> </w:t>
      </w:r>
      <w:proofErr w:type="spellStart"/>
      <w:r w:rsidRPr="00814EBE">
        <w:rPr>
          <w:b/>
        </w:rPr>
        <w:t>quando</w:t>
      </w:r>
      <w:proofErr w:type="spellEnd"/>
      <w:r>
        <w:t xml:space="preserve"> – den, který jistě nastane, ale neví se kdy (až pan Babula umře)</w:t>
      </w:r>
    </w:p>
    <w:p w14:paraId="2133D679" w14:textId="17359E54" w:rsidR="00814EBE" w:rsidRDefault="00814EBE" w:rsidP="00814EBE">
      <w:pPr>
        <w:pStyle w:val="Odstavecseseznamem"/>
        <w:numPr>
          <w:ilvl w:val="0"/>
          <w:numId w:val="8"/>
        </w:numPr>
      </w:pPr>
      <w:proofErr w:type="spellStart"/>
      <w:r w:rsidRPr="00814EBE">
        <w:rPr>
          <w:b/>
        </w:rPr>
        <w:t>dies</w:t>
      </w:r>
      <w:proofErr w:type="spellEnd"/>
      <w:r w:rsidRPr="00814EBE">
        <w:rPr>
          <w:b/>
        </w:rPr>
        <w:t xml:space="preserve"> </w:t>
      </w:r>
      <w:proofErr w:type="spellStart"/>
      <w:r w:rsidRPr="00814EBE">
        <w:rPr>
          <w:b/>
        </w:rPr>
        <w:t>incertus</w:t>
      </w:r>
      <w:proofErr w:type="spellEnd"/>
      <w:r w:rsidRPr="00814EBE">
        <w:rPr>
          <w:b/>
        </w:rPr>
        <w:t xml:space="preserve"> </w:t>
      </w:r>
      <w:proofErr w:type="spellStart"/>
      <w:r w:rsidRPr="00814EBE">
        <w:rPr>
          <w:b/>
        </w:rPr>
        <w:t>an</w:t>
      </w:r>
      <w:proofErr w:type="spellEnd"/>
      <w:r w:rsidRPr="00814EBE">
        <w:rPr>
          <w:b/>
        </w:rPr>
        <w:t xml:space="preserve">, </w:t>
      </w:r>
      <w:proofErr w:type="spellStart"/>
      <w:r w:rsidRPr="00814EBE">
        <w:rPr>
          <w:b/>
        </w:rPr>
        <w:t>certus</w:t>
      </w:r>
      <w:proofErr w:type="spellEnd"/>
      <w:r w:rsidRPr="00814EBE">
        <w:rPr>
          <w:b/>
        </w:rPr>
        <w:t xml:space="preserve"> </w:t>
      </w:r>
      <w:proofErr w:type="spellStart"/>
      <w:r w:rsidRPr="00814EBE">
        <w:rPr>
          <w:b/>
        </w:rPr>
        <w:t>quando</w:t>
      </w:r>
      <w:proofErr w:type="spellEnd"/>
      <w:r>
        <w:t xml:space="preserve"> – nevíme, zda nastane, ale víme kdy (až Jaroslav nabyde zletilosti – nastane, pokud Jaroslav neumře)</w:t>
      </w:r>
    </w:p>
    <w:p w14:paraId="55A322E8" w14:textId="3F5ED2FD" w:rsidR="00814EBE" w:rsidRDefault="00814EBE" w:rsidP="00814EBE">
      <w:pPr>
        <w:pStyle w:val="Odstavecseseznamem"/>
        <w:numPr>
          <w:ilvl w:val="0"/>
          <w:numId w:val="8"/>
        </w:numPr>
      </w:pPr>
      <w:proofErr w:type="spellStart"/>
      <w:r w:rsidRPr="00814EBE">
        <w:rPr>
          <w:b/>
        </w:rPr>
        <w:t>dies</w:t>
      </w:r>
      <w:proofErr w:type="spellEnd"/>
      <w:r w:rsidRPr="00814EBE">
        <w:rPr>
          <w:b/>
        </w:rPr>
        <w:t xml:space="preserve"> </w:t>
      </w:r>
      <w:proofErr w:type="spellStart"/>
      <w:r w:rsidRPr="00814EBE">
        <w:rPr>
          <w:b/>
        </w:rPr>
        <w:t>incertus</w:t>
      </w:r>
      <w:proofErr w:type="spellEnd"/>
      <w:r w:rsidRPr="00814EBE">
        <w:rPr>
          <w:b/>
        </w:rPr>
        <w:t xml:space="preserve"> </w:t>
      </w:r>
      <w:proofErr w:type="spellStart"/>
      <w:r w:rsidRPr="00814EBE">
        <w:rPr>
          <w:b/>
        </w:rPr>
        <w:t>an</w:t>
      </w:r>
      <w:proofErr w:type="spellEnd"/>
      <w:r w:rsidRPr="00814EBE">
        <w:rPr>
          <w:b/>
        </w:rPr>
        <w:t xml:space="preserve">, </w:t>
      </w:r>
      <w:proofErr w:type="spellStart"/>
      <w:r w:rsidRPr="00814EBE">
        <w:rPr>
          <w:b/>
        </w:rPr>
        <w:t>incertus</w:t>
      </w:r>
      <w:proofErr w:type="spellEnd"/>
      <w:r w:rsidRPr="00814EBE">
        <w:rPr>
          <w:b/>
        </w:rPr>
        <w:t xml:space="preserve"> </w:t>
      </w:r>
      <w:proofErr w:type="spellStart"/>
      <w:r w:rsidRPr="00814EBE">
        <w:rPr>
          <w:b/>
        </w:rPr>
        <w:t>quando</w:t>
      </w:r>
      <w:proofErr w:type="spellEnd"/>
      <w:r>
        <w:t xml:space="preserve"> – nevíme, zda nastane, ani kdy nastane (až se doktor Prášek bude ženit)</w:t>
      </w:r>
    </w:p>
    <w:p w14:paraId="4FB98A71" w14:textId="4BFD19C4" w:rsidR="00B100F3" w:rsidRPr="00E24E16" w:rsidRDefault="00AD5F84" w:rsidP="00E24E16">
      <w:r>
        <w:t xml:space="preserve">Ustanovení § 602 OZ zakotvuje pravidlo, podle kterého </w:t>
      </w:r>
      <w:r w:rsidR="00E24E16">
        <w:t>m</w:t>
      </w:r>
      <w:r w:rsidR="00E24E16" w:rsidRPr="00E24E16">
        <w:t xml:space="preserve">á-li se právo vykonat nebo povinnost splnit </w:t>
      </w:r>
      <w:r w:rsidR="0015297B" w:rsidRPr="00E24E16">
        <w:t>v</w:t>
      </w:r>
      <w:r w:rsidR="0015297B">
        <w:t> </w:t>
      </w:r>
      <w:r w:rsidR="00E24E16" w:rsidRPr="00E24E16">
        <w:t xml:space="preserve">určitý den nebo do určitého dne, vyžaduje se, aby se tak stalo </w:t>
      </w:r>
      <w:r w:rsidR="0015297B" w:rsidRPr="00E24E16">
        <w:t>v</w:t>
      </w:r>
      <w:r w:rsidR="0015297B">
        <w:t> </w:t>
      </w:r>
      <w:r w:rsidR="00E24E16" w:rsidRPr="00EF4956">
        <w:rPr>
          <w:b/>
          <w:bCs/>
        </w:rPr>
        <w:t>obvyklou denní dobu</w:t>
      </w:r>
      <w:r w:rsidR="00E24E16" w:rsidRPr="00E24E16">
        <w:t>, ledaže něco jiného plyne ze zvyklostí, ze zavedené praxe stran, popřípadě ze zvláštních okolností případu.</w:t>
      </w:r>
      <w:r w:rsidR="00E24E16">
        <w:t xml:space="preserve"> </w:t>
      </w:r>
      <w:r w:rsidR="001A04BC">
        <w:t xml:space="preserve">Něco jiného může stanovit </w:t>
      </w:r>
      <w:r w:rsidR="0015297B">
        <w:t>i </w:t>
      </w:r>
      <w:r w:rsidR="001A04BC">
        <w:t xml:space="preserve">smluvní ujednání. </w:t>
      </w:r>
      <w:r w:rsidR="00B110D3">
        <w:t xml:space="preserve">Obvyklost se posuzuje s ohledem na to, jaké právo má být vykonáno nebo jaká povinnost má být splněna. </w:t>
      </w:r>
      <w:r w:rsidR="00D9125B">
        <w:t>Obvyklou dobou m</w:t>
      </w:r>
      <w:r w:rsidR="0013416F">
        <w:t xml:space="preserve">ůže být </w:t>
      </w:r>
      <w:r w:rsidR="0013416F" w:rsidRPr="008E7587">
        <w:rPr>
          <w:b/>
          <w:bCs/>
        </w:rPr>
        <w:t>například</w:t>
      </w:r>
      <w:r w:rsidR="0013416F">
        <w:t xml:space="preserve"> </w:t>
      </w:r>
      <w:r w:rsidR="0013416F" w:rsidRPr="00EF4956">
        <w:rPr>
          <w:b/>
          <w:bCs/>
        </w:rPr>
        <w:t>provozní doba obchodu</w:t>
      </w:r>
      <w:r w:rsidR="0013416F">
        <w:t>.</w:t>
      </w:r>
      <w:r w:rsidR="003810B7" w:rsidRPr="00817A52">
        <w:rPr>
          <w:rStyle w:val="Znakapoznpodarou"/>
        </w:rPr>
        <w:footnoteReference w:id="3"/>
      </w:r>
      <w:r w:rsidR="00B502B4">
        <w:t xml:space="preserve"> </w:t>
      </w:r>
      <w:r w:rsidR="00C94AB5">
        <w:t xml:space="preserve">Zároveň se citované ustanovení týká pouze práv </w:t>
      </w:r>
      <w:r w:rsidR="0015297B">
        <w:t>a </w:t>
      </w:r>
      <w:r w:rsidR="00C94AB5">
        <w:t xml:space="preserve">povinností, jejichž výkon nebo splnění vyžadují </w:t>
      </w:r>
      <w:r w:rsidR="00CC4F78">
        <w:t xml:space="preserve">fyzickou přítomnost. </w:t>
      </w:r>
      <w:r w:rsidR="00E10C86">
        <w:t xml:space="preserve">Z toho například vyplývá, že </w:t>
      </w:r>
      <w:r w:rsidR="0015297B">
        <w:t>u </w:t>
      </w:r>
      <w:r w:rsidR="00E10C86">
        <w:t>právního styku nevyžadujícího osobní přítomnost se toto pravidlo neuplatní (např. odstoupení od smlouvy prostřednictvím e-mailu nebo vytknutí vad</w:t>
      </w:r>
      <w:r w:rsidR="00B100F3">
        <w:t xml:space="preserve"> zboží skrze datovou schránku).</w:t>
      </w:r>
      <w:r w:rsidR="00803662" w:rsidRPr="00817A52">
        <w:rPr>
          <w:rStyle w:val="Znakapoznpodarou"/>
        </w:rPr>
        <w:footnoteReference w:id="4"/>
      </w:r>
    </w:p>
    <w:p w14:paraId="156471FB" w14:textId="10E07C63" w:rsidR="00B80746" w:rsidRDefault="00592469" w:rsidP="00395FA9">
      <w:pPr>
        <w:rPr>
          <w:i/>
          <w:iCs/>
        </w:rPr>
      </w:pPr>
      <w:r w:rsidRPr="00E77F30">
        <w:rPr>
          <w:i/>
          <w:iCs/>
        </w:rPr>
        <w:t xml:space="preserve">Příklad: </w:t>
      </w:r>
      <w:r w:rsidR="000913FD" w:rsidRPr="00E77F30">
        <w:rPr>
          <w:i/>
          <w:iCs/>
        </w:rPr>
        <w:t xml:space="preserve">Pan Motyčka </w:t>
      </w:r>
      <w:r w:rsidR="00D93407" w:rsidRPr="00E77F30">
        <w:rPr>
          <w:i/>
          <w:iCs/>
        </w:rPr>
        <w:t xml:space="preserve">v pozici prodávajícího </w:t>
      </w:r>
      <w:r w:rsidR="000913FD" w:rsidRPr="00E77F30">
        <w:rPr>
          <w:i/>
          <w:iCs/>
        </w:rPr>
        <w:t xml:space="preserve">uzavřel s paní Píchovou </w:t>
      </w:r>
      <w:r w:rsidR="00D93407" w:rsidRPr="00E77F30">
        <w:rPr>
          <w:i/>
          <w:iCs/>
        </w:rPr>
        <w:t xml:space="preserve">kupní smlouvu na sekačku trávy. Zavázal se, že ji doručí nejpozději </w:t>
      </w:r>
      <w:r w:rsidR="00E77F30" w:rsidRPr="00E77F30">
        <w:rPr>
          <w:i/>
          <w:iCs/>
        </w:rPr>
        <w:t xml:space="preserve">28. 3. 2021. Poslední den lhůty se </w:t>
      </w:r>
      <w:r w:rsidR="0015297B" w:rsidRPr="00E77F30">
        <w:rPr>
          <w:i/>
          <w:iCs/>
        </w:rPr>
        <w:t>u</w:t>
      </w:r>
      <w:r w:rsidR="0015297B">
        <w:rPr>
          <w:i/>
          <w:iCs/>
        </w:rPr>
        <w:t> </w:t>
      </w:r>
      <w:r w:rsidR="00E77F30" w:rsidRPr="00E77F30">
        <w:rPr>
          <w:i/>
          <w:iCs/>
        </w:rPr>
        <w:t xml:space="preserve">paní Píchové ve 23 hod. </w:t>
      </w:r>
      <w:r w:rsidR="0015297B" w:rsidRPr="00E77F30">
        <w:rPr>
          <w:i/>
          <w:iCs/>
        </w:rPr>
        <w:t>a</w:t>
      </w:r>
      <w:r w:rsidR="0015297B">
        <w:rPr>
          <w:i/>
          <w:iCs/>
        </w:rPr>
        <w:t> </w:t>
      </w:r>
      <w:r w:rsidR="00E77F30" w:rsidRPr="00E77F30">
        <w:rPr>
          <w:i/>
          <w:iCs/>
        </w:rPr>
        <w:t xml:space="preserve">25 minut nedozvonil. </w:t>
      </w:r>
      <w:r w:rsidR="00816325">
        <w:rPr>
          <w:i/>
          <w:iCs/>
        </w:rPr>
        <w:t>Tuto denní dobu nelze považovat za obvyklou</w:t>
      </w:r>
      <w:r w:rsidR="00722403">
        <w:rPr>
          <w:i/>
          <w:iCs/>
        </w:rPr>
        <w:t xml:space="preserve">, neboť nic jiného </w:t>
      </w:r>
      <w:r w:rsidR="00F7001E">
        <w:rPr>
          <w:i/>
          <w:iCs/>
        </w:rPr>
        <w:t>neplynulo ze zvyklostí, zavedené praxe stran nebo jejich ujednání</w:t>
      </w:r>
      <w:r w:rsidR="00816325">
        <w:rPr>
          <w:i/>
          <w:iCs/>
        </w:rPr>
        <w:t>. Paní Píchová se nedostala do prodlení s</w:t>
      </w:r>
      <w:r w:rsidR="00BA61C2">
        <w:rPr>
          <w:i/>
          <w:iCs/>
        </w:rPr>
        <w:t xml:space="preserve"> plněním </w:t>
      </w:r>
      <w:r w:rsidR="00816325">
        <w:rPr>
          <w:i/>
          <w:iCs/>
        </w:rPr>
        <w:t>povinnost</w:t>
      </w:r>
      <w:r w:rsidR="00BA61C2">
        <w:rPr>
          <w:i/>
          <w:iCs/>
        </w:rPr>
        <w:t>i</w:t>
      </w:r>
      <w:r w:rsidR="00816325">
        <w:rPr>
          <w:i/>
          <w:iCs/>
        </w:rPr>
        <w:t xml:space="preserve"> převzít zboží.</w:t>
      </w:r>
      <w:r w:rsidR="001F125C">
        <w:rPr>
          <w:i/>
          <w:iCs/>
        </w:rPr>
        <w:t xml:space="preserve"> Naopak se do prodlení dostává pan Motyčka, kterému půjde k tíži, že </w:t>
      </w:r>
      <w:r w:rsidR="0072737F">
        <w:rPr>
          <w:i/>
          <w:iCs/>
        </w:rPr>
        <w:t>neplnil svůj dluh v obvyklou denní dobu.</w:t>
      </w:r>
    </w:p>
    <w:p w14:paraId="5AB7F1D9" w14:textId="60809658" w:rsidR="00EF64A8" w:rsidRPr="00EF64A8" w:rsidRDefault="00ED4291" w:rsidP="00EF64A8">
      <w:r>
        <w:lastRenderedPageBreak/>
        <w:t xml:space="preserve">Podle § 603 OZ </w:t>
      </w:r>
      <w:r w:rsidR="00EF64A8">
        <w:t xml:space="preserve">zaniknou práva </w:t>
      </w:r>
      <w:r w:rsidR="0015297B">
        <w:t>a </w:t>
      </w:r>
      <w:r w:rsidR="00EF64A8">
        <w:t xml:space="preserve">povinnosti </w:t>
      </w:r>
      <w:r w:rsidR="00EF64A8" w:rsidRPr="00EF64A8">
        <w:t>uplynutím doby, na kterou byly omezeny.</w:t>
      </w:r>
      <w:r w:rsidR="00EF64A8">
        <w:t xml:space="preserve"> </w:t>
      </w:r>
      <w:r w:rsidR="00B265D2">
        <w:t xml:space="preserve">Dobu trvání </w:t>
      </w:r>
      <w:r w:rsidR="005E29F4">
        <w:t>může</w:t>
      </w:r>
      <w:r w:rsidR="00B265D2">
        <w:t xml:space="preserve"> stanovit</w:t>
      </w:r>
      <w:r w:rsidR="005E29F4">
        <w:t xml:space="preserve"> smlouva, </w:t>
      </w:r>
      <w:r w:rsidR="007D31E8">
        <w:t xml:space="preserve">rozhodnutí soudu nebo například zákon, </w:t>
      </w:r>
      <w:r w:rsidR="0015297B">
        <w:t>a </w:t>
      </w:r>
      <w:r w:rsidR="007D31E8">
        <w:t>to</w:t>
      </w:r>
      <w:r w:rsidR="00B265D2">
        <w:t xml:space="preserve"> pevně (např. </w:t>
      </w:r>
      <w:r w:rsidR="0011434C">
        <w:t>počtem měsíců nebo let) nebo v návaznosti na určitou skutečnost, která v budoucnu nastane (</w:t>
      </w:r>
      <w:r w:rsidR="00A10727">
        <w:t>např. skončení pracovního poměru).</w:t>
      </w:r>
    </w:p>
    <w:p w14:paraId="2BD1AC70" w14:textId="52EBADBE" w:rsidR="001E41F8" w:rsidRDefault="00682362" w:rsidP="001E41F8">
      <w:pPr>
        <w:rPr>
          <w:i/>
          <w:iCs/>
        </w:rPr>
      </w:pPr>
      <w:r w:rsidRPr="004128CE">
        <w:rPr>
          <w:i/>
          <w:iCs/>
        </w:rPr>
        <w:t xml:space="preserve">Příklad: </w:t>
      </w:r>
      <w:r w:rsidR="00D87725" w:rsidRPr="004128CE">
        <w:rPr>
          <w:i/>
          <w:iCs/>
        </w:rPr>
        <w:t xml:space="preserve">Paní Králová v pozici pronajímatelky </w:t>
      </w:r>
      <w:r w:rsidR="0015297B" w:rsidRPr="004128CE">
        <w:rPr>
          <w:i/>
          <w:iCs/>
        </w:rPr>
        <w:t>a</w:t>
      </w:r>
      <w:r w:rsidR="0015297B">
        <w:rPr>
          <w:i/>
          <w:iCs/>
        </w:rPr>
        <w:t> </w:t>
      </w:r>
      <w:r w:rsidR="00D87725" w:rsidRPr="004128CE">
        <w:rPr>
          <w:i/>
          <w:iCs/>
        </w:rPr>
        <w:t xml:space="preserve">pan Zlatovláska v pozici nájemce uzavřeli </w:t>
      </w:r>
      <w:r w:rsidR="00BD0FF4" w:rsidRPr="004128CE">
        <w:rPr>
          <w:i/>
          <w:iCs/>
        </w:rPr>
        <w:t xml:space="preserve">dne 1. 3. 2021 </w:t>
      </w:r>
      <w:r w:rsidR="00393158" w:rsidRPr="004128CE">
        <w:rPr>
          <w:i/>
          <w:iCs/>
        </w:rPr>
        <w:t>na dobu jednoho roku</w:t>
      </w:r>
      <w:r w:rsidR="00BD0FF4" w:rsidRPr="004128CE">
        <w:rPr>
          <w:i/>
          <w:iCs/>
        </w:rPr>
        <w:t xml:space="preserve"> </w:t>
      </w:r>
      <w:r w:rsidR="00D87725" w:rsidRPr="004128CE">
        <w:rPr>
          <w:i/>
          <w:iCs/>
        </w:rPr>
        <w:t>nájemní smlouvu</w:t>
      </w:r>
      <w:r w:rsidR="00BD0FF4" w:rsidRPr="004128CE">
        <w:rPr>
          <w:i/>
          <w:iCs/>
        </w:rPr>
        <w:t xml:space="preserve">. </w:t>
      </w:r>
      <w:r w:rsidR="00D51CCD" w:rsidRPr="004128CE">
        <w:rPr>
          <w:i/>
          <w:iCs/>
        </w:rPr>
        <w:t>Právo užívat</w:t>
      </w:r>
      <w:r w:rsidR="00C129E0" w:rsidRPr="004128CE">
        <w:rPr>
          <w:i/>
          <w:iCs/>
        </w:rPr>
        <w:t xml:space="preserve"> předmět nájmu</w:t>
      </w:r>
      <w:r w:rsidR="00D51CCD" w:rsidRPr="004128CE">
        <w:rPr>
          <w:i/>
          <w:iCs/>
        </w:rPr>
        <w:t xml:space="preserve"> </w:t>
      </w:r>
      <w:r w:rsidR="0015297B" w:rsidRPr="004128CE">
        <w:rPr>
          <w:i/>
          <w:iCs/>
        </w:rPr>
        <w:t>a</w:t>
      </w:r>
      <w:r w:rsidR="0015297B">
        <w:rPr>
          <w:i/>
          <w:iCs/>
        </w:rPr>
        <w:t> </w:t>
      </w:r>
      <w:r w:rsidR="00D51CCD" w:rsidRPr="004128CE">
        <w:rPr>
          <w:i/>
          <w:iCs/>
        </w:rPr>
        <w:t xml:space="preserve">povinnost platit nájemné zaniknou panu Zlatovláskovi </w:t>
      </w:r>
      <w:r w:rsidR="00F50007" w:rsidRPr="004128CE">
        <w:rPr>
          <w:i/>
          <w:iCs/>
        </w:rPr>
        <w:t xml:space="preserve">uplynutím doby, na kterou byla nájemní smlouva sjednána, tj. </w:t>
      </w:r>
      <w:r w:rsidR="00662DEA">
        <w:rPr>
          <w:i/>
          <w:iCs/>
        </w:rPr>
        <w:t>koncem</w:t>
      </w:r>
      <w:r w:rsidR="00E16CCF" w:rsidRPr="004128CE">
        <w:rPr>
          <w:i/>
          <w:iCs/>
        </w:rPr>
        <w:t xml:space="preserve"> </w:t>
      </w:r>
      <w:r w:rsidR="00F50007" w:rsidRPr="004128CE">
        <w:rPr>
          <w:i/>
          <w:iCs/>
        </w:rPr>
        <w:t xml:space="preserve">dne </w:t>
      </w:r>
      <w:r w:rsidR="00D51CCD" w:rsidRPr="004128CE">
        <w:rPr>
          <w:i/>
          <w:iCs/>
        </w:rPr>
        <w:t>1. 3. 2022</w:t>
      </w:r>
      <w:r w:rsidR="00662DEA">
        <w:rPr>
          <w:i/>
          <w:iCs/>
        </w:rPr>
        <w:t xml:space="preserve"> </w:t>
      </w:r>
      <w:r w:rsidR="00662DEA" w:rsidRPr="004128CE">
        <w:rPr>
          <w:i/>
          <w:iCs/>
        </w:rPr>
        <w:t>(srov. § 601 odst. 1 a</w:t>
      </w:r>
      <w:r w:rsidR="00662DEA">
        <w:rPr>
          <w:i/>
          <w:iCs/>
        </w:rPr>
        <w:t> </w:t>
      </w:r>
      <w:r w:rsidR="00662DEA" w:rsidRPr="004128CE">
        <w:rPr>
          <w:i/>
          <w:iCs/>
        </w:rPr>
        <w:t>§ 605 odst. 2 OZ)</w:t>
      </w:r>
      <w:r w:rsidR="00D51CCD" w:rsidRPr="004128CE">
        <w:rPr>
          <w:i/>
          <w:iCs/>
        </w:rPr>
        <w:t>.</w:t>
      </w:r>
    </w:p>
    <w:p w14:paraId="7552E12A" w14:textId="5B92A1FD" w:rsidR="005E3B96" w:rsidRPr="007F0991" w:rsidRDefault="00C824C0" w:rsidP="005E3B96">
      <w:pPr>
        <w:rPr>
          <w:i/>
          <w:iCs/>
        </w:rPr>
      </w:pPr>
      <w:r>
        <w:rPr>
          <w:i/>
          <w:iCs/>
        </w:rPr>
        <w:t xml:space="preserve">Úkol: Nastudujte si </w:t>
      </w:r>
      <w:r w:rsidR="003A64C4">
        <w:rPr>
          <w:i/>
          <w:iCs/>
        </w:rPr>
        <w:t xml:space="preserve">rozsudek Nejvyššího soudu ze dne </w:t>
      </w:r>
      <w:r w:rsidR="003A64C4" w:rsidRPr="003A64C4">
        <w:rPr>
          <w:i/>
          <w:iCs/>
        </w:rPr>
        <w:t xml:space="preserve">30. 3. 2010, </w:t>
      </w:r>
      <w:proofErr w:type="spellStart"/>
      <w:r w:rsidR="003A64C4" w:rsidRPr="003A64C4">
        <w:rPr>
          <w:i/>
          <w:iCs/>
        </w:rPr>
        <w:t>sp</w:t>
      </w:r>
      <w:proofErr w:type="spellEnd"/>
      <w:r w:rsidR="003A64C4" w:rsidRPr="003A64C4">
        <w:rPr>
          <w:i/>
          <w:iCs/>
        </w:rPr>
        <w:t xml:space="preserve">. zn. 33 </w:t>
      </w:r>
      <w:proofErr w:type="spellStart"/>
      <w:r w:rsidR="003A64C4" w:rsidRPr="003A64C4">
        <w:rPr>
          <w:i/>
          <w:iCs/>
        </w:rPr>
        <w:t>Cdo</w:t>
      </w:r>
      <w:proofErr w:type="spellEnd"/>
      <w:r w:rsidR="003A64C4" w:rsidRPr="003A64C4">
        <w:rPr>
          <w:i/>
          <w:iCs/>
        </w:rPr>
        <w:t xml:space="preserve"> 1956/2007</w:t>
      </w:r>
      <w:r w:rsidR="003A64C4">
        <w:rPr>
          <w:i/>
          <w:iCs/>
        </w:rPr>
        <w:t>.</w:t>
      </w:r>
    </w:p>
    <w:p w14:paraId="38153237" w14:textId="7BEEBB94" w:rsidR="00395FA9" w:rsidRDefault="00395FA9" w:rsidP="00514FA8">
      <w:pPr>
        <w:pStyle w:val="Nadpis1"/>
      </w:pPr>
      <w:r>
        <w:t>Počítání čas</w:t>
      </w:r>
      <w:r w:rsidR="00036C70">
        <w:t>u</w:t>
      </w:r>
    </w:p>
    <w:p w14:paraId="109F13E8" w14:textId="01C09628" w:rsidR="00091414" w:rsidRDefault="00372D9A" w:rsidP="00091414">
      <w:r>
        <w:t>Pro počítání času</w:t>
      </w:r>
      <w:r w:rsidR="00497414">
        <w:t xml:space="preserve"> je velmi důležité </w:t>
      </w:r>
      <w:r w:rsidR="00497414" w:rsidRPr="00E245B2">
        <w:rPr>
          <w:b/>
          <w:bCs/>
        </w:rPr>
        <w:t xml:space="preserve">rozlišovat mezi dobou </w:t>
      </w:r>
      <w:r w:rsidR="0015297B" w:rsidRPr="00E245B2">
        <w:rPr>
          <w:b/>
          <w:bCs/>
        </w:rPr>
        <w:t>a</w:t>
      </w:r>
      <w:r w:rsidR="0015297B">
        <w:rPr>
          <w:b/>
          <w:bCs/>
        </w:rPr>
        <w:t> </w:t>
      </w:r>
      <w:r w:rsidR="00497414" w:rsidRPr="00E245B2">
        <w:rPr>
          <w:b/>
          <w:bCs/>
        </w:rPr>
        <w:t>lhůtou</w:t>
      </w:r>
      <w:r w:rsidR="00497414">
        <w:t xml:space="preserve">. </w:t>
      </w:r>
      <w:r w:rsidR="00376681">
        <w:t xml:space="preserve">Časový </w:t>
      </w:r>
      <w:r w:rsidR="00C43363">
        <w:t xml:space="preserve">úsek, jehož uplynutím zaniknou práva </w:t>
      </w:r>
      <w:r w:rsidR="0015297B">
        <w:t>a </w:t>
      </w:r>
      <w:r w:rsidR="00C43363">
        <w:t xml:space="preserve">povinnosti bez dalšího, aniž je zapotřebí učinit nějaký úkon, se nazývá </w:t>
      </w:r>
      <w:r w:rsidR="00C43363" w:rsidRPr="00C43363">
        <w:rPr>
          <w:b/>
          <w:bCs/>
        </w:rPr>
        <w:t>doba</w:t>
      </w:r>
      <w:r w:rsidR="00B25545">
        <w:t xml:space="preserve"> (§ 603 OZ)</w:t>
      </w:r>
      <w:r w:rsidR="00C43363">
        <w:t>.</w:t>
      </w:r>
      <w:r w:rsidR="00E245B2">
        <w:t xml:space="preserve"> Jako </w:t>
      </w:r>
      <w:r w:rsidR="00E245B2" w:rsidRPr="00E245B2">
        <w:rPr>
          <w:b/>
          <w:bCs/>
        </w:rPr>
        <w:t>lhůta</w:t>
      </w:r>
      <w:r w:rsidR="00E245B2">
        <w:t xml:space="preserve"> se označuje časový úsek stanovený k uplatnění práva </w:t>
      </w:r>
      <w:r w:rsidR="00404CB6">
        <w:t>(</w:t>
      </w:r>
      <w:r w:rsidR="0015297B">
        <w:t>u </w:t>
      </w:r>
      <w:r w:rsidR="00404CB6">
        <w:t>druhé strany, jiné osoby nebo orgánu veřejné moci).</w:t>
      </w:r>
    </w:p>
    <w:p w14:paraId="6C619A3C" w14:textId="4B25B366" w:rsidR="00136628" w:rsidRDefault="009D286E" w:rsidP="00091414">
      <w:r>
        <w:t xml:space="preserve">Lhůty rozlišujeme </w:t>
      </w:r>
      <w:r w:rsidRPr="009D286E">
        <w:rPr>
          <w:b/>
          <w:bCs/>
        </w:rPr>
        <w:t xml:space="preserve">hmotněprávní </w:t>
      </w:r>
      <w:r w:rsidR="0015297B" w:rsidRPr="009D286E">
        <w:rPr>
          <w:b/>
          <w:bCs/>
        </w:rPr>
        <w:t>a</w:t>
      </w:r>
      <w:r w:rsidR="0015297B">
        <w:rPr>
          <w:b/>
          <w:bCs/>
        </w:rPr>
        <w:t> </w:t>
      </w:r>
      <w:proofErr w:type="spellStart"/>
      <w:r w:rsidRPr="009D286E">
        <w:rPr>
          <w:b/>
          <w:bCs/>
        </w:rPr>
        <w:t>procesněprávní</w:t>
      </w:r>
      <w:proofErr w:type="spellEnd"/>
      <w:r>
        <w:t>. S uplynutím hmotněprávní lhůty spojuje následky hmotné právo</w:t>
      </w:r>
      <w:r w:rsidR="00047F83">
        <w:t xml:space="preserve"> (</w:t>
      </w:r>
      <w:r w:rsidR="00D70E7F">
        <w:t>např. uplynutí promlčecí lhůty)</w:t>
      </w:r>
      <w:r>
        <w:t xml:space="preserve">, </w:t>
      </w:r>
      <w:r w:rsidR="00E6041F">
        <w:t xml:space="preserve">s uplynutím </w:t>
      </w:r>
      <w:proofErr w:type="spellStart"/>
      <w:r w:rsidR="00E6041F">
        <w:t>procesněprávní</w:t>
      </w:r>
      <w:proofErr w:type="spellEnd"/>
      <w:r w:rsidR="00E6041F">
        <w:t xml:space="preserve"> lhůty jsou spojeny následky v oblasti procesu</w:t>
      </w:r>
      <w:r w:rsidR="00047F83">
        <w:t xml:space="preserve"> (např. uplynutí lhůty k podání odvolání). </w:t>
      </w:r>
      <w:r w:rsidR="0019129A">
        <w:t xml:space="preserve">Rozlišování hmotněprávních </w:t>
      </w:r>
      <w:r w:rsidR="0015297B">
        <w:t>a </w:t>
      </w:r>
      <w:proofErr w:type="spellStart"/>
      <w:r w:rsidR="0019129A">
        <w:t>procesněprávních</w:t>
      </w:r>
      <w:proofErr w:type="spellEnd"/>
      <w:r w:rsidR="0019129A">
        <w:t xml:space="preserve"> lhůt má velmi </w:t>
      </w:r>
      <w:r w:rsidR="003C4B11">
        <w:t>důležité praktické dopady. Aby byla zachována hmotněprávní lhůt</w:t>
      </w:r>
      <w:r w:rsidR="00587737">
        <w:t>a</w:t>
      </w:r>
      <w:r w:rsidR="003C4B11">
        <w:t>, musí být v jejím rámci</w:t>
      </w:r>
      <w:r w:rsidR="00E76124">
        <w:t xml:space="preserve"> </w:t>
      </w:r>
      <w:r w:rsidR="00E76124" w:rsidRPr="00DF2693">
        <w:rPr>
          <w:b/>
          <w:bCs/>
        </w:rPr>
        <w:t>právní jednání dovršeno</w:t>
      </w:r>
      <w:r w:rsidR="00E76124">
        <w:t xml:space="preserve"> (např. adresovaný projev vůle dojde svému adresátovi). Pro zachování </w:t>
      </w:r>
      <w:proofErr w:type="spellStart"/>
      <w:r w:rsidR="00E76124">
        <w:t>procesněprávní</w:t>
      </w:r>
      <w:proofErr w:type="spellEnd"/>
      <w:r w:rsidR="00E76124">
        <w:t xml:space="preserve"> lhůty postačuje, aby </w:t>
      </w:r>
      <w:r w:rsidR="00A83F68">
        <w:t xml:space="preserve">byl </w:t>
      </w:r>
      <w:r w:rsidR="00A83F68" w:rsidRPr="00DF2693">
        <w:rPr>
          <w:b/>
          <w:bCs/>
        </w:rPr>
        <w:t>procesní úkon poslední den lhůty předán k poštovní přepravě</w:t>
      </w:r>
      <w:r w:rsidR="00A83F68">
        <w:t>.</w:t>
      </w:r>
      <w:r w:rsidR="0016488B" w:rsidRPr="00817A52">
        <w:rPr>
          <w:rStyle w:val="Znakapoznpodarou"/>
        </w:rPr>
        <w:footnoteReference w:id="5"/>
      </w:r>
    </w:p>
    <w:p w14:paraId="025937B3" w14:textId="64CB0683" w:rsidR="00577CB1" w:rsidRPr="00EB65E7" w:rsidRDefault="00577CB1" w:rsidP="00091414">
      <w:pPr>
        <w:rPr>
          <w:i/>
          <w:iCs/>
        </w:rPr>
      </w:pPr>
      <w:r w:rsidRPr="00EB65E7">
        <w:rPr>
          <w:i/>
          <w:iCs/>
        </w:rPr>
        <w:t>Příklad</w:t>
      </w:r>
      <w:r w:rsidR="00EB65E7" w:rsidRPr="00EB65E7">
        <w:rPr>
          <w:i/>
          <w:iCs/>
        </w:rPr>
        <w:t>y</w:t>
      </w:r>
      <w:r w:rsidRPr="00EB65E7">
        <w:rPr>
          <w:i/>
          <w:iCs/>
        </w:rPr>
        <w:t>:</w:t>
      </w:r>
    </w:p>
    <w:p w14:paraId="15D80EBA" w14:textId="3AAABB6C" w:rsidR="00577CB1" w:rsidRPr="00EB65E7" w:rsidRDefault="00577CB1" w:rsidP="00091414">
      <w:pPr>
        <w:rPr>
          <w:i/>
          <w:iCs/>
        </w:rPr>
      </w:pPr>
      <w:r w:rsidRPr="00EB65E7">
        <w:rPr>
          <w:i/>
          <w:iCs/>
        </w:rPr>
        <w:t>Lhůta k podání odvolání</w:t>
      </w:r>
      <w:r w:rsidR="00B82CDD" w:rsidRPr="00EB65E7">
        <w:rPr>
          <w:i/>
          <w:iCs/>
        </w:rPr>
        <w:t xml:space="preserve"> končí ve čtvrtek 1. 4. 2021. K jejímu zachování postačuje, aby </w:t>
      </w:r>
      <w:r w:rsidR="00C1152D" w:rsidRPr="00EB65E7">
        <w:rPr>
          <w:i/>
          <w:iCs/>
        </w:rPr>
        <w:t xml:space="preserve">došlo </w:t>
      </w:r>
      <w:r w:rsidR="00587737">
        <w:rPr>
          <w:i/>
          <w:iCs/>
        </w:rPr>
        <w:t>tento den</w:t>
      </w:r>
      <w:r w:rsidR="00C1152D" w:rsidRPr="00EB65E7">
        <w:rPr>
          <w:i/>
          <w:iCs/>
        </w:rPr>
        <w:t xml:space="preserve"> k podání zásilky na poště.</w:t>
      </w:r>
      <w:r w:rsidR="00DF2693">
        <w:rPr>
          <w:i/>
          <w:iCs/>
        </w:rPr>
        <w:t xml:space="preserve"> Není rozhodné, že </w:t>
      </w:r>
      <w:r w:rsidR="00E35BA3">
        <w:rPr>
          <w:i/>
          <w:iCs/>
        </w:rPr>
        <w:t>dojde soudu až několik dní poté.</w:t>
      </w:r>
      <w:r w:rsidR="00817BE3">
        <w:rPr>
          <w:i/>
          <w:iCs/>
        </w:rPr>
        <w:t xml:space="preserve"> Doba přepravy se nezapočítává.</w:t>
      </w:r>
    </w:p>
    <w:p w14:paraId="36158D7B" w14:textId="60F7109A" w:rsidR="00C1152D" w:rsidRDefault="00C1152D" w:rsidP="00091414">
      <w:pPr>
        <w:rPr>
          <w:i/>
          <w:iCs/>
        </w:rPr>
      </w:pPr>
      <w:r w:rsidRPr="00EB65E7">
        <w:rPr>
          <w:i/>
          <w:iCs/>
        </w:rPr>
        <w:t>Promlčecí lhůt</w:t>
      </w:r>
      <w:r w:rsidR="00587737">
        <w:rPr>
          <w:i/>
          <w:iCs/>
        </w:rPr>
        <w:t>a</w:t>
      </w:r>
      <w:r w:rsidRPr="00EB65E7">
        <w:rPr>
          <w:i/>
          <w:iCs/>
        </w:rPr>
        <w:t xml:space="preserve"> končí ve čtvrtek 1. 4. 2021. Aby věřitel odvrátil následky spojen</w:t>
      </w:r>
      <w:r w:rsidR="00587737">
        <w:rPr>
          <w:i/>
          <w:iCs/>
        </w:rPr>
        <w:t>é</w:t>
      </w:r>
      <w:r w:rsidRPr="00EB65E7">
        <w:rPr>
          <w:i/>
          <w:iCs/>
        </w:rPr>
        <w:t xml:space="preserve"> s promlčením, </w:t>
      </w:r>
      <w:r w:rsidR="00EB65E7" w:rsidRPr="00EB65E7">
        <w:rPr>
          <w:i/>
          <w:iCs/>
        </w:rPr>
        <w:t>musí podat žalobu, která nejpozději v tento den dojde soudu.</w:t>
      </w:r>
      <w:r w:rsidR="00E35BA3">
        <w:rPr>
          <w:i/>
          <w:iCs/>
        </w:rPr>
        <w:t xml:space="preserve"> Pokud by žaloba soudu došla </w:t>
      </w:r>
      <w:r w:rsidR="001B103F">
        <w:rPr>
          <w:i/>
          <w:iCs/>
        </w:rPr>
        <w:t xml:space="preserve">později (byť by ji věřitel podal 1. 4. 2021 k poštovní přepravě), nic by dlužníkovi nebránilo </w:t>
      </w:r>
      <w:r w:rsidR="00587737">
        <w:rPr>
          <w:i/>
          <w:iCs/>
        </w:rPr>
        <w:t xml:space="preserve">úspěšně </w:t>
      </w:r>
      <w:r w:rsidR="001B103F">
        <w:rPr>
          <w:i/>
          <w:iCs/>
        </w:rPr>
        <w:t>vznést námitku promlčení.</w:t>
      </w:r>
    </w:p>
    <w:p w14:paraId="0952353B" w14:textId="565F5049" w:rsidR="00A77310" w:rsidRPr="00A00E78" w:rsidRDefault="00060730" w:rsidP="00091414">
      <w:r>
        <w:t xml:space="preserve">V tomto ohledu existuje výjimka obsažená </w:t>
      </w:r>
      <w:r w:rsidR="0015297B">
        <w:t>v </w:t>
      </w:r>
      <w:r>
        <w:t>§ 1818 OZ</w:t>
      </w:r>
      <w:r w:rsidR="00A00E78">
        <w:t xml:space="preserve">, podle kterého </w:t>
      </w:r>
      <w:r w:rsidR="00A00E78" w:rsidRPr="00A00E78">
        <w:t xml:space="preserve">se lhůta pro odstoupení </w:t>
      </w:r>
      <w:r w:rsidR="00DE45E4">
        <w:t xml:space="preserve">od smlouvy uzavřené </w:t>
      </w:r>
      <w:r w:rsidR="004F7175">
        <w:t xml:space="preserve">distančním způsobem nebo mimo obchodní prostory </w:t>
      </w:r>
      <w:r w:rsidR="00DE45E4" w:rsidRPr="00DE45E4">
        <w:t xml:space="preserve">považuje </w:t>
      </w:r>
      <w:r w:rsidR="00A00E78" w:rsidRPr="00A00E78">
        <w:t xml:space="preserve">za zachovanou, pokud spotřebitel </w:t>
      </w:r>
      <w:r w:rsidR="0015297B" w:rsidRPr="00A00E78">
        <w:t>v</w:t>
      </w:r>
      <w:r w:rsidR="0015297B">
        <w:t> </w:t>
      </w:r>
      <w:r w:rsidR="00A00E78" w:rsidRPr="00A00E78">
        <w:t>jejím průběhu odešle podnikateli oznámení, že od smlouvy odstupuje.</w:t>
      </w:r>
      <w:r w:rsidR="00EF68D0">
        <w:t xml:space="preserve"> Přestože je tato lhůt</w:t>
      </w:r>
      <w:r w:rsidR="006F4571">
        <w:t>a</w:t>
      </w:r>
      <w:r w:rsidR="00EF68D0">
        <w:t xml:space="preserve"> lhůtou hmotněprávní, chová se jako </w:t>
      </w:r>
      <w:proofErr w:type="spellStart"/>
      <w:r w:rsidR="00EF68D0">
        <w:t>procesněprávní</w:t>
      </w:r>
      <w:proofErr w:type="spellEnd"/>
      <w:r w:rsidR="00EF68D0">
        <w:t>.</w:t>
      </w:r>
    </w:p>
    <w:p w14:paraId="389CB66C" w14:textId="5A9B6E66" w:rsidR="0011232F" w:rsidRDefault="00F32CF1" w:rsidP="00091414">
      <w:r>
        <w:t xml:space="preserve">Lhůta nebo doba </w:t>
      </w:r>
      <w:r w:rsidR="000276B7">
        <w:t xml:space="preserve">určená podle dnů </w:t>
      </w:r>
      <w:r w:rsidR="000276B7" w:rsidRPr="000276B7">
        <w:t>počíná dnem, který následuje po skutečnosti rozhodné pro její počátek</w:t>
      </w:r>
      <w:r w:rsidR="00CB36BC">
        <w:t xml:space="preserve"> (§ 605 odst. 1 OZ).</w:t>
      </w:r>
      <w:r w:rsidR="000709F0">
        <w:t xml:space="preserve"> </w:t>
      </w:r>
      <w:r w:rsidR="00A71889">
        <w:t xml:space="preserve">Stejné pravidlo platí </w:t>
      </w:r>
      <w:r w:rsidR="0015297B">
        <w:t>i </w:t>
      </w:r>
      <w:r w:rsidR="00A71889">
        <w:t xml:space="preserve">pro </w:t>
      </w:r>
      <w:r w:rsidR="003877DE">
        <w:t>lhůty určené podle týdnů, měsíců nebo let.</w:t>
      </w:r>
      <w:r w:rsidR="004F0999" w:rsidRPr="00817A52">
        <w:rPr>
          <w:rStyle w:val="Znakapoznpodarou"/>
        </w:rPr>
        <w:footnoteReference w:id="6"/>
      </w:r>
      <w:r w:rsidR="003877DE">
        <w:t xml:space="preserve"> Z praktického hlediska a</w:t>
      </w:r>
      <w:r w:rsidR="004F0999">
        <w:t>le tato skutečnost nemá žádný význam.</w:t>
      </w:r>
      <w:r w:rsidR="00DB5D0F" w:rsidRPr="00817A52">
        <w:rPr>
          <w:rStyle w:val="Znakapoznpodarou"/>
        </w:rPr>
        <w:footnoteReference w:id="7"/>
      </w:r>
    </w:p>
    <w:p w14:paraId="34E78E50" w14:textId="576F92F0" w:rsidR="00DB5D0F" w:rsidRPr="00F64AE9" w:rsidRDefault="0083241E" w:rsidP="00091414">
      <w:pPr>
        <w:rPr>
          <w:i/>
          <w:iCs/>
        </w:rPr>
      </w:pPr>
      <w:r w:rsidRPr="00F64AE9">
        <w:rPr>
          <w:i/>
          <w:iCs/>
        </w:rPr>
        <w:lastRenderedPageBreak/>
        <w:t xml:space="preserve">Příklad: </w:t>
      </w:r>
      <w:r w:rsidR="00026B5E" w:rsidRPr="00F64AE9">
        <w:rPr>
          <w:i/>
          <w:iCs/>
        </w:rPr>
        <w:t xml:space="preserve">Spotřebitel si </w:t>
      </w:r>
      <w:r w:rsidR="00F64AE9" w:rsidRPr="00F64AE9">
        <w:rPr>
          <w:i/>
          <w:iCs/>
        </w:rPr>
        <w:t xml:space="preserve">v pátek </w:t>
      </w:r>
      <w:r w:rsidR="00026B5E" w:rsidRPr="00F64AE9">
        <w:rPr>
          <w:i/>
          <w:iCs/>
        </w:rPr>
        <w:t xml:space="preserve">9. 4. 2021 převezme od dopravce zboží. </w:t>
      </w:r>
      <w:r w:rsidR="00F64AE9" w:rsidRPr="00F64AE9">
        <w:rPr>
          <w:i/>
          <w:iCs/>
        </w:rPr>
        <w:t xml:space="preserve">Čtrnáctidenní lhůta pro odstoupení od smlouvy </w:t>
      </w:r>
      <w:r w:rsidR="00F64AE9">
        <w:rPr>
          <w:i/>
          <w:iCs/>
        </w:rPr>
        <w:t xml:space="preserve">(§ 1829 OZ) </w:t>
      </w:r>
      <w:r w:rsidR="00F64AE9" w:rsidRPr="00F64AE9">
        <w:rPr>
          <w:i/>
          <w:iCs/>
        </w:rPr>
        <w:t>počne běžet v sobotu 10. 4. 2021</w:t>
      </w:r>
      <w:r w:rsidR="00F64AE9">
        <w:rPr>
          <w:i/>
          <w:iCs/>
        </w:rPr>
        <w:t xml:space="preserve"> (§ 607 se týká pouze konce lhůty!)</w:t>
      </w:r>
      <w:r w:rsidR="00F64AE9" w:rsidRPr="00F64AE9">
        <w:rPr>
          <w:i/>
          <w:iCs/>
        </w:rPr>
        <w:t xml:space="preserve">. </w:t>
      </w:r>
    </w:p>
    <w:p w14:paraId="1BE482D5" w14:textId="44EB1F21" w:rsidR="00F64AE9" w:rsidRDefault="00AF7417" w:rsidP="00091414">
      <w:r w:rsidRPr="00AF7417">
        <w:t xml:space="preserve">Konec lhůty nebo doby určené podle týdnů, měsíců nebo let připadá na den, který se pojmenováním nebo číslem shoduje se dnem, na který připadá skutečnost, od níž se lhůta nebo doba počítá. Není-li takový den </w:t>
      </w:r>
      <w:r w:rsidR="0015297B" w:rsidRPr="00AF7417">
        <w:t>v</w:t>
      </w:r>
      <w:r w:rsidR="0015297B">
        <w:t> </w:t>
      </w:r>
      <w:r w:rsidRPr="00AF7417">
        <w:t>posledním měsíci, připadne konec lhůty nebo doby na poslední den měsíce</w:t>
      </w:r>
      <w:r>
        <w:t xml:space="preserve"> (§ 605 odst. 2 OZ)</w:t>
      </w:r>
      <w:r w:rsidRPr="00AF7417">
        <w:t>.</w:t>
      </w:r>
    </w:p>
    <w:p w14:paraId="3649E93D" w14:textId="77FEF7CF" w:rsidR="00AF7417" w:rsidRPr="008D21DC" w:rsidRDefault="00AF7417" w:rsidP="00091414">
      <w:pPr>
        <w:rPr>
          <w:i/>
          <w:iCs/>
        </w:rPr>
      </w:pPr>
      <w:r w:rsidRPr="008D21DC">
        <w:rPr>
          <w:i/>
          <w:iCs/>
        </w:rPr>
        <w:t>Příklady:</w:t>
      </w:r>
    </w:p>
    <w:p w14:paraId="0B75B910" w14:textId="488C78B0" w:rsidR="00AF7417" w:rsidRDefault="00874148" w:rsidP="00091414">
      <w:pPr>
        <w:rPr>
          <w:i/>
          <w:iCs/>
        </w:rPr>
      </w:pPr>
      <w:r w:rsidRPr="008D21DC">
        <w:rPr>
          <w:i/>
          <w:iCs/>
        </w:rPr>
        <w:t>Ve středu</w:t>
      </w:r>
      <w:r w:rsidR="00FB155A" w:rsidRPr="008D21DC">
        <w:rPr>
          <w:i/>
          <w:iCs/>
        </w:rPr>
        <w:t xml:space="preserve"> 1. 4. 2021 uzavřou strany kupní smlouvu, ve které sjednají, že kupující může od smlouvy odstoupit ve lhůtě dvou týdnů.</w:t>
      </w:r>
      <w:r w:rsidRPr="008D21DC">
        <w:rPr>
          <w:i/>
          <w:iCs/>
        </w:rPr>
        <w:t xml:space="preserve"> Posledním dnem lhůty bude středa 15. 4. 2021.</w:t>
      </w:r>
    </w:p>
    <w:p w14:paraId="4FFED8E5" w14:textId="50711B3B" w:rsidR="008D21DC" w:rsidRPr="008D21DC" w:rsidRDefault="00A92A46" w:rsidP="00091414">
      <w:pPr>
        <w:rPr>
          <w:i/>
          <w:iCs/>
        </w:rPr>
      </w:pPr>
      <w:r>
        <w:rPr>
          <w:i/>
          <w:iCs/>
        </w:rPr>
        <w:t xml:space="preserve">Dne </w:t>
      </w:r>
      <w:r w:rsidR="00EE5E7B">
        <w:rPr>
          <w:i/>
          <w:iCs/>
        </w:rPr>
        <w:t>30. 11. 2020 byla nájemci doručena výpověď z nájmu podle § 2288</w:t>
      </w:r>
      <w:r w:rsidR="00C53761">
        <w:rPr>
          <w:i/>
          <w:iCs/>
        </w:rPr>
        <w:t xml:space="preserve"> odst. 1 písm. a) OZ. Výpovědní doba činí v tomto případě tři měsíce </w:t>
      </w:r>
      <w:r w:rsidR="0015297B">
        <w:rPr>
          <w:i/>
          <w:iCs/>
        </w:rPr>
        <w:t>a </w:t>
      </w:r>
      <w:r w:rsidR="004128CE">
        <w:rPr>
          <w:i/>
          <w:iCs/>
        </w:rPr>
        <w:t>uplynula</w:t>
      </w:r>
      <w:r w:rsidR="00C53761">
        <w:rPr>
          <w:i/>
          <w:iCs/>
        </w:rPr>
        <w:t xml:space="preserve"> </w:t>
      </w:r>
      <w:r w:rsidR="008F1487">
        <w:rPr>
          <w:i/>
          <w:iCs/>
        </w:rPr>
        <w:t xml:space="preserve">v neděli </w:t>
      </w:r>
      <w:r w:rsidR="004128CE">
        <w:rPr>
          <w:i/>
          <w:iCs/>
        </w:rPr>
        <w:t>28. 2. 2021.</w:t>
      </w:r>
    </w:p>
    <w:p w14:paraId="3469591D" w14:textId="58235839" w:rsidR="008D21DC" w:rsidRPr="009F0644" w:rsidRDefault="0046635B" w:rsidP="00091414">
      <w:pPr>
        <w:rPr>
          <w:i/>
          <w:iCs/>
        </w:rPr>
      </w:pPr>
      <w:r w:rsidRPr="009F0644">
        <w:rPr>
          <w:b/>
          <w:bCs/>
          <w:i/>
          <w:iCs/>
        </w:rPr>
        <w:t>Úkol</w:t>
      </w:r>
      <w:r w:rsidRPr="009F0644">
        <w:rPr>
          <w:i/>
          <w:iCs/>
        </w:rPr>
        <w:t xml:space="preserve">: </w:t>
      </w:r>
      <w:r w:rsidR="008606CC" w:rsidRPr="009F0644">
        <w:rPr>
          <w:i/>
          <w:iCs/>
        </w:rPr>
        <w:t xml:space="preserve">Přečtěte si ustanovení § 606 OZ. Proč je důležité, abychom měli ustanovení, které stanoví </w:t>
      </w:r>
      <w:r w:rsidR="009F0644" w:rsidRPr="009F0644">
        <w:rPr>
          <w:i/>
          <w:iCs/>
        </w:rPr>
        <w:t xml:space="preserve">polovinu měsíce </w:t>
      </w:r>
      <w:r w:rsidR="0015297B" w:rsidRPr="009F0644">
        <w:rPr>
          <w:i/>
          <w:iCs/>
        </w:rPr>
        <w:t>a</w:t>
      </w:r>
      <w:r w:rsidR="0015297B">
        <w:rPr>
          <w:i/>
          <w:iCs/>
        </w:rPr>
        <w:t> </w:t>
      </w:r>
      <w:r w:rsidR="009F0644" w:rsidRPr="009F0644">
        <w:rPr>
          <w:i/>
          <w:iCs/>
        </w:rPr>
        <w:t>jeho střed?</w:t>
      </w:r>
    </w:p>
    <w:p w14:paraId="5422CDF0" w14:textId="2A97619B" w:rsidR="0046635B" w:rsidRDefault="00E13CE1" w:rsidP="00091414">
      <w:r w:rsidRPr="00E13CE1">
        <w:t xml:space="preserve">Připadne-li poslední den </w:t>
      </w:r>
      <w:r w:rsidRPr="00E13CE1">
        <w:rPr>
          <w:b/>
          <w:bCs/>
        </w:rPr>
        <w:t>lhůty</w:t>
      </w:r>
      <w:r w:rsidRPr="00E13CE1">
        <w:t xml:space="preserve"> na sobotu, neděli nebo svátek, je posledním dnem lhůty pracovní den nejblíže následující.</w:t>
      </w:r>
      <w:r>
        <w:t xml:space="preserve"> </w:t>
      </w:r>
      <w:r w:rsidR="00272CA7">
        <w:t xml:space="preserve">Není náhodou, že se citované ustanovení zmiňuje pouze </w:t>
      </w:r>
      <w:r w:rsidR="0015297B">
        <w:t>o </w:t>
      </w:r>
      <w:r w:rsidR="00272CA7">
        <w:t xml:space="preserve">lhůtách. </w:t>
      </w:r>
      <w:r w:rsidR="00272CA7" w:rsidRPr="000A53F2">
        <w:rPr>
          <w:b/>
          <w:bCs/>
        </w:rPr>
        <w:t xml:space="preserve">Pro doby se </w:t>
      </w:r>
      <w:r w:rsidR="000A53F2" w:rsidRPr="000A53F2">
        <w:rPr>
          <w:b/>
          <w:bCs/>
        </w:rPr>
        <w:t xml:space="preserve">§ 607 OZ </w:t>
      </w:r>
      <w:r w:rsidR="00272CA7" w:rsidRPr="000A53F2">
        <w:rPr>
          <w:b/>
          <w:bCs/>
        </w:rPr>
        <w:t>nepoužije.</w:t>
      </w:r>
    </w:p>
    <w:p w14:paraId="45555B5B" w14:textId="5BC5B45E" w:rsidR="000E58EF" w:rsidRPr="000E58EF" w:rsidRDefault="0011232F" w:rsidP="00091414">
      <w:pPr>
        <w:rPr>
          <w:i/>
          <w:iCs/>
        </w:rPr>
      </w:pPr>
      <w:r w:rsidRPr="000E58EF">
        <w:rPr>
          <w:i/>
          <w:iCs/>
        </w:rPr>
        <w:t>Příklad</w:t>
      </w:r>
      <w:r w:rsidR="00EB65E7">
        <w:rPr>
          <w:i/>
          <w:iCs/>
        </w:rPr>
        <w:t>y</w:t>
      </w:r>
      <w:r w:rsidRPr="000E58EF">
        <w:rPr>
          <w:i/>
          <w:iCs/>
        </w:rPr>
        <w:t xml:space="preserve">: </w:t>
      </w:r>
    </w:p>
    <w:p w14:paraId="14AA7B04" w14:textId="6B3E0511" w:rsidR="000E58EF" w:rsidRPr="000E58EF" w:rsidRDefault="0011232F" w:rsidP="00091414">
      <w:pPr>
        <w:rPr>
          <w:i/>
          <w:iCs/>
        </w:rPr>
      </w:pPr>
      <w:r w:rsidRPr="000E58EF">
        <w:rPr>
          <w:i/>
          <w:iCs/>
        </w:rPr>
        <w:t xml:space="preserve">Připadne-li poslední den doby na </w:t>
      </w:r>
      <w:r w:rsidR="000E58EF" w:rsidRPr="000E58EF">
        <w:rPr>
          <w:i/>
          <w:iCs/>
        </w:rPr>
        <w:t xml:space="preserve">sobotu </w:t>
      </w:r>
      <w:r w:rsidRPr="000E58EF">
        <w:rPr>
          <w:i/>
          <w:iCs/>
        </w:rPr>
        <w:t xml:space="preserve">3. 4. 2021, uplyne doba tímto dnem. </w:t>
      </w:r>
    </w:p>
    <w:p w14:paraId="2F89818C" w14:textId="0E7C5823" w:rsidR="0011232F" w:rsidRDefault="0006015A" w:rsidP="00091414">
      <w:pPr>
        <w:rPr>
          <w:i/>
          <w:iCs/>
        </w:rPr>
      </w:pPr>
      <w:r w:rsidRPr="000E58EF">
        <w:rPr>
          <w:i/>
          <w:iCs/>
        </w:rPr>
        <w:t>Připadne-li poslední den lhůty na</w:t>
      </w:r>
      <w:r w:rsidR="000E58EF" w:rsidRPr="000E58EF">
        <w:rPr>
          <w:i/>
          <w:iCs/>
        </w:rPr>
        <w:t xml:space="preserve"> sobotu</w:t>
      </w:r>
      <w:r w:rsidRPr="000E58EF">
        <w:rPr>
          <w:i/>
          <w:iCs/>
        </w:rPr>
        <w:t xml:space="preserve"> 3. 4. 2021, </w:t>
      </w:r>
      <w:r w:rsidR="00B46D61" w:rsidRPr="000E58EF">
        <w:rPr>
          <w:i/>
          <w:iCs/>
        </w:rPr>
        <w:t xml:space="preserve">lhůta skončí </w:t>
      </w:r>
      <w:r w:rsidR="00D73B23">
        <w:rPr>
          <w:i/>
          <w:iCs/>
        </w:rPr>
        <w:t xml:space="preserve">nejbližší pracovní den, tj. </w:t>
      </w:r>
      <w:r w:rsidR="00B46D61" w:rsidRPr="000E58EF">
        <w:rPr>
          <w:i/>
          <w:iCs/>
        </w:rPr>
        <w:t>v úterý 6. 4. 2021 (</w:t>
      </w:r>
      <w:r w:rsidR="0042686C" w:rsidRPr="000E58EF">
        <w:rPr>
          <w:i/>
          <w:iCs/>
        </w:rPr>
        <w:t xml:space="preserve">na </w:t>
      </w:r>
      <w:r w:rsidR="00B46D61" w:rsidRPr="000E58EF">
        <w:rPr>
          <w:i/>
          <w:iCs/>
        </w:rPr>
        <w:t>5. 4. 2021</w:t>
      </w:r>
      <w:r w:rsidR="0042686C" w:rsidRPr="000E58EF">
        <w:rPr>
          <w:i/>
          <w:iCs/>
        </w:rPr>
        <w:t xml:space="preserve"> připad</w:t>
      </w:r>
      <w:r w:rsidR="008F45C7">
        <w:rPr>
          <w:i/>
          <w:iCs/>
        </w:rPr>
        <w:t>lo</w:t>
      </w:r>
      <w:r w:rsidR="0042686C" w:rsidRPr="000E58EF">
        <w:rPr>
          <w:i/>
          <w:iCs/>
        </w:rPr>
        <w:t xml:space="preserve"> </w:t>
      </w:r>
      <w:r w:rsidR="000E58EF" w:rsidRPr="000E58EF">
        <w:rPr>
          <w:i/>
          <w:iCs/>
        </w:rPr>
        <w:t>Velikonoční</w:t>
      </w:r>
      <w:r w:rsidR="0042686C" w:rsidRPr="000E58EF">
        <w:rPr>
          <w:i/>
          <w:iCs/>
        </w:rPr>
        <w:t xml:space="preserve"> pondělí).</w:t>
      </w:r>
    </w:p>
    <w:p w14:paraId="534DE505" w14:textId="5F5E80D5" w:rsidR="00AA0933" w:rsidRPr="00915261" w:rsidRDefault="00AA0933" w:rsidP="00AA0933">
      <w:pPr>
        <w:rPr>
          <w:i/>
          <w:iCs/>
        </w:rPr>
      </w:pPr>
      <w:r w:rsidRPr="00915261">
        <w:rPr>
          <w:b/>
          <w:bCs/>
          <w:i/>
          <w:iCs/>
        </w:rPr>
        <w:t>Úkol</w:t>
      </w:r>
      <w:r w:rsidRPr="00915261">
        <w:rPr>
          <w:i/>
          <w:iCs/>
        </w:rPr>
        <w:t xml:space="preserve">: </w:t>
      </w:r>
      <w:r w:rsidR="003C2952">
        <w:rPr>
          <w:i/>
          <w:iCs/>
        </w:rPr>
        <w:t>Přečtěte si zákon</w:t>
      </w:r>
      <w:r w:rsidR="00915261" w:rsidRPr="00915261">
        <w:rPr>
          <w:i/>
          <w:iCs/>
        </w:rPr>
        <w:t xml:space="preserve"> č. 245/2000 Sb., </w:t>
      </w:r>
      <w:r w:rsidR="0015297B" w:rsidRPr="00915261">
        <w:rPr>
          <w:i/>
          <w:iCs/>
        </w:rPr>
        <w:t>o</w:t>
      </w:r>
      <w:r w:rsidR="0015297B">
        <w:rPr>
          <w:i/>
          <w:iCs/>
        </w:rPr>
        <w:t> </w:t>
      </w:r>
      <w:r w:rsidR="00915261" w:rsidRPr="00915261">
        <w:rPr>
          <w:i/>
          <w:iCs/>
        </w:rPr>
        <w:t xml:space="preserve">státních svátcích, </w:t>
      </w:r>
      <w:r w:rsidR="0015297B" w:rsidRPr="00915261">
        <w:rPr>
          <w:i/>
          <w:iCs/>
        </w:rPr>
        <w:t>o</w:t>
      </w:r>
      <w:r w:rsidR="0015297B">
        <w:rPr>
          <w:i/>
          <w:iCs/>
        </w:rPr>
        <w:t> </w:t>
      </w:r>
      <w:r w:rsidR="00915261" w:rsidRPr="00915261">
        <w:rPr>
          <w:i/>
          <w:iCs/>
        </w:rPr>
        <w:t xml:space="preserve">ostatních svátcích, </w:t>
      </w:r>
      <w:r w:rsidR="0015297B" w:rsidRPr="00915261">
        <w:rPr>
          <w:i/>
          <w:iCs/>
        </w:rPr>
        <w:t>o</w:t>
      </w:r>
      <w:r w:rsidR="0015297B">
        <w:rPr>
          <w:i/>
          <w:iCs/>
        </w:rPr>
        <w:t> </w:t>
      </w:r>
      <w:r w:rsidR="00915261" w:rsidRPr="00915261">
        <w:rPr>
          <w:i/>
          <w:iCs/>
        </w:rPr>
        <w:t xml:space="preserve">významných dnech </w:t>
      </w:r>
      <w:r w:rsidR="0015297B" w:rsidRPr="00915261">
        <w:rPr>
          <w:i/>
          <w:iCs/>
        </w:rPr>
        <w:t>a</w:t>
      </w:r>
      <w:r w:rsidR="0015297B">
        <w:rPr>
          <w:i/>
          <w:iCs/>
        </w:rPr>
        <w:t> </w:t>
      </w:r>
      <w:r w:rsidR="0015297B" w:rsidRPr="00915261">
        <w:rPr>
          <w:i/>
          <w:iCs/>
        </w:rPr>
        <w:t>o</w:t>
      </w:r>
      <w:r w:rsidR="0015297B">
        <w:rPr>
          <w:i/>
          <w:iCs/>
        </w:rPr>
        <w:t> </w:t>
      </w:r>
      <w:r w:rsidR="00915261" w:rsidRPr="00915261">
        <w:rPr>
          <w:i/>
          <w:iCs/>
        </w:rPr>
        <w:t>dnech pracovního klidu.</w:t>
      </w:r>
    </w:p>
    <w:p w14:paraId="55F4B13A" w14:textId="1E8E1624" w:rsidR="0050429D" w:rsidRDefault="008E7809" w:rsidP="00B72E91">
      <w:r>
        <w:t xml:space="preserve">Podle § 608 OZ </w:t>
      </w:r>
      <w:r w:rsidRPr="008E7809">
        <w:t xml:space="preserve">se </w:t>
      </w:r>
      <w:r>
        <w:t>l</w:t>
      </w:r>
      <w:r w:rsidRPr="008E7809">
        <w:t xml:space="preserve">hůta nebo doba určená </w:t>
      </w:r>
      <w:r w:rsidR="0015297B" w:rsidRPr="008E7809">
        <w:t>v</w:t>
      </w:r>
      <w:r w:rsidR="0015297B">
        <w:t> </w:t>
      </w:r>
      <w:r w:rsidRPr="008E7809">
        <w:t>kratších časových jednotkách, než jsou dny, počítá od okamžiku, kdy začne, do okamžiku, kdy skončí.</w:t>
      </w:r>
      <w:r>
        <w:t xml:space="preserve"> </w:t>
      </w:r>
    </w:p>
    <w:p w14:paraId="02B0D326" w14:textId="20861F1B" w:rsidR="00A66566" w:rsidRPr="001212A3" w:rsidRDefault="00133348" w:rsidP="00B72E91">
      <w:pPr>
        <w:rPr>
          <w:i/>
          <w:iCs/>
        </w:rPr>
      </w:pPr>
      <w:r w:rsidRPr="001212A3">
        <w:rPr>
          <w:i/>
          <w:iCs/>
        </w:rPr>
        <w:t xml:space="preserve">Příklad: nájemce </w:t>
      </w:r>
      <w:r w:rsidR="0015297B" w:rsidRPr="001212A3">
        <w:rPr>
          <w:i/>
          <w:iCs/>
        </w:rPr>
        <w:t>a</w:t>
      </w:r>
      <w:r w:rsidR="0015297B">
        <w:rPr>
          <w:i/>
          <w:iCs/>
        </w:rPr>
        <w:t> </w:t>
      </w:r>
      <w:r w:rsidRPr="001212A3">
        <w:rPr>
          <w:i/>
          <w:iCs/>
        </w:rPr>
        <w:t xml:space="preserve">pronajímatel si </w:t>
      </w:r>
      <w:r w:rsidR="00C90DCB" w:rsidRPr="001212A3">
        <w:rPr>
          <w:i/>
          <w:iCs/>
        </w:rPr>
        <w:t xml:space="preserve">v nájemní smlouvě na osobní automobil sjednají, že výpovědní doba činí 48 hod. Nájemce </w:t>
      </w:r>
      <w:r w:rsidR="00B61529" w:rsidRPr="001212A3">
        <w:rPr>
          <w:i/>
          <w:iCs/>
        </w:rPr>
        <w:t xml:space="preserve">smlouvu vypoví </w:t>
      </w:r>
      <w:r w:rsidR="0015297B" w:rsidRPr="001212A3">
        <w:rPr>
          <w:i/>
          <w:iCs/>
        </w:rPr>
        <w:t>a</w:t>
      </w:r>
      <w:r w:rsidR="0015297B">
        <w:rPr>
          <w:i/>
          <w:iCs/>
        </w:rPr>
        <w:t> </w:t>
      </w:r>
      <w:r w:rsidR="00B61529" w:rsidRPr="001212A3">
        <w:rPr>
          <w:i/>
          <w:iCs/>
        </w:rPr>
        <w:t>výpověď smlouvy dojde pronajímateli 1. 5. 2021 ve 12 hod. Výpovědní doba uplyne 3. 5. 2021 ve 12 hod.</w:t>
      </w:r>
      <w:r w:rsidR="006F4571">
        <w:rPr>
          <w:i/>
          <w:iCs/>
        </w:rPr>
        <w:t xml:space="preserve"> Pokud by byla výpovědní doba sjednána v délce 2 dnů, uplynula by koncem dne 3. 5. 2021.</w:t>
      </w:r>
    </w:p>
    <w:p w14:paraId="77E2E67D" w14:textId="3042A436" w:rsidR="00423B5B" w:rsidRDefault="00423B5B" w:rsidP="00423B5B">
      <w:pPr>
        <w:pStyle w:val="Nadpis1"/>
      </w:pPr>
      <w:r>
        <w:t>Promlčení</w:t>
      </w:r>
    </w:p>
    <w:p w14:paraId="07A27773" w14:textId="08E2EEB5" w:rsidR="0044442C" w:rsidRDefault="008001BA" w:rsidP="0044442C">
      <w:r w:rsidRPr="00CA5DA4">
        <w:rPr>
          <w:b/>
          <w:bCs/>
        </w:rPr>
        <w:t>Doba</w:t>
      </w:r>
      <w:r w:rsidR="00B634AA" w:rsidRPr="00CA5DA4">
        <w:rPr>
          <w:b/>
          <w:bCs/>
        </w:rPr>
        <w:t xml:space="preserve"> k uplatnění subjektivního práva</w:t>
      </w:r>
      <w:r w:rsidR="00B634AA">
        <w:t xml:space="preserve"> na plnění (</w:t>
      </w:r>
      <w:r w:rsidR="00CA5DA4">
        <w:t xml:space="preserve">např. </w:t>
      </w:r>
      <w:r w:rsidR="003D1D2C">
        <w:t>na zaplacení kupní ceny,</w:t>
      </w:r>
      <w:r w:rsidR="00CA5DA4">
        <w:t xml:space="preserve"> náhradu újmy nebo vydání bezdůvodného obohacení</w:t>
      </w:r>
      <w:r w:rsidR="00B634AA">
        <w:t xml:space="preserve">) </w:t>
      </w:r>
      <w:r w:rsidR="0015297B">
        <w:t>u </w:t>
      </w:r>
      <w:r w:rsidR="00B634AA">
        <w:t xml:space="preserve">soudu </w:t>
      </w:r>
      <w:r w:rsidR="00B634AA" w:rsidRPr="003D1D2C">
        <w:rPr>
          <w:b/>
          <w:bCs/>
        </w:rPr>
        <w:t>nemůže být neomezeně</w:t>
      </w:r>
      <w:r w:rsidR="00B634AA">
        <w:t xml:space="preserve"> </w:t>
      </w:r>
      <w:r w:rsidR="00B634AA" w:rsidRPr="003D1D2C">
        <w:rPr>
          <w:b/>
          <w:bCs/>
        </w:rPr>
        <w:t>dlouhá</w:t>
      </w:r>
      <w:r w:rsidR="00B634AA">
        <w:t xml:space="preserve">. </w:t>
      </w:r>
      <w:r w:rsidR="00DD2594">
        <w:t xml:space="preserve">S rostoucím časovým odstupem od rozhodných skutečností </w:t>
      </w:r>
      <w:r w:rsidR="00A77FD5">
        <w:t>stoupá obtížnost dosažení správných skutkových zjištění v rámci dokazování (svědci zapomínají nebo umírají, ztrácí se listiny apod.).</w:t>
      </w:r>
      <w:r w:rsidR="00846AA2">
        <w:t xml:space="preserve"> </w:t>
      </w:r>
      <w:r w:rsidR="00FB38D4" w:rsidRPr="00816FCB">
        <w:rPr>
          <w:b/>
          <w:bCs/>
        </w:rPr>
        <w:t>Právní řád</w:t>
      </w:r>
      <w:r w:rsidR="00816FCB" w:rsidRPr="00816FCB">
        <w:rPr>
          <w:b/>
          <w:bCs/>
        </w:rPr>
        <w:t>y</w:t>
      </w:r>
      <w:r w:rsidR="00FB38D4">
        <w:t xml:space="preserve"> proto prostřednictvím institutu promlčení z důvodu ochrany právní jistoty </w:t>
      </w:r>
      <w:r w:rsidR="00FB38D4" w:rsidRPr="00816FCB">
        <w:rPr>
          <w:b/>
          <w:bCs/>
        </w:rPr>
        <w:t xml:space="preserve">omezují možnost úspěšně uplatnit právo </w:t>
      </w:r>
      <w:r w:rsidR="0015297B" w:rsidRPr="00816FCB">
        <w:rPr>
          <w:b/>
          <w:bCs/>
        </w:rPr>
        <w:t>u</w:t>
      </w:r>
      <w:r w:rsidR="0015297B">
        <w:rPr>
          <w:b/>
          <w:bCs/>
        </w:rPr>
        <w:t> </w:t>
      </w:r>
      <w:r w:rsidR="00FB38D4" w:rsidRPr="00816FCB">
        <w:rPr>
          <w:b/>
          <w:bCs/>
        </w:rPr>
        <w:t>soudu</w:t>
      </w:r>
      <w:r w:rsidR="00FB38D4">
        <w:t>.</w:t>
      </w:r>
      <w:r w:rsidR="00A25A96" w:rsidRPr="00817A52">
        <w:rPr>
          <w:rStyle w:val="Znakapoznpodarou"/>
        </w:rPr>
        <w:footnoteReference w:id="8"/>
      </w:r>
    </w:p>
    <w:p w14:paraId="0288C761" w14:textId="0BFE2D98" w:rsidR="00FB38D4" w:rsidRDefault="00F87E42" w:rsidP="0044442C">
      <w:r>
        <w:lastRenderedPageBreak/>
        <w:t xml:space="preserve">Hrozba promlčení nároku </w:t>
      </w:r>
      <w:r w:rsidR="0065651E">
        <w:t>podněcuje „majitele práv“ k jejich prosazování</w:t>
      </w:r>
      <w:r w:rsidR="008227D1">
        <w:t xml:space="preserve">. Jedná se </w:t>
      </w:r>
      <w:r w:rsidR="0015297B">
        <w:t>o </w:t>
      </w:r>
      <w:r w:rsidR="008227D1">
        <w:t xml:space="preserve">projev zásady </w:t>
      </w:r>
      <w:r w:rsidR="008227D1" w:rsidRPr="008227D1">
        <w:rPr>
          <w:b/>
          <w:bCs/>
        </w:rPr>
        <w:t>bdělým náleží práva</w:t>
      </w:r>
      <w:r w:rsidR="008227D1">
        <w:t xml:space="preserve"> (</w:t>
      </w:r>
      <w:proofErr w:type="spellStart"/>
      <w:r w:rsidR="008227D1">
        <w:t>vigilantibus</w:t>
      </w:r>
      <w:proofErr w:type="spellEnd"/>
      <w:r w:rsidR="008227D1">
        <w:t xml:space="preserve"> </w:t>
      </w:r>
      <w:proofErr w:type="spellStart"/>
      <w:r w:rsidR="00710287">
        <w:t>i</w:t>
      </w:r>
      <w:r w:rsidR="008227D1">
        <w:t>ura</w:t>
      </w:r>
      <w:proofErr w:type="spellEnd"/>
      <w:r w:rsidR="008227D1">
        <w:t xml:space="preserve"> </w:t>
      </w:r>
      <w:proofErr w:type="spellStart"/>
      <w:r w:rsidR="008227D1">
        <w:t>scripta</w:t>
      </w:r>
      <w:proofErr w:type="spellEnd"/>
      <w:r w:rsidR="008227D1">
        <w:t xml:space="preserve"> </w:t>
      </w:r>
      <w:proofErr w:type="spellStart"/>
      <w:r w:rsidR="008227D1">
        <w:t>sun</w:t>
      </w:r>
      <w:r w:rsidR="00086388">
        <w:t>t</w:t>
      </w:r>
      <w:proofErr w:type="spellEnd"/>
      <w:r w:rsidR="008227D1">
        <w:t>).</w:t>
      </w:r>
      <w:r w:rsidR="00AD0570">
        <w:t xml:space="preserve"> Předmětem promlčení je žalovatelné právo – </w:t>
      </w:r>
      <w:r w:rsidR="00AD0570" w:rsidRPr="007562FB">
        <w:rPr>
          <w:b/>
          <w:bCs/>
        </w:rPr>
        <w:t>nárok</w:t>
      </w:r>
      <w:r w:rsidR="00AD0570">
        <w:t>.</w:t>
      </w:r>
      <w:r w:rsidR="007562FB" w:rsidRPr="00817A52">
        <w:rPr>
          <w:rStyle w:val="Znakapoznpodarou"/>
        </w:rPr>
        <w:footnoteReference w:id="9"/>
      </w:r>
      <w:r w:rsidR="000B627F">
        <w:t xml:space="preserve"> </w:t>
      </w:r>
      <w:r w:rsidR="00181A50">
        <w:t>Promlčené právo se stává naturální obligací.</w:t>
      </w:r>
      <w:r w:rsidR="00181A50" w:rsidRPr="00817A52">
        <w:rPr>
          <w:rStyle w:val="Znakapoznpodarou"/>
        </w:rPr>
        <w:footnoteReference w:id="10"/>
      </w:r>
      <w:r w:rsidR="00181A50">
        <w:t xml:space="preserve"> </w:t>
      </w:r>
      <w:r w:rsidR="00251104">
        <w:t xml:space="preserve">V důsledku promlčení se oslabuje možnost </w:t>
      </w:r>
      <w:r w:rsidR="00276DD5">
        <w:t xml:space="preserve">jeho </w:t>
      </w:r>
      <w:r w:rsidR="00251104">
        <w:t>prosazení</w:t>
      </w:r>
      <w:r w:rsidR="00BF75DF">
        <w:t>, dlu</w:t>
      </w:r>
      <w:r w:rsidR="007542A0">
        <w:t>h samotný však nezaniká</w:t>
      </w:r>
      <w:r w:rsidR="00251104">
        <w:t xml:space="preserve">. Dlužník může splnit dobrovolně, ale také může plnění trvale odepřít. </w:t>
      </w:r>
      <w:r w:rsidR="00B548EF">
        <w:t xml:space="preserve">Plnění promlčeného dluhu </w:t>
      </w:r>
      <w:r w:rsidR="00B548EF" w:rsidRPr="00B548EF">
        <w:rPr>
          <w:b/>
          <w:bCs/>
        </w:rPr>
        <w:t>není bezdůvodným obohacením</w:t>
      </w:r>
      <w:r w:rsidR="00D02E54">
        <w:t xml:space="preserve">, </w:t>
      </w:r>
      <w:r w:rsidR="0015297B">
        <w:t>a </w:t>
      </w:r>
      <w:r w:rsidR="00D02E54">
        <w:t>proto dlužník nemůže požadovat jeho vrácení zpět</w:t>
      </w:r>
      <w:r w:rsidR="00F11EC5">
        <w:t xml:space="preserve"> (§</w:t>
      </w:r>
      <w:r w:rsidR="000354CD">
        <w:t xml:space="preserve"> 609 OZ)</w:t>
      </w:r>
      <w:r w:rsidR="00B548EF">
        <w:t xml:space="preserve">. </w:t>
      </w:r>
      <w:r w:rsidR="00336126">
        <w:t xml:space="preserve">Uplynutím </w:t>
      </w:r>
      <w:r w:rsidR="008F4606">
        <w:t>promlčecí lhůty vzniká dlužníkovi právo vznést námitku promlčen</w:t>
      </w:r>
      <w:r w:rsidR="006C71F3">
        <w:t xml:space="preserve">í, </w:t>
      </w:r>
      <w:r w:rsidR="006C71F3" w:rsidRPr="004B55AC">
        <w:rPr>
          <w:b/>
          <w:bCs/>
        </w:rPr>
        <w:t>orgán veřejné moci však nesmí k promlčení přihlédnout z úřední povinnosti</w:t>
      </w:r>
      <w:r w:rsidR="000354CD">
        <w:t xml:space="preserve"> (§ 610 odst. 1 OZ)</w:t>
      </w:r>
      <w:r w:rsidR="006C71F3">
        <w:t>.</w:t>
      </w:r>
      <w:r w:rsidR="007C7D7E">
        <w:t xml:space="preserve"> Uplatní-li dlužník oprávněně námitku promlčení, nelze věřiteli právo přiznat.</w:t>
      </w:r>
      <w:r w:rsidR="00A34E61">
        <w:t xml:space="preserve"> Společně s hlavním nárokem se promlčují </w:t>
      </w:r>
      <w:r w:rsidR="0015297B">
        <w:t>i </w:t>
      </w:r>
      <w:r w:rsidR="00A34E61">
        <w:t>nároky na vedlejší plnění (např. na úroky z prodlení).</w:t>
      </w:r>
      <w:r w:rsidR="00571F31" w:rsidRPr="00817A52">
        <w:rPr>
          <w:rStyle w:val="Znakapoznpodarou"/>
        </w:rPr>
        <w:footnoteReference w:id="11"/>
      </w:r>
      <w:r w:rsidR="00877991">
        <w:t xml:space="preserve"> </w:t>
      </w:r>
      <w:r w:rsidR="00157E34" w:rsidRPr="00B00E95">
        <w:rPr>
          <w:b/>
          <w:bCs/>
        </w:rPr>
        <w:t>Možnosti uplatnit námitku promlčení se nelze přede</w:t>
      </w:r>
      <w:r w:rsidR="00B00E95" w:rsidRPr="00B00E95">
        <w:rPr>
          <w:b/>
          <w:bCs/>
        </w:rPr>
        <w:t>m</w:t>
      </w:r>
      <w:r w:rsidR="00157E34" w:rsidRPr="00B00E95">
        <w:rPr>
          <w:b/>
          <w:bCs/>
        </w:rPr>
        <w:t xml:space="preserve"> vzdát.</w:t>
      </w:r>
      <w:r w:rsidR="00157E34">
        <w:t xml:space="preserve"> </w:t>
      </w:r>
      <w:r w:rsidR="00A6432D">
        <w:t>Učiní-li tak někdo, nepřihlíží se k tomu (§ 610 odst. 1 OZ).</w:t>
      </w:r>
      <w:r w:rsidR="00A85A01">
        <w:t xml:space="preserve"> Nic ale dlužníkovi nebrání, aby se vzdal námitky promlčení již promlčeného dluhu.</w:t>
      </w:r>
      <w:r w:rsidR="00655B17" w:rsidRPr="00817A52">
        <w:rPr>
          <w:rStyle w:val="Znakapoznpodarou"/>
        </w:rPr>
        <w:footnoteReference w:id="12"/>
      </w:r>
    </w:p>
    <w:p w14:paraId="67FA611C" w14:textId="01B20BA4" w:rsidR="004B55AC" w:rsidRDefault="00185656" w:rsidP="0044442C">
      <w:r>
        <w:t xml:space="preserve">Podle § 611 OZ </w:t>
      </w:r>
      <w:r w:rsidRPr="00B46C5E">
        <w:rPr>
          <w:b/>
          <w:bCs/>
        </w:rPr>
        <w:t>se promlčují všechna majetková práva</w:t>
      </w:r>
      <w:r w:rsidR="00B46C5E">
        <w:t xml:space="preserve"> s výjimkou případů stanovených zákonem. Mezi ty patří:</w:t>
      </w:r>
    </w:p>
    <w:p w14:paraId="26754E39" w14:textId="39CCAAFA" w:rsidR="00B46C5E" w:rsidRDefault="00FF5993" w:rsidP="00B46C5E">
      <w:pPr>
        <w:pStyle w:val="Odstavecseseznamem"/>
        <w:numPr>
          <w:ilvl w:val="0"/>
          <w:numId w:val="4"/>
        </w:numPr>
      </w:pPr>
      <w:r w:rsidRPr="00827246">
        <w:rPr>
          <w:b/>
          <w:bCs/>
        </w:rPr>
        <w:t>právo na výživné</w:t>
      </w:r>
      <w:r>
        <w:t>; promlčení ale podléhají práva na jednotlivá opětující se plnění (§</w:t>
      </w:r>
      <w:r w:rsidR="00827246">
        <w:t> </w:t>
      </w:r>
      <w:r>
        <w:t>613 OZ)</w:t>
      </w:r>
    </w:p>
    <w:p w14:paraId="24B5088D" w14:textId="1892070E" w:rsidR="00FF5993" w:rsidRDefault="00827246" w:rsidP="00B46C5E">
      <w:pPr>
        <w:pStyle w:val="Odstavecseseznamem"/>
        <w:numPr>
          <w:ilvl w:val="0"/>
          <w:numId w:val="4"/>
        </w:numPr>
      </w:pPr>
      <w:r w:rsidRPr="00827246">
        <w:rPr>
          <w:b/>
          <w:bCs/>
        </w:rPr>
        <w:t>vlastnické právo</w:t>
      </w:r>
      <w:r>
        <w:t xml:space="preserve">, právo domáhat se rozdělení společné věci, právo na zřízení nezbytné cesty </w:t>
      </w:r>
      <w:r w:rsidR="0015297B">
        <w:t>a </w:t>
      </w:r>
      <w:r>
        <w:t>právo na vykoupení reálného břemene (§ 614 OZ)</w:t>
      </w:r>
    </w:p>
    <w:p w14:paraId="3D603C79" w14:textId="01E74698" w:rsidR="00827246" w:rsidRDefault="008D5CF8" w:rsidP="00B46C5E">
      <w:pPr>
        <w:pStyle w:val="Odstavecseseznamem"/>
        <w:numPr>
          <w:ilvl w:val="0"/>
          <w:numId w:val="4"/>
        </w:numPr>
      </w:pPr>
      <w:r>
        <w:t xml:space="preserve">zástavní </w:t>
      </w:r>
      <w:r w:rsidR="007F609F">
        <w:t xml:space="preserve">ani zadržovací </w:t>
      </w:r>
      <w:r>
        <w:t>právo se nepromlčí dříve než jím zajištěná pohledávka</w:t>
      </w:r>
      <w:r w:rsidR="00DF56FC">
        <w:t>,</w:t>
      </w:r>
      <w:r>
        <w:t xml:space="preserve"> </w:t>
      </w:r>
      <w:r w:rsidR="00966A0D">
        <w:t>ani dokud má</w:t>
      </w:r>
      <w:r w:rsidR="001212E3">
        <w:t xml:space="preserve"> </w:t>
      </w:r>
      <w:r w:rsidR="00DF56FC">
        <w:t xml:space="preserve">věřitel zastavenou nebo zadrženou věc </w:t>
      </w:r>
      <w:r w:rsidR="0015297B">
        <w:t>u </w:t>
      </w:r>
      <w:r w:rsidR="00DF56FC">
        <w:t xml:space="preserve">sebe </w:t>
      </w:r>
      <w:r>
        <w:t>(§ 615 OZ)</w:t>
      </w:r>
    </w:p>
    <w:p w14:paraId="3955D8A2" w14:textId="4CB98CA0" w:rsidR="00686B7C" w:rsidRDefault="00000D7D" w:rsidP="00B46C5E">
      <w:pPr>
        <w:pStyle w:val="Odstavecseseznamem"/>
        <w:numPr>
          <w:ilvl w:val="0"/>
          <w:numId w:val="4"/>
        </w:numPr>
      </w:pPr>
      <w:r>
        <w:t>při poskytnutí jistoty převodem práva není promlčení pohledávky důvodem pro zpětný převod práva</w:t>
      </w:r>
      <w:r w:rsidR="00E0506A">
        <w:t xml:space="preserve"> osobě, která jistotu poskytla (§ 616</w:t>
      </w:r>
      <w:r w:rsidR="003C2952">
        <w:t xml:space="preserve"> OZ</w:t>
      </w:r>
      <w:r w:rsidR="00E0506A">
        <w:t>)</w:t>
      </w:r>
    </w:p>
    <w:p w14:paraId="156A862B" w14:textId="67BAE5A4" w:rsidR="00AC570D" w:rsidRPr="00AC570D" w:rsidRDefault="0015297B" w:rsidP="00AC570D">
      <w:r w:rsidRPr="00AC570D">
        <w:t>V</w:t>
      </w:r>
      <w:r>
        <w:t> </w:t>
      </w:r>
      <w:r w:rsidR="00AC570D" w:rsidRPr="00AC570D">
        <w:t xml:space="preserve">případě práva na život </w:t>
      </w:r>
      <w:r w:rsidRPr="00AC570D">
        <w:t>a</w:t>
      </w:r>
      <w:r>
        <w:t> </w:t>
      </w:r>
      <w:r w:rsidR="00AC570D" w:rsidRPr="00AC570D">
        <w:t>důstojnost, jméno, zdraví, vážnost, čest, soukromí nebo obdobného osobního práva se promlčují jen práva na odčinění újmy způsobené na těchto právech</w:t>
      </w:r>
      <w:r w:rsidR="00AC570D">
        <w:t xml:space="preserve"> (§ 612 OZ)</w:t>
      </w:r>
      <w:r w:rsidR="00AC570D" w:rsidRPr="00AC570D">
        <w:t>.</w:t>
      </w:r>
    </w:p>
    <w:p w14:paraId="1370BB02" w14:textId="35CC70C9" w:rsidR="00154C86" w:rsidRDefault="00B577AD" w:rsidP="0044442C">
      <w:r>
        <w:t xml:space="preserve">Právo zapsané ve veřejném seznamu nebo rejstříku zástav, které se promlčelo, vymaže ten, kdo veřejný seznam nebo rejstřík zástav vede. </w:t>
      </w:r>
      <w:r w:rsidR="00BE0059">
        <w:t>K návrhu na výmaz je oprávněna osoba, která na něm má právní zájem (§ 618 OZ).</w:t>
      </w:r>
    </w:p>
    <w:p w14:paraId="7F0FB179" w14:textId="6F189A99" w:rsidR="004C5519" w:rsidRPr="00D23C46" w:rsidRDefault="00EE6DB3" w:rsidP="0044442C">
      <w:r w:rsidRPr="00D23C46">
        <w:t>Nepromlčuje se p</w:t>
      </w:r>
      <w:r w:rsidR="004C5519" w:rsidRPr="00D23C46">
        <w:t>rávo uplatnit námitku promlčení</w:t>
      </w:r>
      <w:r w:rsidR="004C5519" w:rsidRPr="00D23C46">
        <w:rPr>
          <w:rStyle w:val="Znakapoznpodarou"/>
        </w:rPr>
        <w:footnoteReference w:id="13"/>
      </w:r>
      <w:r w:rsidRPr="00D23C46">
        <w:t xml:space="preserve"> nebo </w:t>
      </w:r>
      <w:r w:rsidR="00D23C46">
        <w:t>p</w:t>
      </w:r>
      <w:r w:rsidR="00D23C46" w:rsidRPr="00D23C46">
        <w:t xml:space="preserve">rávo vypovědět smlouvu </w:t>
      </w:r>
      <w:r w:rsidR="0015297B" w:rsidRPr="00D23C46">
        <w:t>o</w:t>
      </w:r>
      <w:r w:rsidR="0015297B">
        <w:t> </w:t>
      </w:r>
      <w:r w:rsidR="00D23C46" w:rsidRPr="00D23C46">
        <w:t>zápůjčce uzavřenou na dobu neurčitou.</w:t>
      </w:r>
      <w:r w:rsidR="00D23C46">
        <w:rPr>
          <w:rStyle w:val="Znakapoznpodarou"/>
        </w:rPr>
        <w:footnoteReference w:id="14"/>
      </w:r>
      <w:r w:rsidR="004C5519" w:rsidRPr="00D23C46">
        <w:t xml:space="preserve"> Naopak promlčení podléhá například právo dovolat se relativní neplatnosti.</w:t>
      </w:r>
      <w:r w:rsidR="004C5519" w:rsidRPr="00D23C46">
        <w:rPr>
          <w:rStyle w:val="Znakapoznpodarou"/>
        </w:rPr>
        <w:footnoteReference w:id="15"/>
      </w:r>
    </w:p>
    <w:p w14:paraId="440516FB" w14:textId="1825E63E" w:rsidR="00DD081C" w:rsidRDefault="00966712" w:rsidP="0044442C">
      <w:r>
        <w:t xml:space="preserve">Výkon práva promlčení </w:t>
      </w:r>
      <w:r w:rsidRPr="00654559">
        <w:rPr>
          <w:b/>
          <w:bCs/>
        </w:rPr>
        <w:t>nesmí být v rozporu s dobrými mravy</w:t>
      </w:r>
      <w:r>
        <w:t>.</w:t>
      </w:r>
      <w:r w:rsidRPr="00817A52">
        <w:rPr>
          <w:rStyle w:val="Znakapoznpodarou"/>
        </w:rPr>
        <w:footnoteReference w:id="16"/>
      </w:r>
      <w:r w:rsidR="0013678E">
        <w:t xml:space="preserve"> </w:t>
      </w:r>
      <w:r w:rsidR="001D69E4">
        <w:t xml:space="preserve">Vznesení námitky promlčení práva však zásadně dobrým mravům neodporuje, neboť </w:t>
      </w:r>
      <w:r w:rsidR="00152A3D">
        <w:t xml:space="preserve">promlčení je zákonným institutem </w:t>
      </w:r>
      <w:r w:rsidR="0015297B">
        <w:t>a </w:t>
      </w:r>
      <w:r w:rsidR="00152A3D">
        <w:t xml:space="preserve">přispívá k jistotě v právních vztazích. </w:t>
      </w:r>
      <w:r w:rsidR="00A77F62">
        <w:t xml:space="preserve">Uplatnění námitky promlčení se příčí dobrým mravům jenom v těch výjimečných případech, </w:t>
      </w:r>
      <w:r w:rsidR="002E4208">
        <w:t xml:space="preserve">kdy by bylo výrazem zneužití tohoto </w:t>
      </w:r>
      <w:r w:rsidR="002E4208">
        <w:lastRenderedPageBreak/>
        <w:t xml:space="preserve">práva na úkor účastníka, který marné uplynutí promlčecí lhůty nezavinil, </w:t>
      </w:r>
      <w:r w:rsidR="0015297B">
        <w:t>a </w:t>
      </w:r>
      <w:r w:rsidR="002E4208">
        <w:t>vůči němuž by za takové situace zánik nároku na plnění v důsledk</w:t>
      </w:r>
      <w:r w:rsidR="009C7AF5">
        <w:t>u</w:t>
      </w:r>
      <w:r w:rsidR="002E4208">
        <w:t xml:space="preserve"> uplynutí promlčecí lhůty byl nepřiměřeně tvrdým postihem ve srovnání s rozsahem </w:t>
      </w:r>
      <w:r w:rsidR="0015297B">
        <w:t>a </w:t>
      </w:r>
      <w:r w:rsidR="002E4208">
        <w:t xml:space="preserve">charakterem jím uplatňovaného práva </w:t>
      </w:r>
      <w:r w:rsidR="0015297B">
        <w:t>a </w:t>
      </w:r>
      <w:r w:rsidR="002E4208">
        <w:t>s důvody, pro které své právo včas neuplatnil.</w:t>
      </w:r>
      <w:r w:rsidR="004F1D50" w:rsidRPr="00817A52">
        <w:rPr>
          <w:rStyle w:val="Znakapoznpodarou"/>
        </w:rPr>
        <w:footnoteReference w:id="17"/>
      </w:r>
      <w:r w:rsidR="0098414F">
        <w:t xml:space="preserve"> Tyto okolnosti přitom musí být naplněny v natolik výjimečné intenzitě, aby byl odůvodněn tak významný zásah do principu právní jistoty, jakým je odepření práva uplatnit námitku promlčení.</w:t>
      </w:r>
      <w:r w:rsidR="0098414F" w:rsidRPr="00817A52">
        <w:rPr>
          <w:rStyle w:val="Znakapoznpodarou"/>
        </w:rPr>
        <w:footnoteReference w:id="18"/>
      </w:r>
      <w:r w:rsidR="00BA264E">
        <w:t xml:space="preserve"> Příkladem by mohlo být za určitých skutkových okolností vznesení námitky promlčení mezi rodinnými příslušníky.</w:t>
      </w:r>
    </w:p>
    <w:p w14:paraId="6272F1E7" w14:textId="39DA652C" w:rsidR="000E325E" w:rsidRDefault="000E325E" w:rsidP="000E325E">
      <w:pPr>
        <w:pStyle w:val="Nadpis2"/>
      </w:pPr>
      <w:r>
        <w:t>Počátek promlčecí lhůty</w:t>
      </w:r>
    </w:p>
    <w:p w14:paraId="0A680D3F" w14:textId="6BBFA539" w:rsidR="00285A5F" w:rsidRDefault="00B87043" w:rsidP="00285A5F">
      <w:r>
        <w:t xml:space="preserve">Obecně stanoví počátek běhu promlčecí lhůty § 619 OZ. </w:t>
      </w:r>
      <w:r w:rsidR="0015297B">
        <w:t>U </w:t>
      </w:r>
      <w:r w:rsidR="00F13239">
        <w:t xml:space="preserve">práv vymahatelných </w:t>
      </w:r>
      <w:r w:rsidR="0015297B">
        <w:t>u </w:t>
      </w:r>
      <w:r w:rsidR="00F13239">
        <w:t xml:space="preserve">orgánu veřejné moci počíná běžet promlčecí lhůta </w:t>
      </w:r>
      <w:r w:rsidR="00F13239" w:rsidRPr="00F13239">
        <w:rPr>
          <w:b/>
          <w:bCs/>
        </w:rPr>
        <w:t>ode dne, kdy mohlo být právo poprvé uplatněno</w:t>
      </w:r>
      <w:r w:rsidR="00F13239">
        <w:t xml:space="preserve"> (§ 619 </w:t>
      </w:r>
      <w:r w:rsidR="00F059B2">
        <w:t xml:space="preserve">odst. 1 </w:t>
      </w:r>
      <w:r w:rsidR="00F13239">
        <w:t xml:space="preserve">OZ). </w:t>
      </w:r>
      <w:r w:rsidR="00887F8E">
        <w:t xml:space="preserve">Uplatněním práva se rozumí zásadně </w:t>
      </w:r>
      <w:r w:rsidR="00887F8E" w:rsidRPr="00ED5DA4">
        <w:rPr>
          <w:b/>
          <w:bCs/>
        </w:rPr>
        <w:t>podání žaloby</w:t>
      </w:r>
      <w:r w:rsidR="00887F8E">
        <w:t xml:space="preserve">, ale může jím být </w:t>
      </w:r>
      <w:r w:rsidR="0015297B">
        <w:t>i </w:t>
      </w:r>
      <w:r w:rsidR="00887F8E">
        <w:t>vzájemná žaloba</w:t>
      </w:r>
      <w:r w:rsidR="00ED5DA4">
        <w:t>, námitka započtení nebo návrh na nařízení exekuce.</w:t>
      </w:r>
      <w:r w:rsidR="000B2D29">
        <w:t xml:space="preserve"> Právo může být uplatněno poprvé, poku</w:t>
      </w:r>
      <w:r w:rsidR="002E0CB8">
        <w:t>d</w:t>
      </w:r>
    </w:p>
    <w:p w14:paraId="04E3DD86" w14:textId="288229F8" w:rsidR="002E0CB8" w:rsidRDefault="002E0CB8" w:rsidP="002E0CB8">
      <w:pPr>
        <w:pStyle w:val="Odstavecseseznamem"/>
        <w:numPr>
          <w:ilvl w:val="0"/>
          <w:numId w:val="5"/>
        </w:numPr>
      </w:pPr>
      <w:r>
        <w:t xml:space="preserve">se oprávněná osoba </w:t>
      </w:r>
      <w:r w:rsidRPr="00DA1860">
        <w:rPr>
          <w:b/>
          <w:bCs/>
        </w:rPr>
        <w:t>skutečně dozvěděla</w:t>
      </w:r>
      <w:r>
        <w:t xml:space="preserve"> </w:t>
      </w:r>
      <w:r w:rsidR="0015297B">
        <w:t>o </w:t>
      </w:r>
      <w:r>
        <w:t>okolnostech rozhodných pro počátek běhu promlčecí lhůty,</w:t>
      </w:r>
    </w:p>
    <w:p w14:paraId="493EF451" w14:textId="338C01BA" w:rsidR="002E0CB8" w:rsidRDefault="00CF2858" w:rsidP="002E0CB8">
      <w:pPr>
        <w:pStyle w:val="Odstavecseseznamem"/>
        <w:numPr>
          <w:ilvl w:val="0"/>
          <w:numId w:val="5"/>
        </w:numPr>
      </w:pPr>
      <w:r>
        <w:t xml:space="preserve">anebo kdy se </w:t>
      </w:r>
      <w:r w:rsidR="0015297B">
        <w:t>o </w:t>
      </w:r>
      <w:r>
        <w:t xml:space="preserve">nich </w:t>
      </w:r>
      <w:r w:rsidRPr="00DA1860">
        <w:rPr>
          <w:b/>
          <w:bCs/>
        </w:rPr>
        <w:t xml:space="preserve">dozvědět měla </w:t>
      </w:r>
      <w:r w:rsidR="0015297B" w:rsidRPr="00DA1860">
        <w:rPr>
          <w:b/>
          <w:bCs/>
        </w:rPr>
        <w:t>a</w:t>
      </w:r>
      <w:r w:rsidR="0015297B">
        <w:rPr>
          <w:b/>
          <w:bCs/>
        </w:rPr>
        <w:t> </w:t>
      </w:r>
      <w:r w:rsidRPr="00DA1860">
        <w:rPr>
          <w:b/>
          <w:bCs/>
        </w:rPr>
        <w:t>mohla</w:t>
      </w:r>
      <w:r>
        <w:t>.</w:t>
      </w:r>
    </w:p>
    <w:p w14:paraId="71E8A4F4" w14:textId="0F76AE2C" w:rsidR="00CF2858" w:rsidRDefault="002A2BB4" w:rsidP="00CF2858">
      <w:r>
        <w:t xml:space="preserve">Z výše uvedeného vyplývá, že </w:t>
      </w:r>
      <w:r w:rsidR="00D243BC" w:rsidRPr="00D243BC">
        <w:t>§ 619</w:t>
      </w:r>
      <w:r w:rsidR="00B75C40">
        <w:t xml:space="preserve"> </w:t>
      </w:r>
      <w:r w:rsidR="00706445">
        <w:t>OZ</w:t>
      </w:r>
      <w:r w:rsidR="00B75C40">
        <w:t xml:space="preserve"> </w:t>
      </w:r>
      <w:r w:rsidR="00D243BC">
        <w:t xml:space="preserve">stanoví </w:t>
      </w:r>
      <w:r>
        <w:t>p</w:t>
      </w:r>
      <w:r w:rsidR="00CF2858">
        <w:t>romlčecí lhůt</w:t>
      </w:r>
      <w:r w:rsidR="00D243BC">
        <w:t>u</w:t>
      </w:r>
      <w:r w:rsidR="00DA1860">
        <w:t xml:space="preserve"> </w:t>
      </w:r>
      <w:r w:rsidR="00D243BC">
        <w:t xml:space="preserve">se </w:t>
      </w:r>
      <w:r w:rsidR="00D243BC" w:rsidRPr="00797CB6">
        <w:rPr>
          <w:b/>
          <w:bCs/>
        </w:rPr>
        <w:t>subjektivně určeným počátkem</w:t>
      </w:r>
      <w:r w:rsidR="00797CB6">
        <w:t>,</w:t>
      </w:r>
      <w:r w:rsidR="009B19E4">
        <w:rPr>
          <w:rStyle w:val="Znakapoznpodarou"/>
        </w:rPr>
        <w:footnoteReference w:id="19"/>
      </w:r>
      <w:r w:rsidR="00797CB6">
        <w:t xml:space="preserve"> neboť počítá s vědomostí oprávněné osoby </w:t>
      </w:r>
      <w:r w:rsidR="0015297B">
        <w:t>o </w:t>
      </w:r>
      <w:r w:rsidR="00797CB6">
        <w:t xml:space="preserve">jejím nároku nebo alespoň s možností se </w:t>
      </w:r>
      <w:r w:rsidR="0015297B">
        <w:t>o </w:t>
      </w:r>
      <w:r w:rsidR="00797CB6">
        <w:t>něm dozvědět.</w:t>
      </w:r>
    </w:p>
    <w:p w14:paraId="5A6B607C" w14:textId="7C1BF7BC" w:rsidR="00F059B2" w:rsidRDefault="00F059B2" w:rsidP="00CF2858">
      <w:r>
        <w:t xml:space="preserve">Od okamžiku, kdy mohlo být právo poprvé uplatněno </w:t>
      </w:r>
      <w:r w:rsidR="0015297B">
        <w:t>u </w:t>
      </w:r>
      <w:r>
        <w:t>orgánu veřejné moci</w:t>
      </w:r>
      <w:r w:rsidR="00996621">
        <w:t xml:space="preserve"> začíná běžet </w:t>
      </w:r>
      <w:r w:rsidR="00996621" w:rsidRPr="00C61EB5">
        <w:t>objektivní promlčecí lhůta</w:t>
      </w:r>
      <w:r w:rsidR="00C61EB5" w:rsidRPr="00C61EB5">
        <w:t>,</w:t>
      </w:r>
      <w:r w:rsidR="002612AC">
        <w:t xml:space="preserve"> přesněji </w:t>
      </w:r>
      <w:r w:rsidR="00C61EB5">
        <w:rPr>
          <w:b/>
          <w:bCs/>
        </w:rPr>
        <w:t>lhůta s objektivně určeným počátkem</w:t>
      </w:r>
      <w:r w:rsidR="006C5753">
        <w:t xml:space="preserve">, </w:t>
      </w:r>
      <w:r w:rsidR="0015297B">
        <w:t>a </w:t>
      </w:r>
      <w:r w:rsidR="006C5753">
        <w:t xml:space="preserve">to bez ohledu na vědomí oprávněného. </w:t>
      </w:r>
      <w:r w:rsidR="0015297B">
        <w:t>I </w:t>
      </w:r>
      <w:r w:rsidR="008A193D">
        <w:t xml:space="preserve">v případě, že zatím nedoběhla </w:t>
      </w:r>
      <w:r w:rsidR="002612AC">
        <w:t>l</w:t>
      </w:r>
      <w:r w:rsidR="008A193D">
        <w:t>hůta</w:t>
      </w:r>
      <w:r w:rsidR="002612AC">
        <w:t xml:space="preserve"> se subjektivně určeným počátkem</w:t>
      </w:r>
      <w:r w:rsidR="008A193D">
        <w:t xml:space="preserve">, </w:t>
      </w:r>
      <w:r w:rsidR="00D147BC" w:rsidRPr="00FB188C">
        <w:rPr>
          <w:b/>
          <w:bCs/>
        </w:rPr>
        <w:t xml:space="preserve">dojde </w:t>
      </w:r>
      <w:r w:rsidR="0015297B" w:rsidRPr="00FB188C">
        <w:rPr>
          <w:b/>
          <w:bCs/>
        </w:rPr>
        <w:t>k</w:t>
      </w:r>
      <w:r w:rsidR="0015297B">
        <w:rPr>
          <w:b/>
          <w:bCs/>
        </w:rPr>
        <w:t> </w:t>
      </w:r>
      <w:r w:rsidR="00D147BC" w:rsidRPr="00FB188C">
        <w:rPr>
          <w:b/>
          <w:bCs/>
        </w:rPr>
        <w:t>promlčení n</w:t>
      </w:r>
      <w:r w:rsidR="00244B08" w:rsidRPr="00FB188C">
        <w:rPr>
          <w:b/>
          <w:bCs/>
        </w:rPr>
        <w:t xml:space="preserve">ejpozději jejím </w:t>
      </w:r>
      <w:r w:rsidR="008A193D" w:rsidRPr="00FB188C">
        <w:rPr>
          <w:b/>
          <w:bCs/>
        </w:rPr>
        <w:t>u</w:t>
      </w:r>
      <w:r w:rsidR="00244B08" w:rsidRPr="00FB188C">
        <w:rPr>
          <w:b/>
          <w:bCs/>
        </w:rPr>
        <w:t>plynutím</w:t>
      </w:r>
      <w:r w:rsidR="00D147BC">
        <w:t>.</w:t>
      </w:r>
      <w:r w:rsidR="00AD1C22">
        <w:rPr>
          <w:rStyle w:val="Znakapoznpodarou"/>
        </w:rPr>
        <w:footnoteReference w:id="20"/>
      </w:r>
      <w:r w:rsidR="00BC173C">
        <w:t xml:space="preserve"> </w:t>
      </w:r>
      <w:r w:rsidR="00F74F5B">
        <w:t xml:space="preserve">Subjektivní </w:t>
      </w:r>
      <w:r w:rsidR="0015297B">
        <w:t>a </w:t>
      </w:r>
      <w:r w:rsidR="00F74F5B">
        <w:t>objektivní lhůta běží nezávisle na sobě</w:t>
      </w:r>
      <w:r w:rsidR="00BC1D28">
        <w:t>, často běží vedle sebe</w:t>
      </w:r>
      <w:r w:rsidR="00F74F5B">
        <w:t xml:space="preserve">. </w:t>
      </w:r>
      <w:r w:rsidR="00BC1D28">
        <w:t xml:space="preserve">K promlčení dochází </w:t>
      </w:r>
      <w:r w:rsidR="00D570DA">
        <w:t>okamžikem, kdy uplyne první z nich.</w:t>
      </w:r>
      <w:r w:rsidR="00CA0C54">
        <w:t xml:space="preserve"> </w:t>
      </w:r>
      <w:r w:rsidR="00E21059">
        <w:t>Pokud by promlčecí lhůty měly pouze subjektivně stanovený počátek, neplnilo by promlčení</w:t>
      </w:r>
      <w:r w:rsidR="00064061">
        <w:t xml:space="preserve"> dostatečně svou funkci.</w:t>
      </w:r>
    </w:p>
    <w:p w14:paraId="2549B9F3" w14:textId="642C16CB" w:rsidR="006F0397" w:rsidRDefault="004529EC" w:rsidP="00CF2858">
      <w:r w:rsidRPr="006D6F99">
        <w:rPr>
          <w:b/>
          <w:bCs/>
        </w:rPr>
        <w:t xml:space="preserve">Výjimky od obecného § 619 OZ </w:t>
      </w:r>
      <w:r w:rsidR="00BB261D" w:rsidRPr="006D6F99">
        <w:rPr>
          <w:b/>
          <w:bCs/>
        </w:rPr>
        <w:t xml:space="preserve">stanoví § 620 až § </w:t>
      </w:r>
      <w:r w:rsidR="00422702" w:rsidRPr="006D6F99">
        <w:rPr>
          <w:b/>
          <w:bCs/>
        </w:rPr>
        <w:t xml:space="preserve">628 </w:t>
      </w:r>
      <w:r w:rsidR="00706445" w:rsidRPr="006D6F99">
        <w:rPr>
          <w:b/>
          <w:bCs/>
        </w:rPr>
        <w:t>OZ</w:t>
      </w:r>
      <w:r w:rsidRPr="006D6F99">
        <w:rPr>
          <w:b/>
          <w:bCs/>
        </w:rPr>
        <w:t>.</w:t>
      </w:r>
      <w:r w:rsidR="00422702">
        <w:t xml:space="preserve"> </w:t>
      </w:r>
      <w:r>
        <w:t>O</w:t>
      </w:r>
      <w:r w:rsidR="00422702">
        <w:t xml:space="preserve">bsahují zvláštní ustanovení pro počátek běhu promlčecí lhůty </w:t>
      </w:r>
      <w:r w:rsidR="0015297B">
        <w:t>u </w:t>
      </w:r>
      <w:r w:rsidR="00422702">
        <w:t>určitých práv.</w:t>
      </w:r>
      <w:r w:rsidR="00996350">
        <w:t xml:space="preserve"> Některým se budeme věnovat podrobněji</w:t>
      </w:r>
      <w:r w:rsidR="009B6AD3">
        <w:t>, což ale</w:t>
      </w:r>
      <w:r w:rsidR="00B3235A">
        <w:t xml:space="preserve"> v žádném případě</w:t>
      </w:r>
      <w:r w:rsidR="009B6AD3">
        <w:t xml:space="preserve"> neznamená, že by </w:t>
      </w:r>
      <w:r w:rsidR="0000651A">
        <w:t xml:space="preserve">ostatní </w:t>
      </w:r>
      <w:r w:rsidR="009B6AD3">
        <w:t>nebyla důležitá</w:t>
      </w:r>
      <w:r w:rsidR="00E517F5">
        <w:t>, ale pro potřeby tohoto studijního materiálu nevyžadují detailnější výklad</w:t>
      </w:r>
      <w:r w:rsidR="00996350">
        <w:t xml:space="preserve">. Pro </w:t>
      </w:r>
      <w:r w:rsidR="00A51FCA">
        <w:t xml:space="preserve">podrobnosti </w:t>
      </w:r>
      <w:r w:rsidR="0015297B">
        <w:t>k </w:t>
      </w:r>
      <w:r w:rsidR="00A51FCA">
        <w:t>n</w:t>
      </w:r>
      <w:r w:rsidR="0000651A">
        <w:t>i</w:t>
      </w:r>
      <w:r w:rsidR="00A51FCA">
        <w:t>m</w:t>
      </w:r>
      <w:r w:rsidR="00996350">
        <w:t xml:space="preserve"> vizte příslušnou zejména komentářovou literaturu.</w:t>
      </w:r>
    </w:p>
    <w:p w14:paraId="72510D78" w14:textId="42698BB0" w:rsidR="00422702" w:rsidRDefault="00FC1895" w:rsidP="00CF2858">
      <w:r>
        <w:t>Okolnosti pro počátek bě</w:t>
      </w:r>
      <w:r w:rsidR="00456777">
        <w:t xml:space="preserve">hu subjektivní promlčecí lhůty </w:t>
      </w:r>
      <w:r w:rsidR="00456777" w:rsidRPr="00456777">
        <w:rPr>
          <w:b/>
          <w:bCs/>
        </w:rPr>
        <w:t>na náhradu škody</w:t>
      </w:r>
      <w:r w:rsidR="004B2223">
        <w:rPr>
          <w:b/>
          <w:bCs/>
        </w:rPr>
        <w:t xml:space="preserve"> </w:t>
      </w:r>
      <w:r w:rsidR="0015297B">
        <w:rPr>
          <w:b/>
          <w:bCs/>
        </w:rPr>
        <w:t>a </w:t>
      </w:r>
      <w:r w:rsidR="004B2223">
        <w:rPr>
          <w:b/>
          <w:bCs/>
        </w:rPr>
        <w:t>nemajetkové újmy</w:t>
      </w:r>
      <w:r w:rsidR="00456777">
        <w:t xml:space="preserve"> upravuje § 620 odst. 1 OZ. </w:t>
      </w:r>
      <w:r w:rsidR="00AE1FD5">
        <w:t xml:space="preserve">Okolnosti </w:t>
      </w:r>
      <w:r w:rsidR="00AE1FD5" w:rsidRPr="00AE1FD5">
        <w:t xml:space="preserve">rozhodné pro počátek běhu promlčecí lhůty zahrnují vědomost </w:t>
      </w:r>
      <w:r w:rsidR="0015297B" w:rsidRPr="00AE1FD5">
        <w:t>o</w:t>
      </w:r>
      <w:r w:rsidR="0015297B">
        <w:t> </w:t>
      </w:r>
      <w:r w:rsidR="00AE1FD5" w:rsidRPr="00AE1FD5">
        <w:t xml:space="preserve">škodě </w:t>
      </w:r>
      <w:r w:rsidR="0015297B" w:rsidRPr="00AE1FD5">
        <w:t>a</w:t>
      </w:r>
      <w:r w:rsidR="0015297B">
        <w:t> </w:t>
      </w:r>
      <w:r w:rsidR="00AE1FD5" w:rsidRPr="00AE1FD5">
        <w:t xml:space="preserve">osobě povinné </w:t>
      </w:r>
      <w:r w:rsidR="0015297B" w:rsidRPr="00AE1FD5">
        <w:t>k</w:t>
      </w:r>
      <w:r w:rsidR="0015297B">
        <w:t> </w:t>
      </w:r>
      <w:r w:rsidR="00AE1FD5" w:rsidRPr="00AE1FD5">
        <w:t>její náhradě</w:t>
      </w:r>
      <w:r w:rsidR="00AE1FD5">
        <w:t xml:space="preserve">. </w:t>
      </w:r>
      <w:r w:rsidR="008D79B8">
        <w:t>Byť to § 620 odst. 1 OZ výslovně nestanoví, Nejvyšší soud dovodil, že v</w:t>
      </w:r>
      <w:r w:rsidR="00B511DC" w:rsidRPr="00B511DC">
        <w:t xml:space="preserve">ědomost </w:t>
      </w:r>
      <w:r w:rsidR="0015297B" w:rsidRPr="00B511DC">
        <w:t>o</w:t>
      </w:r>
      <w:r w:rsidR="0015297B">
        <w:t> </w:t>
      </w:r>
      <w:r w:rsidR="00B511DC" w:rsidRPr="00B511DC">
        <w:t>škodě ve smyslu</w:t>
      </w:r>
      <w:r w:rsidR="008D79B8">
        <w:t xml:space="preserve"> tohoto ustanovení</w:t>
      </w:r>
      <w:r w:rsidR="00B511DC" w:rsidRPr="00B511DC">
        <w:t xml:space="preserve"> je dána </w:t>
      </w:r>
      <w:r w:rsidR="0015297B" w:rsidRPr="00B511DC">
        <w:t>i</w:t>
      </w:r>
      <w:r w:rsidR="0015297B">
        <w:t> </w:t>
      </w:r>
      <w:r w:rsidR="00B511DC" w:rsidRPr="00B511DC">
        <w:t xml:space="preserve">tehdy, jestliže nositel práva, jehož promlčení je posuzováno, </w:t>
      </w:r>
      <w:r w:rsidR="0015297B" w:rsidRPr="00B511DC">
        <w:t>o</w:t>
      </w:r>
      <w:r w:rsidR="0015297B">
        <w:t> </w:t>
      </w:r>
      <w:r w:rsidR="00B511DC" w:rsidRPr="00B511DC">
        <w:t xml:space="preserve">rozhodných okolnostech vědět měl </w:t>
      </w:r>
      <w:r w:rsidR="0015297B" w:rsidRPr="00B511DC">
        <w:t>a</w:t>
      </w:r>
      <w:r w:rsidR="0015297B">
        <w:t> </w:t>
      </w:r>
      <w:r w:rsidR="00B511DC" w:rsidRPr="00B511DC">
        <w:t>mohl</w:t>
      </w:r>
      <w:r w:rsidR="00B511DC">
        <w:t>.</w:t>
      </w:r>
      <w:r w:rsidR="004E60EA">
        <w:rPr>
          <w:rStyle w:val="Znakapoznpodarou"/>
        </w:rPr>
        <w:footnoteReference w:id="21"/>
      </w:r>
      <w:r w:rsidR="00A219AA">
        <w:t xml:space="preserve"> V případě </w:t>
      </w:r>
      <w:r w:rsidR="00A219AA" w:rsidRPr="00A219AA">
        <w:t xml:space="preserve">práva </w:t>
      </w:r>
      <w:r w:rsidR="00A219AA" w:rsidRPr="00FC0740">
        <w:rPr>
          <w:b/>
          <w:bCs/>
        </w:rPr>
        <w:t>na náhradu škody způsobené vadou</w:t>
      </w:r>
      <w:r w:rsidR="00A219AA" w:rsidRPr="00A219AA">
        <w:t xml:space="preserve"> </w:t>
      </w:r>
      <w:r w:rsidR="00A219AA" w:rsidRPr="00D50255">
        <w:rPr>
          <w:b/>
        </w:rPr>
        <w:t>výrobku</w:t>
      </w:r>
      <w:r w:rsidR="00A219AA" w:rsidRPr="00A219AA">
        <w:t xml:space="preserve"> podle § 2939 </w:t>
      </w:r>
      <w:r w:rsidR="005020E8">
        <w:t xml:space="preserve">OZ </w:t>
      </w:r>
      <w:r w:rsidR="005020E8" w:rsidRPr="005020E8">
        <w:lastRenderedPageBreak/>
        <w:t xml:space="preserve">zahrnují </w:t>
      </w:r>
      <w:r w:rsidR="005020E8">
        <w:t>o</w:t>
      </w:r>
      <w:r w:rsidR="00A219AA" w:rsidRPr="00A219AA">
        <w:t xml:space="preserve">kolnosti rozhodné pro počátek běhu promlčecí lhůty vědomost </w:t>
      </w:r>
      <w:r w:rsidR="0015297B" w:rsidRPr="00A219AA">
        <w:t>o</w:t>
      </w:r>
      <w:r w:rsidR="0015297B">
        <w:t> </w:t>
      </w:r>
      <w:r w:rsidR="00A219AA" w:rsidRPr="00A219AA">
        <w:t xml:space="preserve">škodě, vadě </w:t>
      </w:r>
      <w:r w:rsidR="0015297B" w:rsidRPr="00A219AA">
        <w:t>a</w:t>
      </w:r>
      <w:r w:rsidR="0015297B">
        <w:t> </w:t>
      </w:r>
      <w:r w:rsidR="00A219AA" w:rsidRPr="00A219AA">
        <w:t>totožnosti výrobce</w:t>
      </w:r>
      <w:r w:rsidR="005020E8">
        <w:t xml:space="preserve"> (§ 620 odst. 2 OZ)</w:t>
      </w:r>
      <w:r w:rsidR="00A219AA" w:rsidRPr="00A219AA">
        <w:t>.</w:t>
      </w:r>
    </w:p>
    <w:p w14:paraId="488D1E16" w14:textId="73AE30BD" w:rsidR="00FC0740" w:rsidRDefault="00672B37" w:rsidP="00CF2858">
      <w:r>
        <w:t xml:space="preserve">Subjektivní promlčecí lhůta pro </w:t>
      </w:r>
      <w:r w:rsidRPr="00B62942">
        <w:rPr>
          <w:b/>
          <w:bCs/>
        </w:rPr>
        <w:t>vydání bezdůvodného obohacení</w:t>
      </w:r>
      <w:r>
        <w:t xml:space="preserve"> začíná běžet okamžikem, kdy se </w:t>
      </w:r>
      <w:r w:rsidR="002C17D0">
        <w:t xml:space="preserve">bezdůvodně ochuzený dozví, že došlo ke vzniku bezdůvodného obohacení, </w:t>
      </w:r>
      <w:r w:rsidR="0015297B">
        <w:t>a o </w:t>
      </w:r>
      <w:r w:rsidR="00B62942">
        <w:t xml:space="preserve">osobě povinné k jeho vydání. </w:t>
      </w:r>
      <w:r w:rsidR="00644F3F">
        <w:t xml:space="preserve">Pravděpodobně </w:t>
      </w:r>
      <w:r w:rsidR="0015297B">
        <w:t>i v </w:t>
      </w:r>
      <w:r w:rsidR="00644F3F">
        <w:t xml:space="preserve">§ 621 OZ se </w:t>
      </w:r>
      <w:r w:rsidR="001624BD">
        <w:t xml:space="preserve">promítne § 619 odst. 2 </w:t>
      </w:r>
      <w:r w:rsidR="00D6314E">
        <w:t>OZ. Subjektivní promlčecí lhůta poběž</w:t>
      </w:r>
      <w:r w:rsidR="001461C9">
        <w:t>í</w:t>
      </w:r>
      <w:r w:rsidR="00D6314E">
        <w:t xml:space="preserve"> nejen od okamžiku, kdy se ochuzený skutečně </w:t>
      </w:r>
      <w:r w:rsidR="0015297B">
        <w:t>o </w:t>
      </w:r>
      <w:r w:rsidR="00D6314E">
        <w:t xml:space="preserve">vzniku bezdůvodného obohacení dozvěděl, ale </w:t>
      </w:r>
      <w:r w:rsidR="0015297B">
        <w:t>i </w:t>
      </w:r>
      <w:r w:rsidR="004B5C8A">
        <w:t xml:space="preserve">od okamžiku, kdy se </w:t>
      </w:r>
      <w:r w:rsidR="0015297B">
        <w:t>o </w:t>
      </w:r>
      <w:r w:rsidR="004B5C8A">
        <w:t xml:space="preserve">něm </w:t>
      </w:r>
      <w:r w:rsidR="004B5C8A" w:rsidRPr="001F7693">
        <w:rPr>
          <w:b/>
          <w:bCs/>
        </w:rPr>
        <w:t xml:space="preserve">dozvědět měl </w:t>
      </w:r>
      <w:r w:rsidR="0015297B" w:rsidRPr="001F7693">
        <w:rPr>
          <w:b/>
          <w:bCs/>
        </w:rPr>
        <w:t>a</w:t>
      </w:r>
      <w:r w:rsidR="0015297B">
        <w:rPr>
          <w:b/>
          <w:bCs/>
        </w:rPr>
        <w:t> </w:t>
      </w:r>
      <w:r w:rsidR="004B5C8A" w:rsidRPr="001F7693">
        <w:rPr>
          <w:b/>
          <w:bCs/>
        </w:rPr>
        <w:t>mohl</w:t>
      </w:r>
      <w:r w:rsidR="004B5C8A">
        <w:t>.</w:t>
      </w:r>
      <w:r w:rsidR="005E3B4A">
        <w:t xml:space="preserve"> </w:t>
      </w:r>
      <w:r w:rsidR="0015297B">
        <w:t>K </w:t>
      </w:r>
      <w:r w:rsidR="005E3B4A">
        <w:t xml:space="preserve">„objektivizovanému“ počátku běhu subjektivní promlčecí lhůty by ale soudy měly přistupovat opatrně </w:t>
      </w:r>
      <w:r w:rsidR="0015297B">
        <w:t>a </w:t>
      </w:r>
      <w:r w:rsidR="005E3B4A">
        <w:t>využívat ho pouze v případě hrubé nedbalosti ochuzeného.</w:t>
      </w:r>
      <w:r w:rsidR="00E95023">
        <w:rPr>
          <w:rStyle w:val="Znakapoznpodarou"/>
        </w:rPr>
        <w:footnoteReference w:id="22"/>
      </w:r>
    </w:p>
    <w:p w14:paraId="5E614F4B" w14:textId="69F49543" w:rsidR="00BF4D5A" w:rsidRDefault="00BF4D5A" w:rsidP="00BF4D5A">
      <w:r>
        <w:t>P</w:t>
      </w:r>
      <w:r w:rsidRPr="00BF4D5A">
        <w:t xml:space="preserve">romlčecí lhůta </w:t>
      </w:r>
      <w:r w:rsidR="0015297B">
        <w:t>u </w:t>
      </w:r>
      <w:r w:rsidRPr="00BF4D5A">
        <w:rPr>
          <w:b/>
          <w:bCs/>
        </w:rPr>
        <w:t>práva na pojistné plnění</w:t>
      </w:r>
      <w:r w:rsidRPr="00BF4D5A">
        <w:t xml:space="preserve"> počne plynout za jeden rok od pojistné události. To platí </w:t>
      </w:r>
      <w:r w:rsidR="0015297B" w:rsidRPr="00BF4D5A">
        <w:t>i</w:t>
      </w:r>
      <w:r w:rsidR="0015297B">
        <w:t> </w:t>
      </w:r>
      <w:r w:rsidR="0015297B" w:rsidRPr="00BF4D5A">
        <w:t>v</w:t>
      </w:r>
      <w:r w:rsidR="0015297B">
        <w:t> </w:t>
      </w:r>
      <w:r w:rsidRPr="00BF4D5A">
        <w:t xml:space="preserve">případě, kdy poškozenému vzniklo přímé právo na pojistné plnění vůči pojistiteli, nebo </w:t>
      </w:r>
      <w:r w:rsidR="0015297B" w:rsidRPr="00BF4D5A">
        <w:t>v</w:t>
      </w:r>
      <w:r w:rsidR="0015297B">
        <w:t> </w:t>
      </w:r>
      <w:r w:rsidRPr="00BF4D5A">
        <w:t>případě, kdy pojištěný uplatňuje vůči pojistiteli úhradu toho, co poškozenému poskytl při plnění povinnosti nahradit škodu nebo jinou újmu</w:t>
      </w:r>
      <w:r>
        <w:t xml:space="preserve"> (§ 626 OZ)</w:t>
      </w:r>
      <w:r w:rsidRPr="00BF4D5A">
        <w:t>.</w:t>
      </w:r>
      <w:r>
        <w:t xml:space="preserve"> </w:t>
      </w:r>
      <w:r w:rsidR="00A567D6">
        <w:t>Odložení počátku běhu promlčecí lhůty má praktické důvody spočívající především v poskytnutí času na vyšetření pojistné události.</w:t>
      </w:r>
      <w:r w:rsidR="00FE7429">
        <w:rPr>
          <w:rStyle w:val="Znakapoznpodarou"/>
        </w:rPr>
        <w:footnoteReference w:id="23"/>
      </w:r>
      <w:r w:rsidR="00573184">
        <w:t xml:space="preserve"> Citované ustanovení </w:t>
      </w:r>
      <w:r w:rsidR="007D5FC5">
        <w:t xml:space="preserve">má úzkou vazbu na § 635 OZ </w:t>
      </w:r>
      <w:r w:rsidR="0015297B">
        <w:t>a </w:t>
      </w:r>
      <w:r w:rsidR="007D5FC5">
        <w:t>obě ustanovení je třeba číst ve vzájemné souvislosti.</w:t>
      </w:r>
    </w:p>
    <w:p w14:paraId="641DD91D" w14:textId="7C0C9F0B" w:rsidR="00B0778F" w:rsidRPr="00F773E1" w:rsidRDefault="00B0778F" w:rsidP="00BF4D5A">
      <w:pPr>
        <w:rPr>
          <w:i/>
          <w:iCs/>
        </w:rPr>
      </w:pPr>
      <w:r w:rsidRPr="00F773E1">
        <w:rPr>
          <w:i/>
          <w:iCs/>
        </w:rPr>
        <w:t xml:space="preserve">Úkol: nastudujte rozsudek Nejvyššího soudu ze dne 28. 11. 2019, </w:t>
      </w:r>
      <w:proofErr w:type="spellStart"/>
      <w:r w:rsidRPr="00F773E1">
        <w:rPr>
          <w:i/>
          <w:iCs/>
        </w:rPr>
        <w:t>sp</w:t>
      </w:r>
      <w:proofErr w:type="spellEnd"/>
      <w:r w:rsidRPr="00F773E1">
        <w:rPr>
          <w:i/>
          <w:iCs/>
        </w:rPr>
        <w:t xml:space="preserve">. zn. 25 </w:t>
      </w:r>
      <w:proofErr w:type="spellStart"/>
      <w:r w:rsidRPr="00F773E1">
        <w:rPr>
          <w:i/>
          <w:iCs/>
        </w:rPr>
        <w:t>Cdo</w:t>
      </w:r>
      <w:proofErr w:type="spellEnd"/>
      <w:r w:rsidRPr="00F773E1">
        <w:rPr>
          <w:i/>
          <w:iCs/>
        </w:rPr>
        <w:t xml:space="preserve"> 1976/2019</w:t>
      </w:r>
      <w:r w:rsidR="00E93F0E">
        <w:rPr>
          <w:i/>
          <w:iCs/>
        </w:rPr>
        <w:t>.</w:t>
      </w:r>
      <w:r w:rsidR="00E93F0E">
        <w:rPr>
          <w:rStyle w:val="Znakapoznpodarou"/>
          <w:i/>
          <w:iCs/>
        </w:rPr>
        <w:footnoteReference w:id="24"/>
      </w:r>
    </w:p>
    <w:p w14:paraId="31F360F2" w14:textId="7F60C37A" w:rsidR="00CD42D5" w:rsidRPr="00CD42D5" w:rsidRDefault="00CD42D5" w:rsidP="00CD42D5">
      <w:r>
        <w:t xml:space="preserve">Podle § 628 OZ platí, že </w:t>
      </w:r>
      <w:r w:rsidR="0015297B">
        <w:t>u </w:t>
      </w:r>
      <w:r w:rsidRPr="00CD42D5">
        <w:t xml:space="preserve">práva, které musí být uplatněno nejprve </w:t>
      </w:r>
      <w:r w:rsidR="0015297B" w:rsidRPr="00CD42D5">
        <w:t>u</w:t>
      </w:r>
      <w:r w:rsidR="0015297B">
        <w:t> </w:t>
      </w:r>
      <w:r w:rsidRPr="00CD42D5">
        <w:t xml:space="preserve">příslušné osoby, počne promlčecí lhůta plynout ode dne, kdy </w:t>
      </w:r>
      <w:r w:rsidR="0015297B" w:rsidRPr="00CD42D5">
        <w:t>u</w:t>
      </w:r>
      <w:r w:rsidR="0015297B">
        <w:t> </w:t>
      </w:r>
      <w:r w:rsidRPr="00CD42D5">
        <w:t>ní bylo právo takto uplatněno.</w:t>
      </w:r>
      <w:r w:rsidR="00521263">
        <w:t xml:space="preserve"> </w:t>
      </w:r>
      <w:r w:rsidR="001E5BD1">
        <w:t>Dopadá na případy, ve kterých je vhodné povinnému umožnit, aby plnil bez autoritativního zásahu veřejné moci.</w:t>
      </w:r>
      <w:r w:rsidR="0035185E">
        <w:t xml:space="preserve"> Půjde zejména </w:t>
      </w:r>
      <w:r w:rsidR="0015297B">
        <w:t>o </w:t>
      </w:r>
      <w:r w:rsidR="0035185E">
        <w:t xml:space="preserve">situace, kdy se povinný </w:t>
      </w:r>
      <w:r w:rsidR="0015297B">
        <w:t>o </w:t>
      </w:r>
      <w:r w:rsidR="00C45706">
        <w:t>své povinnosti dozví zpravidla až tehdy, kdy ho k jejímu splnění oprávněný vyzve.</w:t>
      </w:r>
      <w:r w:rsidR="00B62B8C">
        <w:rPr>
          <w:rStyle w:val="Znakapoznpodarou"/>
        </w:rPr>
        <w:footnoteReference w:id="25"/>
      </w:r>
    </w:p>
    <w:p w14:paraId="1D7813B9" w14:textId="17DC2922" w:rsidR="001F7693" w:rsidRPr="005E610B" w:rsidRDefault="003316D5" w:rsidP="00CF2858">
      <w:pPr>
        <w:rPr>
          <w:i/>
          <w:iCs/>
        </w:rPr>
      </w:pPr>
      <w:r w:rsidRPr="005E610B">
        <w:rPr>
          <w:i/>
          <w:iCs/>
        </w:rPr>
        <w:t xml:space="preserve">Úkol: v této souvislosti v občanském zákoníku vyhledejte ustanovení § </w:t>
      </w:r>
      <w:r w:rsidR="001979EF" w:rsidRPr="005E610B">
        <w:rPr>
          <w:i/>
          <w:iCs/>
        </w:rPr>
        <w:t xml:space="preserve">1920, § 1921, § 1924, § 2200, </w:t>
      </w:r>
      <w:r w:rsidR="004C025C" w:rsidRPr="005E610B">
        <w:rPr>
          <w:i/>
          <w:iCs/>
        </w:rPr>
        <w:t>§ 294</w:t>
      </w:r>
      <w:r w:rsidR="005E610B" w:rsidRPr="005E610B">
        <w:rPr>
          <w:i/>
          <w:iCs/>
        </w:rPr>
        <w:t xml:space="preserve">5 </w:t>
      </w:r>
      <w:r w:rsidR="0015297B" w:rsidRPr="005E610B">
        <w:rPr>
          <w:i/>
          <w:iCs/>
        </w:rPr>
        <w:t>a</w:t>
      </w:r>
      <w:r w:rsidR="0015297B">
        <w:rPr>
          <w:i/>
          <w:iCs/>
        </w:rPr>
        <w:t> </w:t>
      </w:r>
      <w:r w:rsidR="005E610B" w:rsidRPr="005E610B">
        <w:rPr>
          <w:i/>
          <w:iCs/>
        </w:rPr>
        <w:t>§ 2949.</w:t>
      </w:r>
    </w:p>
    <w:p w14:paraId="02070C92" w14:textId="27F8EA45" w:rsidR="000E325E" w:rsidRDefault="000E325E" w:rsidP="000E325E">
      <w:pPr>
        <w:pStyle w:val="Nadpis2"/>
      </w:pPr>
      <w:r>
        <w:t>Délka promlčecí lhůty</w:t>
      </w:r>
    </w:p>
    <w:p w14:paraId="134021C0" w14:textId="1CC17AC9" w:rsidR="00D76421" w:rsidRDefault="00D76421" w:rsidP="00D76421">
      <w:r>
        <w:t xml:space="preserve">Obecná </w:t>
      </w:r>
      <w:r w:rsidR="004E5B2F">
        <w:t xml:space="preserve">subjektivní </w:t>
      </w:r>
      <w:r>
        <w:t>promlčecí lhůta trvá podle § 629</w:t>
      </w:r>
      <w:r w:rsidR="004E5B2F">
        <w:t xml:space="preserve"> odst. 1</w:t>
      </w:r>
      <w:r>
        <w:t xml:space="preserve"> OZ </w:t>
      </w:r>
      <w:r w:rsidRPr="00D76421">
        <w:rPr>
          <w:b/>
          <w:bCs/>
        </w:rPr>
        <w:t>tři roky</w:t>
      </w:r>
      <w:r>
        <w:t xml:space="preserve">. </w:t>
      </w:r>
      <w:r w:rsidR="00B467D4">
        <w:t xml:space="preserve">Obecnou objektivní promlčecí lhůtu stanoví § 629 odst. 2 OZ v délce </w:t>
      </w:r>
      <w:r w:rsidR="00B467D4" w:rsidRPr="00B467D4">
        <w:rPr>
          <w:b/>
          <w:bCs/>
        </w:rPr>
        <w:t>deset let</w:t>
      </w:r>
      <w:r w:rsidR="00E92F53" w:rsidRPr="00E92F53">
        <w:t>, ale</w:t>
      </w:r>
      <w:r w:rsidR="00E92F53">
        <w:rPr>
          <w:b/>
          <w:bCs/>
        </w:rPr>
        <w:t xml:space="preserve"> pouze pro majetková práva</w:t>
      </w:r>
      <w:r w:rsidR="00B467D4">
        <w:t xml:space="preserve">. </w:t>
      </w:r>
      <w:r w:rsidR="00D41313">
        <w:t xml:space="preserve">Pro osobní </w:t>
      </w:r>
      <w:r w:rsidR="0015297B">
        <w:t>a </w:t>
      </w:r>
      <w:r w:rsidR="00D41313">
        <w:t xml:space="preserve">osobnostní práva podléhající promlčení </w:t>
      </w:r>
      <w:r w:rsidR="00BA3674">
        <w:t>lhůta s objektivně určeným počátkem neexistuje</w:t>
      </w:r>
      <w:r w:rsidR="000E5BEB">
        <w:t xml:space="preserve">, </w:t>
      </w:r>
      <w:r w:rsidR="0015297B">
        <w:t>a </w:t>
      </w:r>
      <w:r w:rsidR="000E5BEB">
        <w:t>proto se tato práva promlčují pouze v subjektivní promlčecí lhůtě.</w:t>
      </w:r>
      <w:r w:rsidR="00296343">
        <w:rPr>
          <w:rStyle w:val="Znakapoznpodarou"/>
        </w:rPr>
        <w:footnoteReference w:id="26"/>
      </w:r>
    </w:p>
    <w:p w14:paraId="6256E589" w14:textId="3A4EE773" w:rsidR="003E5F6F" w:rsidRDefault="00673BE6" w:rsidP="00D76421">
      <w:r w:rsidRPr="00B32826">
        <w:t>Občanský zákoník</w:t>
      </w:r>
      <w:r>
        <w:t xml:space="preserve"> výslovně </w:t>
      </w:r>
      <w:r w:rsidR="0015297B">
        <w:t>v </w:t>
      </w:r>
      <w:r>
        <w:t xml:space="preserve">§ 630 OZ </w:t>
      </w:r>
      <w:r w:rsidRPr="00B32826">
        <w:rPr>
          <w:b/>
          <w:bCs/>
        </w:rPr>
        <w:t xml:space="preserve">umožňuje stranám, </w:t>
      </w:r>
      <w:r w:rsidR="002F198F" w:rsidRPr="00B32826">
        <w:rPr>
          <w:b/>
          <w:bCs/>
        </w:rPr>
        <w:t xml:space="preserve">aby si ujednaly kratší nebo delší </w:t>
      </w:r>
      <w:r w:rsidR="008000C3">
        <w:rPr>
          <w:b/>
          <w:bCs/>
        </w:rPr>
        <w:t xml:space="preserve">subjektivní </w:t>
      </w:r>
      <w:r w:rsidR="002F198F" w:rsidRPr="00B32826">
        <w:rPr>
          <w:b/>
          <w:bCs/>
        </w:rPr>
        <w:t>promlčecí lhůtu</w:t>
      </w:r>
      <w:r w:rsidR="002F198F">
        <w:t xml:space="preserve">, než jakou stanoví zákon. </w:t>
      </w:r>
      <w:r w:rsidR="00B32826">
        <w:t xml:space="preserve">Sjednaná promlčecí lhůta nesmí být kratší než jeden rok ani delší než patnáct let. </w:t>
      </w:r>
      <w:r w:rsidR="005D74AC" w:rsidRPr="004B01DB">
        <w:rPr>
          <w:b/>
          <w:bCs/>
        </w:rPr>
        <w:t>Ke zkrácení nebo prodloužení promlčecí lhůty v neprospěch slabší strany se nepřihlíží.</w:t>
      </w:r>
      <w:r w:rsidR="005D74AC">
        <w:t xml:space="preserve"> </w:t>
      </w:r>
      <w:r w:rsidR="004B01DB">
        <w:t xml:space="preserve">Zakázané je rovněž zkrácení </w:t>
      </w:r>
      <w:r w:rsidR="0073422A">
        <w:t xml:space="preserve">(nikoliv prodloužení) </w:t>
      </w:r>
      <w:r w:rsidR="004B01DB">
        <w:t xml:space="preserve">promlčecí lhůty, jde-li </w:t>
      </w:r>
      <w:r w:rsidR="0015297B">
        <w:t>o </w:t>
      </w:r>
      <w:r w:rsidR="004B01DB">
        <w:t>právo na</w:t>
      </w:r>
      <w:r w:rsidR="00D50255">
        <w:t xml:space="preserve"> </w:t>
      </w:r>
      <w:r w:rsidR="004B01DB">
        <w:t xml:space="preserve">plnění vyplývající z újmy na svobodě, životě nebo zdraví nebo </w:t>
      </w:r>
      <w:r w:rsidR="0015297B">
        <w:t>o </w:t>
      </w:r>
      <w:r w:rsidR="004B01DB">
        <w:t>právo vzniklé z úmyslného porušení povinnosti.</w:t>
      </w:r>
    </w:p>
    <w:p w14:paraId="2B5E86F7" w14:textId="0BA6C963" w:rsidR="00F475B6" w:rsidRPr="00317C31" w:rsidRDefault="00E2582F" w:rsidP="00D76421">
      <w:pPr>
        <w:rPr>
          <w:i/>
          <w:iCs/>
        </w:rPr>
      </w:pPr>
      <w:r w:rsidRPr="00317C31">
        <w:rPr>
          <w:i/>
          <w:iCs/>
        </w:rPr>
        <w:lastRenderedPageBreak/>
        <w:t xml:space="preserve">Úkol: </w:t>
      </w:r>
      <w:r w:rsidR="00F42C50" w:rsidRPr="00317C31">
        <w:rPr>
          <w:i/>
          <w:iCs/>
        </w:rPr>
        <w:t xml:space="preserve">Autonomii vůle v oblasti ujednání odchylujících se od zákonem stanovené délky promlčecí lhůty omezuje občanský zákoník </w:t>
      </w:r>
      <w:r w:rsidR="002B3873" w:rsidRPr="00317C31">
        <w:rPr>
          <w:i/>
          <w:iCs/>
        </w:rPr>
        <w:t xml:space="preserve">na různých místech. Seznamte se </w:t>
      </w:r>
      <w:r w:rsidR="0015297B" w:rsidRPr="00317C31">
        <w:rPr>
          <w:i/>
          <w:iCs/>
        </w:rPr>
        <w:t>s</w:t>
      </w:r>
      <w:r w:rsidR="0015297B">
        <w:rPr>
          <w:i/>
          <w:iCs/>
        </w:rPr>
        <w:t> </w:t>
      </w:r>
      <w:r w:rsidR="002B3873" w:rsidRPr="00317C31">
        <w:rPr>
          <w:i/>
          <w:iCs/>
        </w:rPr>
        <w:t xml:space="preserve">§ 2540 odst. 2, § 2542 odst. 4 </w:t>
      </w:r>
      <w:r w:rsidR="00D50255">
        <w:rPr>
          <w:i/>
          <w:iCs/>
        </w:rPr>
        <w:t>a </w:t>
      </w:r>
      <w:r w:rsidR="00ED28E7" w:rsidRPr="00317C31">
        <w:rPr>
          <w:i/>
          <w:iCs/>
        </w:rPr>
        <w:t>§ 2771.</w:t>
      </w:r>
    </w:p>
    <w:p w14:paraId="381C7A5B" w14:textId="7E73BE48" w:rsidR="00317C31" w:rsidRDefault="008707EA" w:rsidP="00D76421">
      <w:r>
        <w:t xml:space="preserve">Speciální případy délky promlčecí lhůty upravuje občanský zákoník </w:t>
      </w:r>
      <w:r w:rsidR="0015297B">
        <w:t>v </w:t>
      </w:r>
      <w:r>
        <w:t>§ 631 až § 644.</w:t>
      </w:r>
    </w:p>
    <w:p w14:paraId="77309F7D" w14:textId="405EF3C3" w:rsidR="008707EA" w:rsidRDefault="00816C4A" w:rsidP="00D76421">
      <w:r>
        <w:t xml:space="preserve">Zvláštní úpravu </w:t>
      </w:r>
      <w:r w:rsidRPr="008373AD">
        <w:rPr>
          <w:b/>
          <w:bCs/>
        </w:rPr>
        <w:t>promlčení práv zapsaných do veřejných seznamů</w:t>
      </w:r>
      <w:r>
        <w:t xml:space="preserve"> </w:t>
      </w:r>
      <w:r w:rsidR="008373AD">
        <w:t xml:space="preserve">nalezneme </w:t>
      </w:r>
      <w:r w:rsidR="0015297B">
        <w:t>v </w:t>
      </w:r>
      <w:r w:rsidR="008373AD">
        <w:t xml:space="preserve">§ 631 </w:t>
      </w:r>
      <w:r w:rsidR="0015297B">
        <w:t>a </w:t>
      </w:r>
      <w:r w:rsidR="008373AD">
        <w:t xml:space="preserve">§ 632 OZ. </w:t>
      </w:r>
    </w:p>
    <w:p w14:paraId="3036B312" w14:textId="27AB1266" w:rsidR="00FE3774" w:rsidRDefault="00FE3774" w:rsidP="00D76421">
      <w:r>
        <w:t xml:space="preserve">Věcná břemena dělíme na služebnosti </w:t>
      </w:r>
      <w:r w:rsidR="0015297B">
        <w:t>a </w:t>
      </w:r>
      <w:r>
        <w:t xml:space="preserve">reálná břemena. </w:t>
      </w:r>
      <w:r w:rsidR="00107B2F">
        <w:t>Podle u</w:t>
      </w:r>
      <w:r>
        <w:t xml:space="preserve">stanovení § </w:t>
      </w:r>
      <w:r w:rsidR="00107B2F">
        <w:t>633 OZ b</w:t>
      </w:r>
      <w:r w:rsidR="00107B2F" w:rsidRPr="00107B2F">
        <w:t xml:space="preserve">rání-li osoba zavázaná </w:t>
      </w:r>
      <w:r w:rsidR="0015297B" w:rsidRPr="00107B2F">
        <w:t>z</w:t>
      </w:r>
      <w:r w:rsidR="0015297B">
        <w:t> </w:t>
      </w:r>
      <w:r w:rsidR="00107B2F" w:rsidRPr="00107B2F">
        <w:t xml:space="preserve">věcného břemene výkonu práva, promlčí se </w:t>
      </w:r>
      <w:r w:rsidR="00107B2F" w:rsidRPr="00107B2F">
        <w:rPr>
          <w:b/>
          <w:bCs/>
        </w:rPr>
        <w:t>věcné břemeno</w:t>
      </w:r>
      <w:r w:rsidR="00107B2F" w:rsidRPr="00107B2F">
        <w:t>, pokud oprávněná osoba neuplatní své právo do tří let.</w:t>
      </w:r>
      <w:r w:rsidR="00107B2F">
        <w:t xml:space="preserve"> </w:t>
      </w:r>
      <w:r w:rsidR="00CE3C08" w:rsidRPr="00CE3C08">
        <w:rPr>
          <w:b/>
          <w:bCs/>
        </w:rPr>
        <w:t xml:space="preserve">Právo na jednotlivé plnění </w:t>
      </w:r>
      <w:r w:rsidR="0015297B" w:rsidRPr="00CE3C08">
        <w:rPr>
          <w:b/>
          <w:bCs/>
        </w:rPr>
        <w:t>z</w:t>
      </w:r>
      <w:r w:rsidR="0015297B">
        <w:rPr>
          <w:b/>
          <w:bCs/>
        </w:rPr>
        <w:t> </w:t>
      </w:r>
      <w:r w:rsidR="00CE3C08" w:rsidRPr="00CE3C08">
        <w:rPr>
          <w:b/>
          <w:bCs/>
        </w:rPr>
        <w:t>reálného břemene</w:t>
      </w:r>
      <w:r w:rsidR="00CE3C08" w:rsidRPr="00CE3C08">
        <w:t xml:space="preserve"> se promlčuje jako pohledávka.</w:t>
      </w:r>
    </w:p>
    <w:p w14:paraId="460B587F" w14:textId="48893EB4" w:rsidR="00CE3C08" w:rsidRDefault="002523D6" w:rsidP="00D76421">
      <w:r>
        <w:t xml:space="preserve">Právo na pojistné plnění </w:t>
      </w:r>
      <w:r w:rsidR="00683F9A" w:rsidRPr="00683F9A">
        <w:rPr>
          <w:b/>
          <w:bCs/>
        </w:rPr>
        <w:t>z životního pojištění</w:t>
      </w:r>
      <w:r w:rsidR="00683F9A">
        <w:t xml:space="preserve"> se podle § 635 odst. 1 OZ promlčí </w:t>
      </w:r>
      <w:r w:rsidR="00683F9A" w:rsidRPr="00683F9A">
        <w:rPr>
          <w:b/>
          <w:bCs/>
        </w:rPr>
        <w:t xml:space="preserve">za </w:t>
      </w:r>
      <w:r w:rsidR="00683F9A">
        <w:rPr>
          <w:b/>
          <w:bCs/>
        </w:rPr>
        <w:t>deset</w:t>
      </w:r>
      <w:r w:rsidR="00683F9A" w:rsidRPr="00683F9A">
        <w:rPr>
          <w:b/>
          <w:bCs/>
        </w:rPr>
        <w:t xml:space="preserve"> let</w:t>
      </w:r>
      <w:r w:rsidR="00683F9A">
        <w:t>.</w:t>
      </w:r>
      <w:r w:rsidR="00866F01">
        <w:t xml:space="preserve"> </w:t>
      </w:r>
      <w:r w:rsidR="00305705">
        <w:t xml:space="preserve">Promlčecí lhůta začíná podle § 626 OZ běžet </w:t>
      </w:r>
      <w:r w:rsidR="007E362A">
        <w:t xml:space="preserve">za </w:t>
      </w:r>
      <w:r w:rsidR="00305705">
        <w:t xml:space="preserve">jeden rok po pojistné události. </w:t>
      </w:r>
      <w:r w:rsidR="00483F54" w:rsidRPr="00483F54">
        <w:rPr>
          <w:b/>
          <w:bCs/>
        </w:rPr>
        <w:t xml:space="preserve">Právo na pojistné plnění </w:t>
      </w:r>
      <w:r w:rsidR="0015297B" w:rsidRPr="00483F54">
        <w:rPr>
          <w:b/>
          <w:bCs/>
        </w:rPr>
        <w:t>z</w:t>
      </w:r>
      <w:r w:rsidR="0015297B">
        <w:rPr>
          <w:b/>
          <w:bCs/>
        </w:rPr>
        <w:t> </w:t>
      </w:r>
      <w:r w:rsidR="00483F54" w:rsidRPr="00483F54">
        <w:rPr>
          <w:b/>
          <w:bCs/>
        </w:rPr>
        <w:t>pojištění odpovědnosti</w:t>
      </w:r>
      <w:r w:rsidR="00483F54" w:rsidRPr="00483F54">
        <w:t xml:space="preserve"> se promlčí </w:t>
      </w:r>
      <w:r w:rsidR="00483F54" w:rsidRPr="00483F54">
        <w:rPr>
          <w:b/>
          <w:bCs/>
        </w:rPr>
        <w:t>nejpozději promlčením práva na náhradu škody nebo újmy</w:t>
      </w:r>
      <w:r w:rsidR="00483F54" w:rsidRPr="00483F54">
        <w:t>, na kterou se pojištění vztahuje</w:t>
      </w:r>
      <w:r w:rsidR="00483F54">
        <w:t xml:space="preserve">. Má se na mysli </w:t>
      </w:r>
      <w:r w:rsidR="001C6223">
        <w:t>uplynutím jak subjektivní, tak objektivní promlčecí lhůty na náhradu škody nebo nemajetkové újmy.</w:t>
      </w:r>
      <w:r w:rsidR="001F1E3B">
        <w:rPr>
          <w:rStyle w:val="Znakapoznpodarou"/>
        </w:rPr>
        <w:footnoteReference w:id="27"/>
      </w:r>
      <w:r w:rsidR="00123D86">
        <w:t xml:space="preserve"> </w:t>
      </w:r>
      <w:r w:rsidR="00866F01">
        <w:t>Ostatní druhy pojištění se promlčují v obecných promlčecích lhůtách.</w:t>
      </w:r>
    </w:p>
    <w:p w14:paraId="51F9F887" w14:textId="1B0A98CA" w:rsidR="009D3E9B" w:rsidRDefault="00A8264B" w:rsidP="00D76421">
      <w:r w:rsidRPr="005C5ECC">
        <w:rPr>
          <w:b/>
          <w:bCs/>
        </w:rPr>
        <w:t xml:space="preserve">Objektivní promlčecí lhůta </w:t>
      </w:r>
      <w:r w:rsidR="0015297B" w:rsidRPr="005C5ECC">
        <w:rPr>
          <w:b/>
          <w:bCs/>
        </w:rPr>
        <w:t>u</w:t>
      </w:r>
      <w:r w:rsidR="0015297B">
        <w:rPr>
          <w:b/>
          <w:bCs/>
        </w:rPr>
        <w:t> </w:t>
      </w:r>
      <w:r w:rsidR="005C5ECC" w:rsidRPr="005C5ECC">
        <w:rPr>
          <w:b/>
          <w:bCs/>
        </w:rPr>
        <w:t>práva na náhradu škody nebo jiné újmy</w:t>
      </w:r>
      <w:r w:rsidR="005C5ECC">
        <w:t xml:space="preserve"> je podle § 636 odst. 1 OZ </w:t>
      </w:r>
      <w:r w:rsidR="005C5ECC" w:rsidRPr="005C5ECC">
        <w:rPr>
          <w:b/>
          <w:bCs/>
        </w:rPr>
        <w:t>desetiletá</w:t>
      </w:r>
      <w:r w:rsidR="005C5ECC">
        <w:t xml:space="preserve"> </w:t>
      </w:r>
      <w:r w:rsidR="0015297B">
        <w:t>a </w:t>
      </w:r>
      <w:r w:rsidR="005C5ECC">
        <w:t xml:space="preserve">běží </w:t>
      </w:r>
      <w:r w:rsidR="005C5ECC" w:rsidRPr="005C5ECC">
        <w:t>ode dne, kdy škoda nebo újma vznikla.</w:t>
      </w:r>
      <w:r w:rsidR="000E4017">
        <w:t xml:space="preserve"> Byla-li škoda nebo újma způsobena </w:t>
      </w:r>
      <w:r w:rsidR="000E4017" w:rsidRPr="00CD5214">
        <w:rPr>
          <w:b/>
          <w:bCs/>
        </w:rPr>
        <w:t>úmyslně</w:t>
      </w:r>
      <w:r w:rsidR="000E4017">
        <w:t xml:space="preserve">, stanoví § 636 odst. 2 OZ promlčecí lhůtu v délce </w:t>
      </w:r>
      <w:r w:rsidR="00CD5214" w:rsidRPr="00CD5214">
        <w:rPr>
          <w:b/>
          <w:bCs/>
        </w:rPr>
        <w:t>patnáct let</w:t>
      </w:r>
      <w:r w:rsidR="00CD5214">
        <w:t xml:space="preserve">. </w:t>
      </w:r>
      <w:r w:rsidR="00CD5214" w:rsidRPr="00CD5214">
        <w:t xml:space="preserve">Pro právo vzniklé </w:t>
      </w:r>
      <w:r w:rsidR="0015297B" w:rsidRPr="00CD5214">
        <w:t>z</w:t>
      </w:r>
      <w:r w:rsidR="0015297B">
        <w:t> </w:t>
      </w:r>
      <w:r w:rsidR="00CD5214" w:rsidRPr="00CD5214">
        <w:t xml:space="preserve">újmy na svobodě, životě nebo na zdraví se </w:t>
      </w:r>
      <w:r w:rsidR="00CD5214">
        <w:t>§ 636 odst.</w:t>
      </w:r>
      <w:r w:rsidR="00CD5214" w:rsidRPr="00CD5214">
        <w:t xml:space="preserve"> 1 </w:t>
      </w:r>
      <w:r w:rsidR="0015297B" w:rsidRPr="00CD5214">
        <w:t>a</w:t>
      </w:r>
      <w:r w:rsidR="0015297B">
        <w:t> </w:t>
      </w:r>
      <w:r w:rsidR="00CD5214" w:rsidRPr="00CD5214">
        <w:t>2</w:t>
      </w:r>
      <w:r w:rsidR="00CD5214">
        <w:t xml:space="preserve"> OZ</w:t>
      </w:r>
      <w:r w:rsidR="00CD5214" w:rsidRPr="00CD5214">
        <w:t xml:space="preserve"> nepoužijí</w:t>
      </w:r>
      <w:r w:rsidR="00EC18E8">
        <w:t>, z čehož vyplývá, že se promlčují</w:t>
      </w:r>
      <w:r w:rsidR="0003567A">
        <w:t xml:space="preserve"> pouze v subjektivní promlčecí lhůtě.</w:t>
      </w:r>
      <w:r w:rsidR="009D3E9B">
        <w:rPr>
          <w:rStyle w:val="Znakapoznpodarou"/>
        </w:rPr>
        <w:footnoteReference w:id="28"/>
      </w:r>
      <w:r w:rsidR="001E205D">
        <w:t xml:space="preserve"> </w:t>
      </w:r>
      <w:r w:rsidR="001C38FD">
        <w:t>V rámci objektivní promlčecí lhůty může běžet tříletá subjektivní lhůta podle § 629 odst. 1 OZ s počátkem určeným podle §</w:t>
      </w:r>
      <w:r w:rsidR="000F02E0">
        <w:t xml:space="preserve"> 620 odst. 1 OZ.</w:t>
      </w:r>
      <w:r w:rsidR="00111872">
        <w:t xml:space="preserve"> V případě újmy na zdraví nezletilého viz § 622 OZ.</w:t>
      </w:r>
    </w:p>
    <w:p w14:paraId="75DD5241" w14:textId="596F562F" w:rsidR="00866F01" w:rsidRDefault="00B679ED" w:rsidP="00D76421">
      <w:r w:rsidRPr="00FD3BB0">
        <w:rPr>
          <w:b/>
          <w:bCs/>
        </w:rPr>
        <w:t>P</w:t>
      </w:r>
      <w:r w:rsidR="00253459">
        <w:rPr>
          <w:b/>
          <w:bCs/>
        </w:rPr>
        <w:t>ro p</w:t>
      </w:r>
      <w:r w:rsidRPr="00FD3BB0">
        <w:rPr>
          <w:b/>
          <w:bCs/>
        </w:rPr>
        <w:t>rávo na náhradu škody způsobené vadou výrobku</w:t>
      </w:r>
      <w:r w:rsidRPr="00B679ED">
        <w:t xml:space="preserve"> podle § 2939 </w:t>
      </w:r>
      <w:r w:rsidR="00FD3BB0">
        <w:t xml:space="preserve">OZ </w:t>
      </w:r>
      <w:r>
        <w:t xml:space="preserve">je </w:t>
      </w:r>
      <w:r w:rsidR="0015297B">
        <w:t>v </w:t>
      </w:r>
      <w:r>
        <w:t xml:space="preserve">§ </w:t>
      </w:r>
      <w:r w:rsidR="00FD3BB0">
        <w:t xml:space="preserve">637 OZ stanovena </w:t>
      </w:r>
      <w:r w:rsidR="00FD3BB0" w:rsidRPr="00FD3BB0">
        <w:rPr>
          <w:b/>
          <w:bCs/>
        </w:rPr>
        <w:t>objektivní desetiletá lhůta</w:t>
      </w:r>
      <w:r w:rsidR="00FD3BB0">
        <w:t>, která běží</w:t>
      </w:r>
      <w:r w:rsidRPr="00B679ED">
        <w:t xml:space="preserve"> ode dne, kdy výrobce uvedl vadný výrobek na trh.</w:t>
      </w:r>
      <w:r w:rsidR="000F02E0">
        <w:t xml:space="preserve"> </w:t>
      </w:r>
      <w:r w:rsidR="0015297B" w:rsidRPr="000F02E0">
        <w:t>V</w:t>
      </w:r>
      <w:r w:rsidR="0015297B">
        <w:t> </w:t>
      </w:r>
      <w:r w:rsidR="000F02E0" w:rsidRPr="000F02E0">
        <w:t xml:space="preserve">rámci objektivní promlčecí lhůty může běžet tříletá subjektivní lhůta podle § 629 odst. 1 OZ </w:t>
      </w:r>
      <w:r w:rsidR="0015297B" w:rsidRPr="000F02E0">
        <w:t>s</w:t>
      </w:r>
      <w:r w:rsidR="0015297B">
        <w:t> </w:t>
      </w:r>
      <w:r w:rsidR="000F02E0" w:rsidRPr="000F02E0">
        <w:t xml:space="preserve">počátkem určeným podle § 620 odst. </w:t>
      </w:r>
      <w:r w:rsidR="000F02E0">
        <w:t>2</w:t>
      </w:r>
      <w:r w:rsidR="000F02E0" w:rsidRPr="000F02E0">
        <w:t xml:space="preserve"> OZ.</w:t>
      </w:r>
    </w:p>
    <w:p w14:paraId="5DC4B872" w14:textId="4CEBC4D6" w:rsidR="00E715D7" w:rsidRDefault="003B0902" w:rsidP="00D76421">
      <w:r w:rsidRPr="00F80590">
        <w:rPr>
          <w:b/>
          <w:bCs/>
        </w:rPr>
        <w:t>Právo na vydání bezdůvodného obohacení</w:t>
      </w:r>
      <w:r>
        <w:t xml:space="preserve"> se promlčuje v </w:t>
      </w:r>
      <w:r w:rsidRPr="00F80590">
        <w:rPr>
          <w:b/>
          <w:bCs/>
        </w:rPr>
        <w:t>objektivní desetileté</w:t>
      </w:r>
      <w:r>
        <w:t xml:space="preserve"> promlčecí lhůtě. Bylo-li bezdůvodné obohacení </w:t>
      </w:r>
      <w:r w:rsidR="00F80590">
        <w:t xml:space="preserve">nabyto </w:t>
      </w:r>
      <w:r w:rsidR="00F80590" w:rsidRPr="00F80590">
        <w:rPr>
          <w:b/>
          <w:bCs/>
        </w:rPr>
        <w:t>úmyslně</w:t>
      </w:r>
      <w:r w:rsidR="00F80590">
        <w:t xml:space="preserve">, je promlčecí lhůta </w:t>
      </w:r>
      <w:r w:rsidR="00F80590" w:rsidRPr="00F80590">
        <w:rPr>
          <w:b/>
          <w:bCs/>
        </w:rPr>
        <w:t>patnáctiletá</w:t>
      </w:r>
      <w:r w:rsidR="00F80590">
        <w:t>. V obou případech běží ode dne, kdy k bezdůvodnému obohacení došlo.</w:t>
      </w:r>
      <w:r w:rsidR="000F02E0">
        <w:t xml:space="preserve"> </w:t>
      </w:r>
      <w:r w:rsidR="0015297B" w:rsidRPr="000F02E0">
        <w:t>V</w:t>
      </w:r>
      <w:r w:rsidR="0015297B">
        <w:t> </w:t>
      </w:r>
      <w:r w:rsidR="000F02E0" w:rsidRPr="000F02E0">
        <w:t xml:space="preserve">rámci objektivní promlčecí lhůty může běžet tříletá subjektivní lhůta podle § 629 odst. 1 OZ </w:t>
      </w:r>
      <w:r w:rsidR="0015297B" w:rsidRPr="000F02E0">
        <w:t>s</w:t>
      </w:r>
      <w:r w:rsidR="0015297B">
        <w:t> </w:t>
      </w:r>
      <w:r w:rsidR="000F02E0" w:rsidRPr="000F02E0">
        <w:t>počátkem určeným podle § 621 OZ.</w:t>
      </w:r>
    </w:p>
    <w:p w14:paraId="61BE5323" w14:textId="1446A5DB" w:rsidR="007B4074" w:rsidRDefault="00834841" w:rsidP="00D76421">
      <w:r>
        <w:t xml:space="preserve">Uznání dluhu je </w:t>
      </w:r>
      <w:r w:rsidR="00721A0F">
        <w:t>utvrzovací</w:t>
      </w:r>
      <w:r>
        <w:t xml:space="preserve"> institut závazkového práva upravený </w:t>
      </w:r>
      <w:r w:rsidR="0015297B">
        <w:t>v </w:t>
      </w:r>
      <w:r>
        <w:t xml:space="preserve">§ </w:t>
      </w:r>
      <w:r w:rsidR="00721A0F">
        <w:t>2053</w:t>
      </w:r>
      <w:r w:rsidR="009E3552">
        <w:t xml:space="preserve"> </w:t>
      </w:r>
      <w:r w:rsidR="00721A0F">
        <w:t>a § 2054 OZ.</w:t>
      </w:r>
      <w:r w:rsidR="004D359C">
        <w:t xml:space="preserve"> </w:t>
      </w:r>
      <w:r w:rsidR="004D359C" w:rsidRPr="004D359C">
        <w:rPr>
          <w:b/>
          <w:bCs/>
        </w:rPr>
        <w:t>Uznaný dluh</w:t>
      </w:r>
      <w:r w:rsidR="004D359C">
        <w:t xml:space="preserve"> se promlčí </w:t>
      </w:r>
      <w:r w:rsidR="004D359C" w:rsidRPr="004D359C">
        <w:t xml:space="preserve">za </w:t>
      </w:r>
      <w:r w:rsidR="004D359C" w:rsidRPr="004D359C">
        <w:rPr>
          <w:b/>
          <w:bCs/>
        </w:rPr>
        <w:t>deset let</w:t>
      </w:r>
      <w:r w:rsidR="004D359C" w:rsidRPr="004D359C">
        <w:t xml:space="preserve"> ode dne, kdy </w:t>
      </w:r>
      <w:r w:rsidR="0015297B" w:rsidRPr="004D359C">
        <w:t>k</w:t>
      </w:r>
      <w:r w:rsidR="0015297B">
        <w:t> </w:t>
      </w:r>
      <w:r w:rsidR="004D359C" w:rsidRPr="004D359C">
        <w:t>uznání dluhu došlo.</w:t>
      </w:r>
      <w:r w:rsidR="004D359C">
        <w:t xml:space="preserve"> Určil-li dlužník </w:t>
      </w:r>
      <w:r w:rsidR="0015297B" w:rsidRPr="006B3C56">
        <w:t>v</w:t>
      </w:r>
      <w:r w:rsidR="0015297B">
        <w:t> </w:t>
      </w:r>
      <w:r w:rsidR="006B3C56" w:rsidRPr="006B3C56">
        <w:t xml:space="preserve">uznání </w:t>
      </w:r>
      <w:r w:rsidR="0015297B" w:rsidRPr="006B3C56">
        <w:t>i</w:t>
      </w:r>
      <w:r w:rsidR="0015297B">
        <w:t> </w:t>
      </w:r>
      <w:r w:rsidR="006B3C56" w:rsidRPr="006B3C56">
        <w:t>dobu, do které splní, promlčí se právo za deset let od posledního dne určené doby</w:t>
      </w:r>
      <w:r w:rsidR="006B3C56">
        <w:t xml:space="preserve"> (§ 639 OZ)</w:t>
      </w:r>
      <w:r w:rsidR="006B3C56" w:rsidRPr="006B3C56">
        <w:t>.</w:t>
      </w:r>
      <w:r w:rsidR="006B3C56">
        <w:t xml:space="preserve"> </w:t>
      </w:r>
    </w:p>
    <w:p w14:paraId="78FED85E" w14:textId="54779CED" w:rsidR="00E5745F" w:rsidRDefault="0090706D" w:rsidP="00D76421">
      <w:r w:rsidRPr="0090706D">
        <w:rPr>
          <w:b/>
          <w:bCs/>
        </w:rPr>
        <w:t>Právo přiznané rozhodnutím orgánu veřejné moci</w:t>
      </w:r>
      <w:r w:rsidRPr="0090706D">
        <w:t xml:space="preserve"> se promlčí za </w:t>
      </w:r>
      <w:r w:rsidRPr="0090706D">
        <w:rPr>
          <w:b/>
          <w:bCs/>
        </w:rPr>
        <w:t>deset let</w:t>
      </w:r>
      <w:r w:rsidRPr="0090706D">
        <w:t xml:space="preserve"> ode dne, kdy mělo být podle rozhodnutí plněno.</w:t>
      </w:r>
      <w:r>
        <w:t xml:space="preserve"> Vzhledem </w:t>
      </w:r>
      <w:r w:rsidR="0015297B">
        <w:t>k </w:t>
      </w:r>
      <w:r>
        <w:t>§ 3017 OZ platí totéž pro rozhodčí nález.</w:t>
      </w:r>
    </w:p>
    <w:p w14:paraId="4B940381" w14:textId="1DEE1E6F" w:rsidR="0090706D" w:rsidRPr="00D76421" w:rsidRDefault="00D0285F" w:rsidP="00D76421">
      <w:r>
        <w:lastRenderedPageBreak/>
        <w:t xml:space="preserve">Promlčení </w:t>
      </w:r>
      <w:r w:rsidR="0037453F">
        <w:t xml:space="preserve">dílčích plnění uznaných nebo přiznaných orgánem veřejné moci upravuje § 641 OZ, </w:t>
      </w:r>
      <w:r w:rsidR="006215C8">
        <w:t xml:space="preserve">úroků </w:t>
      </w:r>
      <w:r w:rsidR="0015297B">
        <w:t>a </w:t>
      </w:r>
      <w:r w:rsidR="006215C8">
        <w:t>opětujících se plnění § 642 OZ, převzatých povinností § 643 OZ</w:t>
      </w:r>
      <w:r w:rsidR="00FA00BF">
        <w:t xml:space="preserve"> </w:t>
      </w:r>
      <w:r w:rsidR="0015297B">
        <w:t>a </w:t>
      </w:r>
      <w:r w:rsidR="00FA00BF">
        <w:t>regresu ze zástavního práva § 644 OZ.</w:t>
      </w:r>
    </w:p>
    <w:p w14:paraId="56D65798" w14:textId="18DDCD43" w:rsidR="000E325E" w:rsidRDefault="000E325E" w:rsidP="000E325E">
      <w:pPr>
        <w:pStyle w:val="Nadpis2"/>
      </w:pPr>
      <w:r>
        <w:t>Běh promlčecí lhůty</w:t>
      </w:r>
    </w:p>
    <w:p w14:paraId="742F5165" w14:textId="788D2AAA" w:rsidR="00E632E9" w:rsidRDefault="00BB0866" w:rsidP="009E2236">
      <w:r>
        <w:t xml:space="preserve">V rámci běhu promlčecí lhůty rozlišujeme její stavění </w:t>
      </w:r>
      <w:r w:rsidR="0015297B">
        <w:t>a </w:t>
      </w:r>
      <w:r w:rsidR="008D71E2">
        <w:t xml:space="preserve">přerušení. </w:t>
      </w:r>
      <w:r w:rsidR="008D71E2" w:rsidRPr="00C743CE">
        <w:rPr>
          <w:b/>
          <w:bCs/>
        </w:rPr>
        <w:t>Stavění promlčecí lhůty</w:t>
      </w:r>
      <w:r w:rsidR="008D71E2">
        <w:t xml:space="preserve"> znamená, že </w:t>
      </w:r>
      <w:r w:rsidR="00C743CE">
        <w:t xml:space="preserve">lhůta neběží po dobu existence překážky. </w:t>
      </w:r>
      <w:r w:rsidR="00E632E9">
        <w:t>Promlčecí lhůta neběží:</w:t>
      </w:r>
    </w:p>
    <w:p w14:paraId="54B44D48" w14:textId="7F8B2C6B" w:rsidR="00E632E9" w:rsidRDefault="00E632E9" w:rsidP="00E632E9">
      <w:pPr>
        <w:pStyle w:val="Odstavecseseznamem"/>
        <w:numPr>
          <w:ilvl w:val="0"/>
          <w:numId w:val="6"/>
        </w:numPr>
      </w:pPr>
      <w:r>
        <w:t>pokud</w:t>
      </w:r>
      <w:r w:rsidR="005B29D1">
        <w:t xml:space="preserve"> se vyžaduje, aby osoba měla </w:t>
      </w:r>
      <w:r w:rsidR="005B29D1" w:rsidRPr="00E632E9">
        <w:rPr>
          <w:b/>
          <w:bCs/>
        </w:rPr>
        <w:t>zákonného zástupce nebo opatrovníka</w:t>
      </w:r>
      <w:r w:rsidR="005B29D1">
        <w:t xml:space="preserve"> (</w:t>
      </w:r>
      <w:r w:rsidR="00FC54FE">
        <w:t>§ 645 OZ)</w:t>
      </w:r>
      <w:r w:rsidR="00BF3D13">
        <w:t>; toto ustanovení navazuje na § 622 OZ</w:t>
      </w:r>
      <w:r w:rsidR="001C6DF8">
        <w:t>,</w:t>
      </w:r>
    </w:p>
    <w:p w14:paraId="193405AD" w14:textId="3FF717AF" w:rsidR="0001304F" w:rsidRPr="004F2352" w:rsidRDefault="0001304F" w:rsidP="0001304F">
      <w:pPr>
        <w:rPr>
          <w:i/>
          <w:iCs/>
        </w:rPr>
      </w:pPr>
      <w:r w:rsidRPr="004F2352">
        <w:rPr>
          <w:i/>
          <w:iCs/>
        </w:rPr>
        <w:t xml:space="preserve">Příklad: </w:t>
      </w:r>
      <w:r w:rsidR="00ED15FB" w:rsidRPr="004F2352">
        <w:rPr>
          <w:i/>
          <w:iCs/>
        </w:rPr>
        <w:t xml:space="preserve">paní Žílová po operaci srdce utrpěla infarkt </w:t>
      </w:r>
      <w:r w:rsidR="0015297B" w:rsidRPr="004F2352">
        <w:rPr>
          <w:i/>
          <w:iCs/>
        </w:rPr>
        <w:t>a</w:t>
      </w:r>
      <w:r w:rsidR="0015297B">
        <w:rPr>
          <w:i/>
          <w:iCs/>
        </w:rPr>
        <w:t> </w:t>
      </w:r>
      <w:r w:rsidR="00ED15FB" w:rsidRPr="004F2352">
        <w:rPr>
          <w:i/>
          <w:iCs/>
        </w:rPr>
        <w:t>upadla do kómatu. Následně</w:t>
      </w:r>
      <w:r w:rsidR="00483385" w:rsidRPr="004F2352">
        <w:rPr>
          <w:i/>
          <w:iCs/>
        </w:rPr>
        <w:t xml:space="preserve"> byla soudem v maximální možné míře omezena ve svéprávnosti </w:t>
      </w:r>
      <w:r w:rsidR="0015297B" w:rsidRPr="004F2352">
        <w:rPr>
          <w:i/>
          <w:iCs/>
        </w:rPr>
        <w:t>a</w:t>
      </w:r>
      <w:r w:rsidR="0015297B">
        <w:rPr>
          <w:i/>
          <w:iCs/>
        </w:rPr>
        <w:t> </w:t>
      </w:r>
      <w:r w:rsidR="00483385" w:rsidRPr="004F2352">
        <w:rPr>
          <w:i/>
          <w:iCs/>
        </w:rPr>
        <w:t xml:space="preserve">opatrovníkem jí byl ustanoven její manžel. </w:t>
      </w:r>
      <w:r w:rsidR="004F2352" w:rsidRPr="004F2352">
        <w:rPr>
          <w:i/>
          <w:iCs/>
        </w:rPr>
        <w:t xml:space="preserve">Do okamžiku právní moci rozhodnutí </w:t>
      </w:r>
      <w:r w:rsidR="0015297B" w:rsidRPr="004F2352">
        <w:rPr>
          <w:i/>
          <w:iCs/>
        </w:rPr>
        <w:t>o</w:t>
      </w:r>
      <w:r w:rsidR="0015297B">
        <w:rPr>
          <w:i/>
          <w:iCs/>
        </w:rPr>
        <w:t> </w:t>
      </w:r>
      <w:r w:rsidR="004F2352" w:rsidRPr="004F2352">
        <w:rPr>
          <w:i/>
          <w:iCs/>
        </w:rPr>
        <w:t>ustanovení opatrovníka neběžely promlčecí lhůty.</w:t>
      </w:r>
    </w:p>
    <w:p w14:paraId="10184BF3" w14:textId="3A7AC979" w:rsidR="009E2236" w:rsidRDefault="00FC54FE" w:rsidP="00E632E9">
      <w:pPr>
        <w:pStyle w:val="Odstavecseseznamem"/>
        <w:numPr>
          <w:ilvl w:val="0"/>
          <w:numId w:val="6"/>
        </w:numPr>
      </w:pPr>
      <w:r w:rsidRPr="00E632E9">
        <w:rPr>
          <w:b/>
          <w:bCs/>
        </w:rPr>
        <w:t>mezi manželi</w:t>
      </w:r>
      <w:r>
        <w:t xml:space="preserve"> po dobu trvání manželství</w:t>
      </w:r>
      <w:r w:rsidR="00211585">
        <w:t xml:space="preserve">, </w:t>
      </w:r>
      <w:r w:rsidR="00AC1074">
        <w:t xml:space="preserve">mezi </w:t>
      </w:r>
      <w:r w:rsidR="00AC1074" w:rsidRPr="00F27249">
        <w:rPr>
          <w:b/>
          <w:bCs/>
        </w:rPr>
        <w:t>osobami žijícími ve společné domácnosti</w:t>
      </w:r>
      <w:r w:rsidR="00AC1074">
        <w:t xml:space="preserve">, mezi </w:t>
      </w:r>
      <w:r w:rsidR="00AC1074" w:rsidRPr="00F27249">
        <w:rPr>
          <w:b/>
          <w:bCs/>
        </w:rPr>
        <w:t xml:space="preserve">zastoupeným </w:t>
      </w:r>
      <w:r w:rsidR="0015297B" w:rsidRPr="00F27249">
        <w:rPr>
          <w:b/>
          <w:bCs/>
        </w:rPr>
        <w:t>a</w:t>
      </w:r>
      <w:r w:rsidR="0015297B">
        <w:rPr>
          <w:b/>
          <w:bCs/>
        </w:rPr>
        <w:t> </w:t>
      </w:r>
      <w:r w:rsidR="00AC1074" w:rsidRPr="00F27249">
        <w:rPr>
          <w:b/>
          <w:bCs/>
        </w:rPr>
        <w:t>zákonným zástupcem</w:t>
      </w:r>
      <w:r w:rsidR="00AC1074">
        <w:t xml:space="preserve">, </w:t>
      </w:r>
      <w:proofErr w:type="spellStart"/>
      <w:r w:rsidR="00AC1074" w:rsidRPr="00F27249">
        <w:rPr>
          <w:b/>
          <w:bCs/>
        </w:rPr>
        <w:t>opatrovancem</w:t>
      </w:r>
      <w:proofErr w:type="spellEnd"/>
      <w:r w:rsidR="00AC1074" w:rsidRPr="00F27249">
        <w:rPr>
          <w:b/>
          <w:bCs/>
        </w:rPr>
        <w:t xml:space="preserve"> </w:t>
      </w:r>
      <w:r w:rsidR="0015297B" w:rsidRPr="00F27249">
        <w:rPr>
          <w:b/>
          <w:bCs/>
        </w:rPr>
        <w:t>a</w:t>
      </w:r>
      <w:r w:rsidR="0015297B">
        <w:rPr>
          <w:b/>
          <w:bCs/>
        </w:rPr>
        <w:t> </w:t>
      </w:r>
      <w:r w:rsidR="00AC1074" w:rsidRPr="00F27249">
        <w:rPr>
          <w:b/>
          <w:bCs/>
        </w:rPr>
        <w:t>opatrovníkem</w:t>
      </w:r>
      <w:r w:rsidR="00AC1074">
        <w:t xml:space="preserve"> nebo mezi </w:t>
      </w:r>
      <w:r w:rsidR="00AC1074" w:rsidRPr="00F27249">
        <w:rPr>
          <w:b/>
          <w:bCs/>
        </w:rPr>
        <w:t xml:space="preserve">poručencem </w:t>
      </w:r>
      <w:r w:rsidR="0015297B" w:rsidRPr="00F27249">
        <w:rPr>
          <w:b/>
          <w:bCs/>
        </w:rPr>
        <w:t>a</w:t>
      </w:r>
      <w:r w:rsidR="0015297B">
        <w:rPr>
          <w:b/>
          <w:bCs/>
        </w:rPr>
        <w:t> </w:t>
      </w:r>
      <w:r w:rsidR="00AC1074" w:rsidRPr="00F27249">
        <w:rPr>
          <w:b/>
          <w:bCs/>
        </w:rPr>
        <w:t>poručníkem</w:t>
      </w:r>
      <w:r>
        <w:t xml:space="preserve"> (§ 646 OZ)</w:t>
      </w:r>
      <w:r w:rsidR="001C6DF8">
        <w:t>,</w:t>
      </w:r>
      <w:r w:rsidR="00ED4BD4">
        <w:t xml:space="preserve"> ustanovení se podle §</w:t>
      </w:r>
      <w:r w:rsidR="00464D4C">
        <w:t xml:space="preserve"> 3020 OZ vztahuje </w:t>
      </w:r>
      <w:r w:rsidR="0015297B">
        <w:t>i </w:t>
      </w:r>
      <w:r w:rsidR="00464D4C" w:rsidRPr="00464D4C">
        <w:rPr>
          <w:b/>
          <w:bCs/>
        </w:rPr>
        <w:t>na registrované partnery</w:t>
      </w:r>
      <w:r w:rsidR="00464D4C">
        <w:t>,</w:t>
      </w:r>
    </w:p>
    <w:p w14:paraId="0CBE92CF" w14:textId="60D2184F" w:rsidR="009535B1" w:rsidRPr="00514524" w:rsidRDefault="009535B1" w:rsidP="009535B1">
      <w:pPr>
        <w:rPr>
          <w:i/>
          <w:iCs/>
        </w:rPr>
      </w:pPr>
      <w:r w:rsidRPr="00514524">
        <w:rPr>
          <w:i/>
          <w:iCs/>
        </w:rPr>
        <w:t xml:space="preserve">Příklad: </w:t>
      </w:r>
      <w:r w:rsidR="00C44E5F" w:rsidRPr="00514524">
        <w:rPr>
          <w:i/>
          <w:iCs/>
        </w:rPr>
        <w:t xml:space="preserve">Pan </w:t>
      </w:r>
      <w:proofErr w:type="spellStart"/>
      <w:r w:rsidR="00C44E5F" w:rsidRPr="00514524">
        <w:rPr>
          <w:i/>
          <w:iCs/>
        </w:rPr>
        <w:t>Hraběta</w:t>
      </w:r>
      <w:proofErr w:type="spellEnd"/>
      <w:r w:rsidR="00C44E5F" w:rsidRPr="00514524">
        <w:rPr>
          <w:i/>
          <w:iCs/>
        </w:rPr>
        <w:t xml:space="preserve"> měl paní </w:t>
      </w:r>
      <w:r w:rsidR="00D53E0E" w:rsidRPr="00514524">
        <w:rPr>
          <w:i/>
          <w:iCs/>
        </w:rPr>
        <w:t>Bruknerové vrátit zápůjčku ve výši</w:t>
      </w:r>
      <w:r w:rsidR="00E04F52" w:rsidRPr="00514524">
        <w:rPr>
          <w:i/>
          <w:iCs/>
        </w:rPr>
        <w:t xml:space="preserve"> 100 000 Kč</w:t>
      </w:r>
      <w:r w:rsidR="00E065E3">
        <w:rPr>
          <w:i/>
          <w:iCs/>
        </w:rPr>
        <w:t xml:space="preserve"> se splatností ke dni 1</w:t>
      </w:r>
      <w:r w:rsidR="00A60AB7">
        <w:rPr>
          <w:i/>
          <w:iCs/>
        </w:rPr>
        <w:t>. 4. 2015</w:t>
      </w:r>
      <w:r w:rsidR="00E04F52" w:rsidRPr="00514524">
        <w:rPr>
          <w:i/>
          <w:iCs/>
        </w:rPr>
        <w:t>. Dne 1. 3. 20</w:t>
      </w:r>
      <w:r w:rsidR="00954546" w:rsidRPr="00514524">
        <w:rPr>
          <w:i/>
          <w:iCs/>
        </w:rPr>
        <w:t>18</w:t>
      </w:r>
      <w:r w:rsidR="00E04F52" w:rsidRPr="00514524">
        <w:rPr>
          <w:i/>
          <w:iCs/>
        </w:rPr>
        <w:t xml:space="preserve"> uzavřeli pan </w:t>
      </w:r>
      <w:proofErr w:type="spellStart"/>
      <w:r w:rsidR="00E04F52" w:rsidRPr="00514524">
        <w:rPr>
          <w:i/>
          <w:iCs/>
        </w:rPr>
        <w:t>Hraběta</w:t>
      </w:r>
      <w:proofErr w:type="spellEnd"/>
      <w:r w:rsidR="00E04F52" w:rsidRPr="00514524">
        <w:rPr>
          <w:i/>
          <w:iCs/>
        </w:rPr>
        <w:t xml:space="preserve"> </w:t>
      </w:r>
      <w:r w:rsidR="0015297B" w:rsidRPr="00514524">
        <w:rPr>
          <w:i/>
          <w:iCs/>
        </w:rPr>
        <w:t>a</w:t>
      </w:r>
      <w:r w:rsidR="0015297B">
        <w:rPr>
          <w:i/>
          <w:iCs/>
        </w:rPr>
        <w:t> </w:t>
      </w:r>
      <w:r w:rsidR="00E04F52" w:rsidRPr="00514524">
        <w:rPr>
          <w:i/>
          <w:iCs/>
        </w:rPr>
        <w:t xml:space="preserve">paní Bruknerová manželství, které bylo </w:t>
      </w:r>
      <w:r w:rsidR="004269AF" w:rsidRPr="00514524">
        <w:rPr>
          <w:i/>
          <w:iCs/>
        </w:rPr>
        <w:t>dne 1</w:t>
      </w:r>
      <w:r w:rsidR="00A60AB7">
        <w:rPr>
          <w:i/>
          <w:iCs/>
        </w:rPr>
        <w:t>0</w:t>
      </w:r>
      <w:r w:rsidR="004269AF" w:rsidRPr="00514524">
        <w:rPr>
          <w:i/>
          <w:iCs/>
        </w:rPr>
        <w:t xml:space="preserve">. 4. 2021 rozvedeno. Po dobu trvání manželství promlčecí lhůta neběžela </w:t>
      </w:r>
      <w:r w:rsidR="0015297B" w:rsidRPr="00514524">
        <w:rPr>
          <w:i/>
          <w:iCs/>
        </w:rPr>
        <w:t>a</w:t>
      </w:r>
      <w:r w:rsidR="0015297B">
        <w:rPr>
          <w:i/>
          <w:iCs/>
        </w:rPr>
        <w:t> </w:t>
      </w:r>
      <w:r w:rsidR="004269AF" w:rsidRPr="00514524">
        <w:rPr>
          <w:i/>
          <w:iCs/>
        </w:rPr>
        <w:t xml:space="preserve">podle § 652 </w:t>
      </w:r>
      <w:r w:rsidR="00A60AB7">
        <w:rPr>
          <w:i/>
          <w:iCs/>
        </w:rPr>
        <w:t xml:space="preserve">OZ </w:t>
      </w:r>
      <w:r w:rsidR="004269AF" w:rsidRPr="00514524">
        <w:rPr>
          <w:i/>
          <w:iCs/>
        </w:rPr>
        <w:t>skončí paní Brukn</w:t>
      </w:r>
      <w:r w:rsidR="00514524" w:rsidRPr="00514524">
        <w:rPr>
          <w:i/>
          <w:iCs/>
        </w:rPr>
        <w:t xml:space="preserve">erové za šest měsíců od právní moci rozhodnutí </w:t>
      </w:r>
      <w:r w:rsidR="0015297B" w:rsidRPr="00514524">
        <w:rPr>
          <w:i/>
          <w:iCs/>
        </w:rPr>
        <w:t>o</w:t>
      </w:r>
      <w:r w:rsidR="0015297B">
        <w:rPr>
          <w:i/>
          <w:iCs/>
        </w:rPr>
        <w:t> </w:t>
      </w:r>
      <w:r w:rsidR="00514524" w:rsidRPr="00514524">
        <w:rPr>
          <w:i/>
          <w:iCs/>
        </w:rPr>
        <w:t>rozvedení manželství.</w:t>
      </w:r>
    </w:p>
    <w:p w14:paraId="6046F6FB" w14:textId="0533C381" w:rsidR="00E632E9" w:rsidRDefault="00F3276A" w:rsidP="00E632E9">
      <w:pPr>
        <w:pStyle w:val="Odstavecseseznamem"/>
        <w:numPr>
          <w:ilvl w:val="0"/>
          <w:numId w:val="6"/>
        </w:numPr>
      </w:pPr>
      <w:r>
        <w:t xml:space="preserve">v případě uzavření dohody </w:t>
      </w:r>
      <w:r w:rsidR="0015297B">
        <w:t>o </w:t>
      </w:r>
      <w:r w:rsidRPr="00F3276A">
        <w:rPr>
          <w:b/>
          <w:bCs/>
        </w:rPr>
        <w:t>mimosoudním jednání</w:t>
      </w:r>
      <w:r>
        <w:t xml:space="preserve"> mezi dlužníkem </w:t>
      </w:r>
      <w:r w:rsidR="0015297B">
        <w:t>a </w:t>
      </w:r>
      <w:r>
        <w:t>věřitelem (§ 647 OZ)</w:t>
      </w:r>
      <w:r w:rsidR="001C6DF8">
        <w:t>,</w:t>
      </w:r>
    </w:p>
    <w:p w14:paraId="05653344" w14:textId="79F33663" w:rsidR="00250C7A" w:rsidRPr="00957ABB" w:rsidRDefault="00250C7A" w:rsidP="00250C7A">
      <w:pPr>
        <w:rPr>
          <w:i/>
          <w:iCs/>
        </w:rPr>
      </w:pPr>
      <w:r w:rsidRPr="00957ABB">
        <w:rPr>
          <w:i/>
          <w:iCs/>
        </w:rPr>
        <w:t xml:space="preserve">Příklad: z formalizovaných postupů půjde například </w:t>
      </w:r>
      <w:r w:rsidR="0015297B" w:rsidRPr="00957ABB">
        <w:rPr>
          <w:i/>
          <w:iCs/>
        </w:rPr>
        <w:t>o</w:t>
      </w:r>
      <w:r w:rsidR="0015297B">
        <w:rPr>
          <w:i/>
          <w:iCs/>
        </w:rPr>
        <w:t> </w:t>
      </w:r>
      <w:r w:rsidRPr="00957ABB">
        <w:rPr>
          <w:i/>
          <w:iCs/>
        </w:rPr>
        <w:t xml:space="preserve">mediaci podle zákona č. </w:t>
      </w:r>
      <w:r w:rsidR="00481832">
        <w:rPr>
          <w:i/>
          <w:iCs/>
        </w:rPr>
        <w:t>202/20</w:t>
      </w:r>
      <w:r w:rsidR="00957ABB" w:rsidRPr="00957ABB">
        <w:rPr>
          <w:i/>
          <w:iCs/>
        </w:rPr>
        <w:t>1</w:t>
      </w:r>
      <w:r w:rsidR="00481832">
        <w:rPr>
          <w:i/>
          <w:iCs/>
        </w:rPr>
        <w:t>2</w:t>
      </w:r>
      <w:r w:rsidR="00957ABB" w:rsidRPr="00957ABB">
        <w:rPr>
          <w:i/>
          <w:iCs/>
        </w:rPr>
        <w:t xml:space="preserve"> Sb. Postačí ovšem jakákoliv dohoda mezi věřitelem </w:t>
      </w:r>
      <w:r w:rsidR="0015297B" w:rsidRPr="00957ABB">
        <w:rPr>
          <w:i/>
          <w:iCs/>
        </w:rPr>
        <w:t>a</w:t>
      </w:r>
      <w:r w:rsidR="0015297B">
        <w:rPr>
          <w:i/>
          <w:iCs/>
        </w:rPr>
        <w:t> </w:t>
      </w:r>
      <w:r w:rsidR="00957ABB" w:rsidRPr="00957ABB">
        <w:rPr>
          <w:i/>
          <w:iCs/>
        </w:rPr>
        <w:t xml:space="preserve">dlužníkem </w:t>
      </w:r>
      <w:r w:rsidR="0015297B" w:rsidRPr="00957ABB">
        <w:rPr>
          <w:i/>
          <w:iCs/>
        </w:rPr>
        <w:t>o</w:t>
      </w:r>
      <w:r w:rsidR="0015297B">
        <w:rPr>
          <w:i/>
          <w:iCs/>
        </w:rPr>
        <w:t> </w:t>
      </w:r>
      <w:r w:rsidR="00957ABB" w:rsidRPr="00957ABB">
        <w:rPr>
          <w:i/>
          <w:iCs/>
        </w:rPr>
        <w:t>mimosoudním jednání.</w:t>
      </w:r>
      <w:r w:rsidR="00124919">
        <w:rPr>
          <w:rStyle w:val="Znakapoznpodarou"/>
          <w:i/>
          <w:iCs/>
        </w:rPr>
        <w:footnoteReference w:id="29"/>
      </w:r>
    </w:p>
    <w:p w14:paraId="0723E8BE" w14:textId="61C1D162" w:rsidR="00342F87" w:rsidRDefault="00342F87" w:rsidP="00E632E9">
      <w:pPr>
        <w:pStyle w:val="Odstavecseseznamem"/>
        <w:numPr>
          <w:ilvl w:val="0"/>
          <w:numId w:val="6"/>
        </w:numPr>
      </w:pPr>
      <w:r>
        <w:t xml:space="preserve">od okamžiku </w:t>
      </w:r>
      <w:r w:rsidRPr="00342F87">
        <w:rPr>
          <w:b/>
          <w:bCs/>
        </w:rPr>
        <w:t xml:space="preserve">uplatnění práva </w:t>
      </w:r>
      <w:r w:rsidR="0015297B" w:rsidRPr="00342F87">
        <w:rPr>
          <w:b/>
          <w:bCs/>
        </w:rPr>
        <w:t>u</w:t>
      </w:r>
      <w:r w:rsidR="0015297B">
        <w:rPr>
          <w:b/>
          <w:bCs/>
        </w:rPr>
        <w:t> </w:t>
      </w:r>
      <w:r w:rsidRPr="00342F87">
        <w:rPr>
          <w:b/>
          <w:bCs/>
        </w:rPr>
        <w:t>orgánu veřejné moci</w:t>
      </w:r>
      <w:r>
        <w:t xml:space="preserve"> </w:t>
      </w:r>
      <w:r w:rsidR="001A2E3A">
        <w:t xml:space="preserve">nebo </w:t>
      </w:r>
      <w:r w:rsidR="001A2E3A" w:rsidRPr="00F03047">
        <w:rPr>
          <w:b/>
          <w:bCs/>
        </w:rPr>
        <w:t>návrhu na výkon rozhodnutí nebo nařízení exekuce</w:t>
      </w:r>
      <w:r w:rsidR="00F03047">
        <w:t xml:space="preserve">; současně musí být splněna podmínka, že věřitel řádně pokračuje </w:t>
      </w:r>
      <w:r w:rsidR="0015297B">
        <w:t>v </w:t>
      </w:r>
      <w:r w:rsidR="00F03047">
        <w:t>řízení</w:t>
      </w:r>
      <w:r w:rsidR="001A2E3A">
        <w:t xml:space="preserve"> </w:t>
      </w:r>
      <w:r>
        <w:t xml:space="preserve">(§ 648 </w:t>
      </w:r>
      <w:r w:rsidR="0015297B">
        <w:t>a </w:t>
      </w:r>
      <w:r w:rsidR="008E52C3">
        <w:t xml:space="preserve">§ 649 </w:t>
      </w:r>
      <w:r>
        <w:t>OZ</w:t>
      </w:r>
      <w:r w:rsidR="002C23F3">
        <w:t>; prakticky nejvýznamnější případ</w:t>
      </w:r>
      <w:r>
        <w:t>)</w:t>
      </w:r>
      <w:r w:rsidR="001C6DF8">
        <w:t>,</w:t>
      </w:r>
      <w:r w:rsidR="004B1906">
        <w:t xml:space="preserve"> podle § 3017 OZ se toto ustanovení uplatní obdobně </w:t>
      </w:r>
      <w:r w:rsidR="0015297B">
        <w:t>i </w:t>
      </w:r>
      <w:r w:rsidR="004B1906">
        <w:t>pro rozhodčí řízení,</w:t>
      </w:r>
    </w:p>
    <w:p w14:paraId="0584D08B" w14:textId="7B834343" w:rsidR="007B5FD6" w:rsidRPr="00B01C38" w:rsidRDefault="007B5FD6" w:rsidP="007B5FD6">
      <w:pPr>
        <w:rPr>
          <w:i/>
          <w:iCs/>
        </w:rPr>
      </w:pPr>
      <w:r w:rsidRPr="00B01C38">
        <w:rPr>
          <w:i/>
          <w:iCs/>
        </w:rPr>
        <w:t>Příklad:</w:t>
      </w:r>
      <w:r w:rsidR="00D05EEE" w:rsidRPr="00B01C38">
        <w:rPr>
          <w:i/>
          <w:iCs/>
        </w:rPr>
        <w:t xml:space="preserve"> Dne 1. 4. 2021 byla panu Hoblíkovi</w:t>
      </w:r>
      <w:r w:rsidR="00AC5797" w:rsidRPr="00B01C38">
        <w:rPr>
          <w:i/>
          <w:iCs/>
        </w:rPr>
        <w:t xml:space="preserve"> panem Svěrákem</w:t>
      </w:r>
      <w:r w:rsidR="00D05EEE" w:rsidRPr="00B01C38">
        <w:rPr>
          <w:i/>
          <w:iCs/>
        </w:rPr>
        <w:t xml:space="preserve"> způsobena škoda.</w:t>
      </w:r>
      <w:r w:rsidR="00426BCD">
        <w:rPr>
          <w:i/>
          <w:iCs/>
        </w:rPr>
        <w:t xml:space="preserve"> Byly splněny podmínky § 620 OZ, </w:t>
      </w:r>
      <w:r w:rsidR="0015297B">
        <w:rPr>
          <w:i/>
          <w:iCs/>
        </w:rPr>
        <w:t>a </w:t>
      </w:r>
      <w:r w:rsidR="00426BCD">
        <w:rPr>
          <w:i/>
          <w:iCs/>
        </w:rPr>
        <w:t>proto začala běže</w:t>
      </w:r>
      <w:r w:rsidR="003475CE">
        <w:rPr>
          <w:i/>
          <w:iCs/>
        </w:rPr>
        <w:t>t subjektivní</w:t>
      </w:r>
      <w:r w:rsidR="00426BCD">
        <w:rPr>
          <w:i/>
          <w:iCs/>
        </w:rPr>
        <w:t xml:space="preserve"> promlčecí lhůta.</w:t>
      </w:r>
      <w:r w:rsidR="00D05EEE" w:rsidRPr="00B01C38">
        <w:rPr>
          <w:i/>
          <w:iCs/>
        </w:rPr>
        <w:t xml:space="preserve"> </w:t>
      </w:r>
      <w:r w:rsidR="00AC5797" w:rsidRPr="00B01C38">
        <w:rPr>
          <w:i/>
          <w:iCs/>
        </w:rPr>
        <w:t xml:space="preserve">Pan Svěrák škodu dobrovolně nenahradil. Pan Hoblík </w:t>
      </w:r>
      <w:r w:rsidR="00B01C38" w:rsidRPr="00B01C38">
        <w:rPr>
          <w:i/>
          <w:iCs/>
        </w:rPr>
        <w:t xml:space="preserve">podal 1. 3. 2022 žalobu </w:t>
      </w:r>
      <w:r w:rsidR="0015297B" w:rsidRPr="00B01C38">
        <w:rPr>
          <w:i/>
          <w:iCs/>
        </w:rPr>
        <w:t>u</w:t>
      </w:r>
      <w:r w:rsidR="0015297B">
        <w:rPr>
          <w:i/>
          <w:iCs/>
        </w:rPr>
        <w:t> </w:t>
      </w:r>
      <w:r w:rsidR="00B01C38" w:rsidRPr="00B01C38">
        <w:rPr>
          <w:i/>
          <w:iCs/>
        </w:rPr>
        <w:t>soudu, čímž došlo ke stav</w:t>
      </w:r>
      <w:r w:rsidR="0070253B">
        <w:rPr>
          <w:i/>
          <w:iCs/>
        </w:rPr>
        <w:t>ě</w:t>
      </w:r>
      <w:r w:rsidR="00B01C38" w:rsidRPr="00B01C38">
        <w:rPr>
          <w:i/>
          <w:iCs/>
        </w:rPr>
        <w:t>ní promlčecí lhůty.</w:t>
      </w:r>
    </w:p>
    <w:p w14:paraId="05E230FF" w14:textId="4DC7E2C5" w:rsidR="005538B5" w:rsidRDefault="00852630" w:rsidP="00E632E9">
      <w:pPr>
        <w:pStyle w:val="Odstavecseseznamem"/>
        <w:numPr>
          <w:ilvl w:val="0"/>
          <w:numId w:val="6"/>
        </w:numPr>
      </w:pPr>
      <w:r>
        <w:t xml:space="preserve">po </w:t>
      </w:r>
      <w:r w:rsidR="009B478E">
        <w:t xml:space="preserve">dobu, kdy </w:t>
      </w:r>
      <w:r w:rsidR="009B478E" w:rsidRPr="00A7587C">
        <w:rPr>
          <w:b/>
          <w:bCs/>
        </w:rPr>
        <w:t>se věřiteli hrozbou brání právo uplatnit</w:t>
      </w:r>
      <w:r w:rsidR="005538B5">
        <w:rPr>
          <w:b/>
          <w:bCs/>
        </w:rPr>
        <w:t xml:space="preserve"> </w:t>
      </w:r>
      <w:r w:rsidR="005538B5">
        <w:t>(§ 650 OZ)</w:t>
      </w:r>
      <w:r w:rsidR="001C6DF8">
        <w:t>,</w:t>
      </w:r>
    </w:p>
    <w:p w14:paraId="46BCFE28" w14:textId="34EDCA6F" w:rsidR="008E52C3" w:rsidRDefault="009B478E" w:rsidP="00E632E9">
      <w:pPr>
        <w:pStyle w:val="Odstavecseseznamem"/>
        <w:numPr>
          <w:ilvl w:val="0"/>
          <w:numId w:val="6"/>
        </w:numPr>
      </w:pPr>
      <w:r>
        <w:t>p</w:t>
      </w:r>
      <w:r w:rsidR="00D82E14">
        <w:t xml:space="preserve">okud byl </w:t>
      </w:r>
      <w:r w:rsidR="00D82E14" w:rsidRPr="00A7587C">
        <w:rPr>
          <w:b/>
          <w:bCs/>
        </w:rPr>
        <w:t>věřitel</w:t>
      </w:r>
      <w:r w:rsidR="00D82E14">
        <w:t xml:space="preserve"> </w:t>
      </w:r>
      <w:r w:rsidR="008222E6" w:rsidRPr="00A7587C">
        <w:rPr>
          <w:b/>
          <w:bCs/>
        </w:rPr>
        <w:t>lstivě uveden v</w:t>
      </w:r>
      <w:r w:rsidR="008222E6">
        <w:rPr>
          <w:b/>
          <w:bCs/>
        </w:rPr>
        <w:t> </w:t>
      </w:r>
      <w:r w:rsidR="008222E6" w:rsidRPr="00A7587C">
        <w:rPr>
          <w:b/>
          <w:bCs/>
        </w:rPr>
        <w:t>omyl</w:t>
      </w:r>
      <w:r w:rsidR="008222E6">
        <w:t xml:space="preserve"> </w:t>
      </w:r>
      <w:r w:rsidR="00D82E14">
        <w:t>dluž</w:t>
      </w:r>
      <w:r w:rsidR="00A7587C">
        <w:t>n</w:t>
      </w:r>
      <w:r w:rsidR="00D82E14">
        <w:t>íkem nebo osobou jemu blízkou</w:t>
      </w:r>
      <w:r w:rsidR="0050428D">
        <w:t xml:space="preserve">, </w:t>
      </w:r>
      <w:r w:rsidR="0015297B">
        <w:t>a </w:t>
      </w:r>
      <w:r w:rsidR="0050428D">
        <w:t>proto právo neuplatnil</w:t>
      </w:r>
      <w:r w:rsidR="00D82E14">
        <w:t xml:space="preserve"> (§</w:t>
      </w:r>
      <w:r w:rsidR="00A7587C">
        <w:t xml:space="preserve"> 650 OZ)</w:t>
      </w:r>
      <w:r w:rsidR="001C6DF8">
        <w:t>,</w:t>
      </w:r>
    </w:p>
    <w:p w14:paraId="3BFA73FA" w14:textId="0878F906" w:rsidR="00BA24FD" w:rsidRDefault="00BA24FD" w:rsidP="00E632E9">
      <w:pPr>
        <w:pStyle w:val="Odstavecseseznamem"/>
        <w:numPr>
          <w:ilvl w:val="0"/>
          <w:numId w:val="6"/>
        </w:numPr>
      </w:pPr>
      <w:r w:rsidRPr="006C589F">
        <w:rPr>
          <w:b/>
          <w:bCs/>
        </w:rPr>
        <w:t>po dobu trvání vyšší moci</w:t>
      </w:r>
      <w:r>
        <w:t xml:space="preserve">, která věřiteli v posledních šesti měsících </w:t>
      </w:r>
      <w:r w:rsidR="006C589F">
        <w:t>promlčecí lhůty znemožnila právo uplatnit (§ 651 OZ)</w:t>
      </w:r>
      <w:r w:rsidR="001C6DF8">
        <w:t>.</w:t>
      </w:r>
    </w:p>
    <w:p w14:paraId="45462DE6" w14:textId="552E2A4D" w:rsidR="006C589F" w:rsidRDefault="005B3A47" w:rsidP="006C589F">
      <w:r w:rsidRPr="008D47F7">
        <w:rPr>
          <w:b/>
          <w:bCs/>
        </w:rPr>
        <w:lastRenderedPageBreak/>
        <w:t>Po odpadnutí překážky doběhne zbývající část promlčecí lhůty.</w:t>
      </w:r>
      <w:r>
        <w:t xml:space="preserve"> </w:t>
      </w:r>
      <w:r w:rsidR="00D33093">
        <w:t xml:space="preserve">Z důvodu ochrany věřitele </w:t>
      </w:r>
      <w:r w:rsidR="002272A5">
        <w:t xml:space="preserve">neskončí podle § 652 OZ běh promlčecí lhůty dříve než za </w:t>
      </w:r>
      <w:r w:rsidR="002272A5" w:rsidRPr="007469AA">
        <w:rPr>
          <w:b/>
          <w:bCs/>
        </w:rPr>
        <w:t>šest měsíců</w:t>
      </w:r>
      <w:r w:rsidR="002272A5">
        <w:t xml:space="preserve"> </w:t>
      </w:r>
      <w:r w:rsidR="00386946">
        <w:t xml:space="preserve">ode dne odpadnutí překážky. V případě podle § 645 OZ – vyžaduje se, aby osoba měla zákonného zástupce nebo opatrovníka </w:t>
      </w:r>
      <w:r w:rsidR="00237817">
        <w:t>–</w:t>
      </w:r>
      <w:r w:rsidR="00386946">
        <w:t xml:space="preserve"> </w:t>
      </w:r>
      <w:r w:rsidR="00237817">
        <w:t xml:space="preserve">lhůta neskončí dříve, než uplyne </w:t>
      </w:r>
      <w:r w:rsidR="00237817" w:rsidRPr="007469AA">
        <w:rPr>
          <w:b/>
          <w:bCs/>
        </w:rPr>
        <w:t>jeden rok</w:t>
      </w:r>
      <w:r w:rsidR="00237817">
        <w:t xml:space="preserve"> po odpadnutí překážky.</w:t>
      </w:r>
    </w:p>
    <w:p w14:paraId="6719C25B" w14:textId="5181C374" w:rsidR="00FD2C54" w:rsidRDefault="00694F9C" w:rsidP="006C589F">
      <w:r w:rsidRPr="00E13E0D">
        <w:rPr>
          <w:b/>
          <w:bCs/>
        </w:rPr>
        <w:t>Přerušení běhu promlčecí lhůty</w:t>
      </w:r>
      <w:r>
        <w:t xml:space="preserve"> znamená, že </w:t>
      </w:r>
      <w:r w:rsidR="00E13E0D">
        <w:t xml:space="preserve">se dosud uplynulá lhůta stává bezpředmětnou </w:t>
      </w:r>
      <w:r w:rsidR="0015297B">
        <w:t>a </w:t>
      </w:r>
      <w:r w:rsidR="00E13E0D">
        <w:t xml:space="preserve">místo ní počíná běžet </w:t>
      </w:r>
      <w:r w:rsidR="00E13E0D" w:rsidRPr="000429FB">
        <w:rPr>
          <w:b/>
          <w:bCs/>
        </w:rPr>
        <w:t>nová promlčecí lhůta</w:t>
      </w:r>
      <w:r w:rsidR="00E13E0D">
        <w:t>.</w:t>
      </w:r>
      <w:r w:rsidR="00150920">
        <w:t xml:space="preserve"> </w:t>
      </w:r>
      <w:r w:rsidR="00134E3A">
        <w:t xml:space="preserve">Pokud již uplynula celá promlčecí lhůta, obnoví se dokonce nárok, </w:t>
      </w:r>
      <w:r w:rsidR="0015297B">
        <w:t>a </w:t>
      </w:r>
      <w:r w:rsidR="00134E3A">
        <w:t xml:space="preserve">to </w:t>
      </w:r>
      <w:r w:rsidR="00BC7884">
        <w:t>v následujících dvou případech:</w:t>
      </w:r>
    </w:p>
    <w:p w14:paraId="5C8060B9" w14:textId="33E4709D" w:rsidR="00BC7884" w:rsidRDefault="00B37D79" w:rsidP="00BC7884">
      <w:pPr>
        <w:pStyle w:val="Odstavecseseznamem"/>
        <w:numPr>
          <w:ilvl w:val="0"/>
          <w:numId w:val="7"/>
        </w:numPr>
      </w:pPr>
      <w:r>
        <w:t>uznání dluhu</w:t>
      </w:r>
    </w:p>
    <w:p w14:paraId="09F2916F" w14:textId="35E60749" w:rsidR="00B37D79" w:rsidRDefault="00EF7DC1" w:rsidP="00BC7884">
      <w:pPr>
        <w:pStyle w:val="Odstavecseseznamem"/>
        <w:numPr>
          <w:ilvl w:val="0"/>
          <w:numId w:val="7"/>
        </w:numPr>
      </w:pPr>
      <w:r>
        <w:t>rozhodnutí orgánu veřejné moci</w:t>
      </w:r>
    </w:p>
    <w:p w14:paraId="54B25415" w14:textId="76E607B9" w:rsidR="00EF7DC1" w:rsidRDefault="00EF7DC1" w:rsidP="00EF7DC1">
      <w:r>
        <w:t>V obou případech počne běžet nová</w:t>
      </w:r>
      <w:r w:rsidR="00B13A2D">
        <w:t xml:space="preserve"> desetiletá promlčecí lhůta, </w:t>
      </w:r>
      <w:r w:rsidR="0015297B">
        <w:t>a </w:t>
      </w:r>
      <w:r w:rsidR="00B13A2D">
        <w:t xml:space="preserve">to bez ohledu na to, zda byl uznán již promlčený dluh nebo zda </w:t>
      </w:r>
      <w:r w:rsidR="0015297B">
        <w:t>o </w:t>
      </w:r>
      <w:r w:rsidR="00B13A2D">
        <w:t>prom</w:t>
      </w:r>
      <w:r w:rsidR="005617A4">
        <w:t xml:space="preserve">lčeném dluhu rozhodl orgán veřejné moci (srov. </w:t>
      </w:r>
      <w:r w:rsidR="0071502F">
        <w:t xml:space="preserve">§ 639, § 640 </w:t>
      </w:r>
      <w:r w:rsidR="0015297B">
        <w:t>a </w:t>
      </w:r>
      <w:r w:rsidR="0071502F">
        <w:t xml:space="preserve">§ 653 OZ). </w:t>
      </w:r>
      <w:r w:rsidR="0006255A">
        <w:t xml:space="preserve">Určí-li však dlužník v uznání dluhu </w:t>
      </w:r>
      <w:r w:rsidR="0015297B">
        <w:t>i </w:t>
      </w:r>
      <w:r w:rsidR="0006255A">
        <w:t>dobu, do které</w:t>
      </w:r>
      <w:r w:rsidR="008976DA">
        <w:t xml:space="preserve"> splní, počne promlčecí lhůta běžet posledním dnem určené doby.</w:t>
      </w:r>
      <w:r w:rsidR="00D20F52">
        <w:t xml:space="preserve"> Totéž platí, pokud orgán veřejné moci stanoví ve svém rozhodnutí pozdější okamžik splnění.</w:t>
      </w:r>
    </w:p>
    <w:p w14:paraId="2B254199" w14:textId="68BA20CC" w:rsidR="00423B5B" w:rsidRDefault="00423B5B" w:rsidP="00423B5B">
      <w:pPr>
        <w:pStyle w:val="Nadpis1"/>
      </w:pPr>
      <w:r>
        <w:t>Prekluze</w:t>
      </w:r>
    </w:p>
    <w:p w14:paraId="076E3DE0" w14:textId="11AD5253" w:rsidR="00CE327C" w:rsidRDefault="00637593">
      <w:r>
        <w:t>Prekluz</w:t>
      </w:r>
      <w:r w:rsidR="00153AF3">
        <w:t xml:space="preserve">e </w:t>
      </w:r>
      <w:r w:rsidR="00153AF3" w:rsidRPr="005236F7">
        <w:rPr>
          <w:b/>
          <w:bCs/>
        </w:rPr>
        <w:t xml:space="preserve">spočívá v zániku </w:t>
      </w:r>
      <w:r w:rsidR="00F910E4">
        <w:rPr>
          <w:b/>
          <w:bCs/>
        </w:rPr>
        <w:t xml:space="preserve">majetkového </w:t>
      </w:r>
      <w:r w:rsidR="00DD0EEF" w:rsidRPr="005236F7">
        <w:rPr>
          <w:b/>
          <w:bCs/>
        </w:rPr>
        <w:t>práva</w:t>
      </w:r>
      <w:r w:rsidR="00DD0EEF">
        <w:t xml:space="preserve">, ke kterému </w:t>
      </w:r>
      <w:r w:rsidR="00DD0EEF" w:rsidRPr="001A3F47">
        <w:rPr>
          <w:b/>
          <w:bCs/>
        </w:rPr>
        <w:t>soud přihlíží z úřední povinnosti</w:t>
      </w:r>
      <w:r w:rsidR="00864ECD">
        <w:rPr>
          <w:b/>
          <w:bCs/>
        </w:rPr>
        <w:t>.</w:t>
      </w:r>
      <w:r w:rsidR="00125960">
        <w:t xml:space="preserve"> </w:t>
      </w:r>
      <w:r w:rsidR="00864ECD">
        <w:t>N</w:t>
      </w:r>
      <w:r w:rsidR="00125960">
        <w:t>ámitka dlužníka</w:t>
      </w:r>
      <w:r w:rsidR="00864ECD" w:rsidRPr="00864ECD">
        <w:t xml:space="preserve"> se</w:t>
      </w:r>
      <w:r w:rsidR="00125960">
        <w:t xml:space="preserve"> nevyžaduje</w:t>
      </w:r>
      <w:r w:rsidR="00864ECD">
        <w:t xml:space="preserve">, </w:t>
      </w:r>
      <w:r w:rsidR="00F910E4">
        <w:t>ale zánik práva musí vyplynout z dokazování</w:t>
      </w:r>
      <w:r w:rsidR="00125960">
        <w:t>.</w:t>
      </w:r>
      <w:r w:rsidR="006700A5" w:rsidRPr="00817A52">
        <w:rPr>
          <w:rStyle w:val="Znakapoznpodarou"/>
        </w:rPr>
        <w:footnoteReference w:id="30"/>
      </w:r>
      <w:r w:rsidR="00125960">
        <w:t xml:space="preserve"> </w:t>
      </w:r>
      <w:r w:rsidR="008B669E">
        <w:t xml:space="preserve">Podle § 654 odst. 1 OZ </w:t>
      </w:r>
      <w:r w:rsidR="008B669E" w:rsidRPr="000C312D">
        <w:rPr>
          <w:b/>
          <w:bCs/>
        </w:rPr>
        <w:t>nastává pouze v případech výslovně stanovených v zákoně</w:t>
      </w:r>
      <w:r w:rsidR="008B669E">
        <w:t xml:space="preserve">. </w:t>
      </w:r>
      <w:r w:rsidR="00F92532">
        <w:t>Není-li explicitně stanoveno</w:t>
      </w:r>
      <w:r w:rsidR="001543C3">
        <w:t xml:space="preserve">, že uplynutím určité lhůty právo zaniká, posuzuje se </w:t>
      </w:r>
      <w:r w:rsidR="001A3F47">
        <w:t xml:space="preserve">vliv </w:t>
      </w:r>
      <w:r w:rsidR="001543C3">
        <w:t>plynutí času</w:t>
      </w:r>
      <w:r w:rsidR="001A3F47">
        <w:t xml:space="preserve"> na možnost jeho soudního prosazení podle ustanovení </w:t>
      </w:r>
      <w:r w:rsidR="0015297B">
        <w:t>o </w:t>
      </w:r>
      <w:r w:rsidR="001A3F47">
        <w:t>promlčení, což lépe odpovídá povaze soukromého práva.</w:t>
      </w:r>
      <w:r w:rsidR="00964910">
        <w:t xml:space="preserve"> </w:t>
      </w:r>
      <w:r w:rsidR="00827B49">
        <w:t xml:space="preserve">Na rozdíl od promlčení </w:t>
      </w:r>
      <w:r w:rsidR="00827B49" w:rsidRPr="00BF2517">
        <w:rPr>
          <w:b/>
          <w:bCs/>
        </w:rPr>
        <w:t>se plnění prekludovaného druhu považuje za bezdůvodné obohacení</w:t>
      </w:r>
      <w:r w:rsidR="00827B49">
        <w:t xml:space="preserve">. </w:t>
      </w:r>
      <w:r w:rsidR="00626FA9">
        <w:t xml:space="preserve">Vyplývá to z odlišných důsledků promlčení </w:t>
      </w:r>
      <w:r w:rsidR="0015297B">
        <w:t>a </w:t>
      </w:r>
      <w:r w:rsidR="00626FA9">
        <w:t>prekluze. Zatímco promlčení způso</w:t>
      </w:r>
      <w:r w:rsidR="00BF2517">
        <w:t xml:space="preserve">buje pouze zánik </w:t>
      </w:r>
      <w:r w:rsidR="00380EF8">
        <w:t>povinnosti dlužníka plnit</w:t>
      </w:r>
      <w:r w:rsidR="00201CD1">
        <w:t xml:space="preserve"> (zaniká nárok</w:t>
      </w:r>
      <w:r w:rsidR="00AA2DD5">
        <w:t>)</w:t>
      </w:r>
      <w:r w:rsidR="00CD4865">
        <w:t>, prekluze má za následek, že právo věřitele zaniká zcela</w:t>
      </w:r>
      <w:r w:rsidR="008F7275">
        <w:t xml:space="preserve">, </w:t>
      </w:r>
      <w:r w:rsidR="0015297B">
        <w:t>a </w:t>
      </w:r>
      <w:r w:rsidR="008F7275">
        <w:t xml:space="preserve">proto by v případě </w:t>
      </w:r>
      <w:r w:rsidR="00133229">
        <w:t>dlužníkova plnění chyběl jeho právní důvod.</w:t>
      </w:r>
      <w:r w:rsidR="00133229" w:rsidRPr="00817A52">
        <w:rPr>
          <w:rStyle w:val="Znakapoznpodarou"/>
        </w:rPr>
        <w:footnoteReference w:id="31"/>
      </w:r>
    </w:p>
    <w:p w14:paraId="1C28599E" w14:textId="39A23329" w:rsidR="00AA6926" w:rsidRDefault="00B816DD">
      <w:r>
        <w:t xml:space="preserve">K prekluzi dochází </w:t>
      </w:r>
      <w:r w:rsidR="00AF7DAB">
        <w:t xml:space="preserve">v důsledku dvou současně působících právních skutečností. </w:t>
      </w:r>
      <w:r w:rsidR="00C454E8">
        <w:t>M</w:t>
      </w:r>
      <w:r w:rsidR="00043975">
        <w:t>usí</w:t>
      </w:r>
      <w:r w:rsidR="00AF7DAB">
        <w:t xml:space="preserve"> </w:t>
      </w:r>
      <w:r w:rsidR="00C454E8">
        <w:t>dojít k </w:t>
      </w:r>
      <w:r w:rsidR="008F5B5B" w:rsidRPr="00463669">
        <w:rPr>
          <w:b/>
          <w:bCs/>
        </w:rPr>
        <w:t>uplyn</w:t>
      </w:r>
      <w:r w:rsidR="00C454E8">
        <w:rPr>
          <w:b/>
          <w:bCs/>
        </w:rPr>
        <w:t>utí</w:t>
      </w:r>
      <w:r w:rsidR="008F5B5B" w:rsidRPr="00463669">
        <w:rPr>
          <w:b/>
          <w:bCs/>
        </w:rPr>
        <w:t xml:space="preserve"> lhůt</w:t>
      </w:r>
      <w:r w:rsidR="00C454E8">
        <w:rPr>
          <w:b/>
          <w:bCs/>
        </w:rPr>
        <w:t>y</w:t>
      </w:r>
      <w:r w:rsidR="008F5B5B">
        <w:t xml:space="preserve"> určen</w:t>
      </w:r>
      <w:r w:rsidR="00C454E8">
        <w:t>é</w:t>
      </w:r>
      <w:r w:rsidR="008F5B5B">
        <w:t xml:space="preserve"> k uplatnění práva</w:t>
      </w:r>
      <w:r w:rsidR="00043975">
        <w:t xml:space="preserve"> </w:t>
      </w:r>
      <w:r w:rsidR="0015297B">
        <w:t>a </w:t>
      </w:r>
      <w:r w:rsidR="00C454E8">
        <w:t>zároveň</w:t>
      </w:r>
      <w:r w:rsidR="00043975">
        <w:t xml:space="preserve"> </w:t>
      </w:r>
      <w:r w:rsidR="00C454E8" w:rsidRPr="00C454E8">
        <w:rPr>
          <w:b/>
          <w:bCs/>
        </w:rPr>
        <w:t>opomenutí</w:t>
      </w:r>
      <w:r w:rsidR="00043975" w:rsidRPr="00C454E8">
        <w:rPr>
          <w:b/>
          <w:bCs/>
        </w:rPr>
        <w:t xml:space="preserve"> věřitel</w:t>
      </w:r>
      <w:r w:rsidR="00C454E8" w:rsidRPr="00C454E8">
        <w:rPr>
          <w:b/>
          <w:bCs/>
        </w:rPr>
        <w:t>e</w:t>
      </w:r>
      <w:r w:rsidR="00043975">
        <w:t xml:space="preserve"> </w:t>
      </w:r>
      <w:r w:rsidR="0027285D" w:rsidRPr="00463669">
        <w:rPr>
          <w:b/>
          <w:bCs/>
        </w:rPr>
        <w:t>jednat</w:t>
      </w:r>
      <w:r w:rsidR="0027285D">
        <w:t xml:space="preserve"> </w:t>
      </w:r>
      <w:r w:rsidR="0015297B">
        <w:t>a </w:t>
      </w:r>
      <w:r w:rsidR="0027285D">
        <w:t xml:space="preserve">uplatnit své právo </w:t>
      </w:r>
      <w:r w:rsidR="0015297B">
        <w:t>u </w:t>
      </w:r>
      <w:r w:rsidR="0027285D">
        <w:t xml:space="preserve">příslušného orgánu veřejné moci nebo </w:t>
      </w:r>
      <w:r w:rsidR="0015297B">
        <w:t>u </w:t>
      </w:r>
      <w:r w:rsidR="0027285D">
        <w:t>příslušné osoby.</w:t>
      </w:r>
      <w:r w:rsidR="00D44A0E" w:rsidRPr="00817A52">
        <w:rPr>
          <w:rStyle w:val="Znakapoznpodarou"/>
        </w:rPr>
        <w:footnoteReference w:id="32"/>
      </w:r>
    </w:p>
    <w:p w14:paraId="43ACCC44" w14:textId="52ED06B3" w:rsidR="00913D77" w:rsidRDefault="00B91295">
      <w:r>
        <w:t xml:space="preserve">Prekluzivní lhůta může být určena se subjektivně </w:t>
      </w:r>
      <w:r w:rsidR="0015297B">
        <w:t>i </w:t>
      </w:r>
      <w:r>
        <w:t xml:space="preserve">objektivně určeným počátkem, </w:t>
      </w:r>
      <w:r w:rsidR="00CE7724">
        <w:t xml:space="preserve">pouze </w:t>
      </w:r>
      <w:r w:rsidR="00EE2764">
        <w:t>s </w:t>
      </w:r>
      <w:r w:rsidR="00CE7724">
        <w:t>objektivně určeným počátkem nebo pouze se subjektivně určeným počátkem.</w:t>
      </w:r>
      <w:r w:rsidR="00D7335C">
        <w:t xml:space="preserve"> </w:t>
      </w:r>
      <w:r w:rsidR="0070293B">
        <w:t xml:space="preserve">Do první skupiny spadá například § 259 OZ, podle kterého se lze dovolat neplatnosti rozhodnutí orgánu spolku </w:t>
      </w:r>
      <w:r w:rsidR="0024045F" w:rsidRPr="00EE2764">
        <w:rPr>
          <w:b/>
          <w:bCs/>
        </w:rPr>
        <w:t>do tří měsíců</w:t>
      </w:r>
      <w:r w:rsidR="0024045F">
        <w:t xml:space="preserve"> ode dne, kdy se navrhovatel </w:t>
      </w:r>
      <w:r w:rsidR="0015297B">
        <w:t>o </w:t>
      </w:r>
      <w:r w:rsidR="0024045F">
        <w:t xml:space="preserve">rozhodnutí </w:t>
      </w:r>
      <w:r w:rsidR="0024045F" w:rsidRPr="00EE2764">
        <w:rPr>
          <w:b/>
          <w:bCs/>
        </w:rPr>
        <w:t>dozvěděl nebo dozvědět mohl</w:t>
      </w:r>
      <w:r w:rsidR="0024045F">
        <w:t xml:space="preserve">, </w:t>
      </w:r>
      <w:r w:rsidR="0024045F" w:rsidRPr="00EE2764">
        <w:rPr>
          <w:b/>
          <w:bCs/>
        </w:rPr>
        <w:t>nejpozději však do jednoho roku</w:t>
      </w:r>
      <w:r w:rsidR="00E5549E">
        <w:t>; jinak právo zanikne</w:t>
      </w:r>
      <w:r w:rsidR="0024045F">
        <w:t xml:space="preserve">. </w:t>
      </w:r>
      <w:r w:rsidR="005834CB">
        <w:t xml:space="preserve">Dalšími příklady by mohla být ustanovení § </w:t>
      </w:r>
      <w:r w:rsidR="00533794">
        <w:t xml:space="preserve">432 odst. 2 OZ, 2181 OZ nebo </w:t>
      </w:r>
      <w:r w:rsidR="00E5549E">
        <w:t xml:space="preserve">2727 OZ </w:t>
      </w:r>
      <w:r w:rsidR="0015297B">
        <w:t>a </w:t>
      </w:r>
      <w:r w:rsidR="00E5549E">
        <w:t>další.</w:t>
      </w:r>
      <w:r w:rsidR="00A570AF">
        <w:t xml:space="preserve"> </w:t>
      </w:r>
      <w:r w:rsidR="008F5852">
        <w:t xml:space="preserve">Do druhé kategorie, tedy </w:t>
      </w:r>
      <w:r w:rsidR="006F14B6">
        <w:t xml:space="preserve">prekluzivních </w:t>
      </w:r>
      <w:r w:rsidR="008F5852">
        <w:t>lhůt s</w:t>
      </w:r>
      <w:r w:rsidR="006F14B6">
        <w:t> </w:t>
      </w:r>
      <w:r w:rsidR="008F5852">
        <w:t>p</w:t>
      </w:r>
      <w:r w:rsidR="006F14B6">
        <w:t>ouze objektivně určeným počátkem, lze zařadit například § 366</w:t>
      </w:r>
      <w:r w:rsidR="005407F2">
        <w:t xml:space="preserve"> OZ</w:t>
      </w:r>
      <w:r w:rsidR="006F14B6">
        <w:t xml:space="preserve">, podle kterého </w:t>
      </w:r>
      <w:r w:rsidR="00B450CF" w:rsidRPr="00B450CF">
        <w:t xml:space="preserve">zaniká právo domáhat se odvolání člena správní rady, </w:t>
      </w:r>
      <w:r w:rsidR="00B450CF" w:rsidRPr="005407F2">
        <w:rPr>
          <w:b/>
          <w:bCs/>
        </w:rPr>
        <w:t xml:space="preserve">nebylo-li uplatněno do roka ode dne, kdy důvod </w:t>
      </w:r>
      <w:r w:rsidR="0015297B" w:rsidRPr="005407F2">
        <w:rPr>
          <w:b/>
          <w:bCs/>
        </w:rPr>
        <w:t>k</w:t>
      </w:r>
      <w:r w:rsidR="0015297B">
        <w:rPr>
          <w:b/>
          <w:bCs/>
        </w:rPr>
        <w:t> </w:t>
      </w:r>
      <w:r w:rsidR="00B450CF" w:rsidRPr="005407F2">
        <w:rPr>
          <w:b/>
          <w:bCs/>
        </w:rPr>
        <w:t>odvolání vznikl</w:t>
      </w:r>
      <w:r w:rsidR="00B450CF" w:rsidRPr="00B450CF">
        <w:t>.</w:t>
      </w:r>
      <w:r w:rsidR="005407F2">
        <w:t xml:space="preserve"> Pouze objektivně stanovený počátek prekluzivní lhůty dále nalezneme </w:t>
      </w:r>
      <w:r w:rsidR="0015297B">
        <w:t>v </w:t>
      </w:r>
      <w:r w:rsidR="005407F2">
        <w:t xml:space="preserve">§ </w:t>
      </w:r>
      <w:r w:rsidR="005A4A55">
        <w:t xml:space="preserve">375 odst. 2 OZ, 1231 odst. 2 OZ nebo </w:t>
      </w:r>
      <w:r w:rsidR="00BA60B7">
        <w:t xml:space="preserve">1487 odst. 2 OZ </w:t>
      </w:r>
      <w:r w:rsidR="0015297B">
        <w:t>a </w:t>
      </w:r>
      <w:r w:rsidR="00BA60B7">
        <w:t xml:space="preserve">dalších. </w:t>
      </w:r>
      <w:r w:rsidR="00A53619">
        <w:t xml:space="preserve">Prekluzivní lhůtu stanovenou pouze se subjektivním počátkem nalezneme </w:t>
      </w:r>
      <w:r w:rsidR="0051362A">
        <w:t xml:space="preserve">spíše zřídka. Příkladem by mohl </w:t>
      </w:r>
      <w:r w:rsidR="0051362A">
        <w:lastRenderedPageBreak/>
        <w:t xml:space="preserve">být § </w:t>
      </w:r>
      <w:r w:rsidR="00867625">
        <w:t xml:space="preserve">1075 OZ, podle kterého </w:t>
      </w:r>
      <w:r w:rsidR="00867625" w:rsidRPr="00867625">
        <w:t xml:space="preserve">právo volby výhodnějšího řešení zanikne, nebude-li vykonáno do jednoho měsíce ode dne, kdy </w:t>
      </w:r>
      <w:r w:rsidR="00867625" w:rsidRPr="00FD1E8B">
        <w:rPr>
          <w:b/>
          <w:bCs/>
        </w:rPr>
        <w:t xml:space="preserve">se vlastník </w:t>
      </w:r>
      <w:r w:rsidR="0015297B" w:rsidRPr="00FD1E8B">
        <w:rPr>
          <w:b/>
          <w:bCs/>
        </w:rPr>
        <w:t>o</w:t>
      </w:r>
      <w:r w:rsidR="0015297B">
        <w:rPr>
          <w:b/>
          <w:bCs/>
        </w:rPr>
        <w:t> </w:t>
      </w:r>
      <w:r w:rsidR="00867625" w:rsidRPr="00FD1E8B">
        <w:rPr>
          <w:b/>
          <w:bCs/>
        </w:rPr>
        <w:t>zpracování věci dozvěděl</w:t>
      </w:r>
      <w:r w:rsidR="00867625">
        <w:t xml:space="preserve">. Další příklady nalezneme </w:t>
      </w:r>
      <w:r w:rsidR="0015297B">
        <w:t>v </w:t>
      </w:r>
      <w:r w:rsidR="00BD2ED1">
        <w:t>§ 1029 odst. 1 OZ, 2793 OZ nebo 2808 odst. 1 OZ.</w:t>
      </w:r>
      <w:r w:rsidR="00C50369" w:rsidRPr="00817A52">
        <w:rPr>
          <w:rStyle w:val="Znakapoznpodarou"/>
        </w:rPr>
        <w:footnoteReference w:id="33"/>
      </w:r>
    </w:p>
    <w:p w14:paraId="58B12918" w14:textId="1F8FD6C9" w:rsidR="00C53BB0" w:rsidRDefault="00D034EE">
      <w:r>
        <w:t xml:space="preserve">Podle § 654 odst. 2 </w:t>
      </w:r>
      <w:r w:rsidR="0021136E">
        <w:t xml:space="preserve">OZ </w:t>
      </w:r>
      <w:r w:rsidRPr="00E2380C">
        <w:rPr>
          <w:b/>
          <w:bCs/>
        </w:rPr>
        <w:t xml:space="preserve">platí ustanovení občanského zákoníku </w:t>
      </w:r>
      <w:r w:rsidR="0015297B" w:rsidRPr="00E2380C">
        <w:rPr>
          <w:b/>
          <w:bCs/>
        </w:rPr>
        <w:t>o</w:t>
      </w:r>
      <w:r w:rsidR="0015297B">
        <w:rPr>
          <w:b/>
          <w:bCs/>
        </w:rPr>
        <w:t> </w:t>
      </w:r>
      <w:r w:rsidRPr="00E2380C">
        <w:rPr>
          <w:b/>
          <w:bCs/>
        </w:rPr>
        <w:t xml:space="preserve">běhu promlčecí lhůty obdobně </w:t>
      </w:r>
      <w:r w:rsidR="0015297B" w:rsidRPr="00E2380C">
        <w:rPr>
          <w:b/>
          <w:bCs/>
        </w:rPr>
        <w:t>i</w:t>
      </w:r>
      <w:r w:rsidR="0015297B">
        <w:rPr>
          <w:b/>
          <w:bCs/>
        </w:rPr>
        <w:t> </w:t>
      </w:r>
      <w:r w:rsidRPr="00E2380C">
        <w:rPr>
          <w:b/>
          <w:bCs/>
        </w:rPr>
        <w:t>pro prekluzivní lhůtu</w:t>
      </w:r>
      <w:r w:rsidRPr="00D034EE">
        <w:t>.</w:t>
      </w:r>
      <w:r>
        <w:t xml:space="preserve"> </w:t>
      </w:r>
      <w:r w:rsidR="00407F02">
        <w:t xml:space="preserve">Z toho </w:t>
      </w:r>
      <w:r w:rsidR="004536C6">
        <w:t xml:space="preserve">například </w:t>
      </w:r>
      <w:r w:rsidR="00407F02">
        <w:t xml:space="preserve">vyplývá, že prekluzivní lhůta </w:t>
      </w:r>
      <w:r w:rsidR="00BA5478">
        <w:t xml:space="preserve">nebude podle § 646 OZ plynout </w:t>
      </w:r>
      <w:r w:rsidR="00BA5478" w:rsidRPr="00BA5478">
        <w:t xml:space="preserve">mezi manželi ani </w:t>
      </w:r>
      <w:r w:rsidR="001450A1">
        <w:t xml:space="preserve">mezi </w:t>
      </w:r>
      <w:r w:rsidR="00BA5478" w:rsidRPr="00BA5478">
        <w:t xml:space="preserve">osobami žijícími ve společné domácnosti, nebo mezi zástupcem </w:t>
      </w:r>
      <w:r w:rsidR="0015297B" w:rsidRPr="00BA5478">
        <w:t>a</w:t>
      </w:r>
      <w:r w:rsidR="0015297B">
        <w:t> </w:t>
      </w:r>
      <w:r w:rsidR="00BA5478" w:rsidRPr="00BA5478">
        <w:t xml:space="preserve">zastoupeným, </w:t>
      </w:r>
      <w:proofErr w:type="spellStart"/>
      <w:r w:rsidR="00BA5478" w:rsidRPr="00BA5478">
        <w:t>opatrovancem</w:t>
      </w:r>
      <w:proofErr w:type="spellEnd"/>
      <w:r w:rsidR="00BA5478" w:rsidRPr="00BA5478">
        <w:t xml:space="preserve"> </w:t>
      </w:r>
      <w:r w:rsidR="0015297B" w:rsidRPr="00BA5478">
        <w:t>a</w:t>
      </w:r>
      <w:r w:rsidR="0015297B">
        <w:t> </w:t>
      </w:r>
      <w:r w:rsidR="00BA5478" w:rsidRPr="00BA5478">
        <w:t xml:space="preserve">opatrovníkem, ani mezi poručníkem </w:t>
      </w:r>
      <w:r w:rsidR="0015297B" w:rsidRPr="00BA5478">
        <w:t>a</w:t>
      </w:r>
      <w:r w:rsidR="0015297B">
        <w:t> </w:t>
      </w:r>
      <w:r w:rsidR="00BA5478" w:rsidRPr="00BA5478">
        <w:t>poručencem</w:t>
      </w:r>
      <w:r w:rsidR="00BA5478">
        <w:t>.</w:t>
      </w:r>
      <w:r w:rsidR="004536C6">
        <w:t xml:space="preserve"> </w:t>
      </w:r>
      <w:r w:rsidR="006D6447">
        <w:t>Prekluzivní lhůta se</w:t>
      </w:r>
      <w:r w:rsidR="001450A1">
        <w:t xml:space="preserve"> dále bude stavět</w:t>
      </w:r>
      <w:r w:rsidR="006D6447">
        <w:t xml:space="preserve"> v průběhu mimosoudního </w:t>
      </w:r>
      <w:r w:rsidR="00B2713F">
        <w:t xml:space="preserve">jednání podle § 647 OZ, v případě uplatnění </w:t>
      </w:r>
      <w:r w:rsidR="007E331F">
        <w:t xml:space="preserve">práva </w:t>
      </w:r>
      <w:r w:rsidR="0015297B">
        <w:t>u </w:t>
      </w:r>
      <w:r w:rsidR="007E331F">
        <w:t xml:space="preserve">orgánu veřejné moci věřitelem </w:t>
      </w:r>
      <w:r w:rsidR="00B13738">
        <w:t xml:space="preserve">podle § 648 OZ </w:t>
      </w:r>
      <w:r w:rsidR="007E331F">
        <w:t xml:space="preserve">nebo </w:t>
      </w:r>
      <w:r w:rsidR="00B337E3">
        <w:t xml:space="preserve">v případě uplatnění vzájemného práva </w:t>
      </w:r>
      <w:r w:rsidR="0015297B">
        <w:t>u </w:t>
      </w:r>
      <w:r w:rsidR="00B337E3">
        <w:t xml:space="preserve">orgánu veřejné moci podle § </w:t>
      </w:r>
      <w:r w:rsidR="0021136E">
        <w:t>649 OZ.</w:t>
      </w:r>
      <w:r w:rsidR="00B811EE" w:rsidRPr="00817A52">
        <w:rPr>
          <w:rStyle w:val="Znakapoznpodarou"/>
        </w:rPr>
        <w:footnoteReference w:id="34"/>
      </w:r>
    </w:p>
    <w:p w14:paraId="2EDADC07" w14:textId="6728D69C" w:rsidR="0015297B" w:rsidRDefault="00FD1E8B">
      <w:pPr>
        <w:rPr>
          <w:i/>
          <w:iCs/>
        </w:rPr>
      </w:pPr>
      <w:r w:rsidRPr="00FD1E8B">
        <w:rPr>
          <w:i/>
          <w:iCs/>
        </w:rPr>
        <w:t xml:space="preserve">Úkol: </w:t>
      </w:r>
      <w:r w:rsidR="00073EE9" w:rsidRPr="00FD1E8B">
        <w:rPr>
          <w:i/>
          <w:iCs/>
        </w:rPr>
        <w:t xml:space="preserve">Prekluzivní lhůty se nevyskytují pouze v občanském zákoníku, ale nalezneme je například </w:t>
      </w:r>
      <w:r w:rsidR="0015297B" w:rsidRPr="00FD1E8B">
        <w:rPr>
          <w:i/>
          <w:iCs/>
        </w:rPr>
        <w:t>i</w:t>
      </w:r>
      <w:r w:rsidR="0015297B">
        <w:rPr>
          <w:i/>
          <w:iCs/>
        </w:rPr>
        <w:t> </w:t>
      </w:r>
      <w:r w:rsidR="0015297B" w:rsidRPr="00FD1E8B">
        <w:rPr>
          <w:i/>
          <w:iCs/>
        </w:rPr>
        <w:t>v</w:t>
      </w:r>
      <w:r w:rsidR="0015297B">
        <w:rPr>
          <w:i/>
          <w:iCs/>
        </w:rPr>
        <w:t> </w:t>
      </w:r>
      <w:r w:rsidR="000B4F46" w:rsidRPr="00FD1E8B">
        <w:rPr>
          <w:i/>
          <w:iCs/>
        </w:rPr>
        <w:t xml:space="preserve">§ 52 zákona č. 449/2001 Sb., </w:t>
      </w:r>
      <w:r w:rsidR="0015297B" w:rsidRPr="00FD1E8B">
        <w:rPr>
          <w:i/>
          <w:iCs/>
        </w:rPr>
        <w:t>o</w:t>
      </w:r>
      <w:r w:rsidR="0015297B">
        <w:rPr>
          <w:i/>
          <w:iCs/>
        </w:rPr>
        <w:t> </w:t>
      </w:r>
      <w:r w:rsidR="000B4F46" w:rsidRPr="00FD1E8B">
        <w:rPr>
          <w:i/>
          <w:iCs/>
        </w:rPr>
        <w:t xml:space="preserve">myslivosti. </w:t>
      </w:r>
      <w:r w:rsidRPr="00FD1E8B">
        <w:rPr>
          <w:i/>
          <w:iCs/>
        </w:rPr>
        <w:t>Nastudujte si ho.</w:t>
      </w:r>
      <w:r w:rsidR="00173CC0">
        <w:rPr>
          <w:i/>
          <w:iCs/>
        </w:rPr>
        <w:t xml:space="preserve"> Vyhledejte </w:t>
      </w:r>
      <w:r w:rsidR="0015297B">
        <w:rPr>
          <w:i/>
          <w:iCs/>
        </w:rPr>
        <w:t>i </w:t>
      </w:r>
      <w:r w:rsidR="00173CC0">
        <w:rPr>
          <w:i/>
          <w:iCs/>
        </w:rPr>
        <w:t>další příklady.</w:t>
      </w:r>
    </w:p>
    <w:p w14:paraId="24BE167C" w14:textId="3228C0EC" w:rsidR="002C4D1E" w:rsidRDefault="002C4D1E" w:rsidP="002C4D1E">
      <w:pPr>
        <w:pStyle w:val="Nadpis1"/>
      </w:pPr>
      <w:r>
        <w:t>Prostor pro vaše poznámky</w:t>
      </w:r>
    </w:p>
    <w:p w14:paraId="3486837D" w14:textId="77777777" w:rsidR="0015297B" w:rsidRDefault="0015297B">
      <w:pPr>
        <w:jc w:val="left"/>
        <w:rPr>
          <w:i/>
          <w:iCs/>
        </w:rPr>
      </w:pPr>
      <w:r>
        <w:rPr>
          <w:i/>
          <w:iCs/>
        </w:rPr>
        <w:br w:type="page"/>
      </w:r>
    </w:p>
    <w:p w14:paraId="12918E0E" w14:textId="14D63112" w:rsidR="00CE327C" w:rsidRDefault="00CE327C" w:rsidP="00CE327C">
      <w:pPr>
        <w:pStyle w:val="Nadpis1"/>
      </w:pPr>
      <w:r>
        <w:lastRenderedPageBreak/>
        <w:t>Otázky pro zopakování</w:t>
      </w:r>
    </w:p>
    <w:p w14:paraId="6E5FEEB4" w14:textId="5BBC0BCF" w:rsidR="007E61DE" w:rsidRDefault="007E61DE" w:rsidP="00CE327C">
      <w:pPr>
        <w:pStyle w:val="Odstavecseseznamem"/>
        <w:numPr>
          <w:ilvl w:val="0"/>
          <w:numId w:val="1"/>
        </w:numPr>
      </w:pPr>
      <w:r>
        <w:t>Řadíme plynutí času mezi subjektivní nebo objektivní právní skutečnosti?</w:t>
      </w:r>
    </w:p>
    <w:p w14:paraId="581DEA8D" w14:textId="5B56F46A" w:rsidR="00ED61FC" w:rsidRDefault="00173E37" w:rsidP="00CE327C">
      <w:pPr>
        <w:pStyle w:val="Odstavecseseznamem"/>
        <w:numPr>
          <w:ilvl w:val="0"/>
          <w:numId w:val="1"/>
        </w:numPr>
      </w:pPr>
      <w:r>
        <w:t>Jaká základní zásada občanského práva se projevuje v institutu promlčení?</w:t>
      </w:r>
    </w:p>
    <w:p w14:paraId="31EB63CB" w14:textId="74012CCD" w:rsidR="00E12328" w:rsidRDefault="00E12328" w:rsidP="00CE327C">
      <w:pPr>
        <w:pStyle w:val="Odstavecseseznamem"/>
        <w:numPr>
          <w:ilvl w:val="0"/>
          <w:numId w:val="1"/>
        </w:numPr>
      </w:pPr>
      <w:r>
        <w:t>Přihlíží soud k promlčení z úřední povinnosti?</w:t>
      </w:r>
    </w:p>
    <w:p w14:paraId="6C20B665" w14:textId="644A48B1" w:rsidR="00E12328" w:rsidRDefault="00E12328" w:rsidP="00CE327C">
      <w:pPr>
        <w:pStyle w:val="Odstavecseseznamem"/>
        <w:numPr>
          <w:ilvl w:val="0"/>
          <w:numId w:val="1"/>
        </w:numPr>
      </w:pPr>
      <w:r>
        <w:t xml:space="preserve">Jaké následky má splnění promlčeného dluhu? </w:t>
      </w:r>
      <w:r w:rsidR="008C4488">
        <w:t>Může dlužník požadovat své plnění zpět?</w:t>
      </w:r>
    </w:p>
    <w:p w14:paraId="7A39A1D9" w14:textId="6DB26797" w:rsidR="00173E37" w:rsidRDefault="002E2A57" w:rsidP="00CE327C">
      <w:pPr>
        <w:pStyle w:val="Odstavecseseznamem"/>
        <w:numPr>
          <w:ilvl w:val="0"/>
          <w:numId w:val="1"/>
        </w:numPr>
      </w:pPr>
      <w:r>
        <w:t>Která majetková práva se nepromlčují?</w:t>
      </w:r>
    </w:p>
    <w:p w14:paraId="703D0A68" w14:textId="13D08ED9" w:rsidR="002E2A57" w:rsidRDefault="00513004" w:rsidP="00CE327C">
      <w:pPr>
        <w:pStyle w:val="Odstavecseseznamem"/>
        <w:numPr>
          <w:ilvl w:val="0"/>
          <w:numId w:val="1"/>
        </w:numPr>
      </w:pPr>
      <w:r>
        <w:t xml:space="preserve">Jaký je rozdíl mezi promlčecí lhůtou se subjektivně </w:t>
      </w:r>
      <w:r w:rsidR="0015297B">
        <w:t>a </w:t>
      </w:r>
      <w:r>
        <w:t>s objektivně určeným počátkem?</w:t>
      </w:r>
    </w:p>
    <w:p w14:paraId="4019FC6E" w14:textId="158AC1F4" w:rsidR="00513004" w:rsidRDefault="00EB7DBE" w:rsidP="00CE327C">
      <w:pPr>
        <w:pStyle w:val="Odstavecseseznamem"/>
        <w:numPr>
          <w:ilvl w:val="0"/>
          <w:numId w:val="1"/>
        </w:numPr>
      </w:pPr>
      <w:r>
        <w:t xml:space="preserve">Některá práva mají počátek subjektivní promlčecí lhůty stanoven odlišně od obecné úpravy. </w:t>
      </w:r>
      <w:r w:rsidR="0015297B">
        <w:t>O </w:t>
      </w:r>
      <w:r>
        <w:t xml:space="preserve">jaká práva se jedná </w:t>
      </w:r>
      <w:r w:rsidR="0015297B">
        <w:t>a </w:t>
      </w:r>
      <w:r>
        <w:t xml:space="preserve">v čem </w:t>
      </w:r>
      <w:r w:rsidR="00410F08">
        <w:t>rozdíly spočívají?</w:t>
      </w:r>
    </w:p>
    <w:p w14:paraId="50113498" w14:textId="52392336" w:rsidR="00542FCD" w:rsidRDefault="00C94D42" w:rsidP="00CE327C">
      <w:pPr>
        <w:pStyle w:val="Odstavecseseznamem"/>
        <w:numPr>
          <w:ilvl w:val="0"/>
          <w:numId w:val="1"/>
        </w:numPr>
      </w:pPr>
      <w:r>
        <w:t>Které okolnosti vedou k přerušení běhu promlčecí lhůty?</w:t>
      </w:r>
    </w:p>
    <w:p w14:paraId="7508BD35" w14:textId="1F638369" w:rsidR="00C94D42" w:rsidRDefault="00C94D42" w:rsidP="00CE327C">
      <w:pPr>
        <w:pStyle w:val="Odstavecseseznamem"/>
        <w:numPr>
          <w:ilvl w:val="0"/>
          <w:numId w:val="1"/>
        </w:numPr>
      </w:pPr>
      <w:r>
        <w:t>Kdy nejdříve skončí pře</w:t>
      </w:r>
      <w:r w:rsidR="0030799E">
        <w:t>rušená promlčecí lhůta?</w:t>
      </w:r>
    </w:p>
    <w:p w14:paraId="47B51681" w14:textId="09A44386" w:rsidR="008707EA" w:rsidRDefault="008707EA" w:rsidP="00CE327C">
      <w:pPr>
        <w:pStyle w:val="Odstavecseseznamem"/>
        <w:numPr>
          <w:ilvl w:val="0"/>
          <w:numId w:val="1"/>
        </w:numPr>
      </w:pPr>
      <w:r>
        <w:t>Jak dlouhá je obecná subjektivní promlčecí lhůta?</w:t>
      </w:r>
    </w:p>
    <w:p w14:paraId="7DBF1E1A" w14:textId="1E18F3BA" w:rsidR="008707EA" w:rsidRDefault="008707EA" w:rsidP="00CE327C">
      <w:pPr>
        <w:pStyle w:val="Odstavecseseznamem"/>
        <w:numPr>
          <w:ilvl w:val="0"/>
          <w:numId w:val="1"/>
        </w:numPr>
      </w:pPr>
      <w:r>
        <w:t xml:space="preserve">Jak dlouhá je obecná objektivní promlčecí lhůta </w:t>
      </w:r>
      <w:r w:rsidR="0015297B">
        <w:t>u </w:t>
      </w:r>
      <w:r>
        <w:t>majetkových práv?</w:t>
      </w:r>
    </w:p>
    <w:p w14:paraId="20F72147" w14:textId="5B66E9AC" w:rsidR="007A0B2C" w:rsidRDefault="007A0B2C" w:rsidP="00CE327C">
      <w:pPr>
        <w:pStyle w:val="Odstavecseseznamem"/>
        <w:numPr>
          <w:ilvl w:val="0"/>
          <w:numId w:val="1"/>
        </w:numPr>
      </w:pPr>
      <w:r>
        <w:t xml:space="preserve">Jak dlouhá je objektivní promlčecí lhůta v případě práva na náhradu škody </w:t>
      </w:r>
      <w:r w:rsidR="0015297B">
        <w:t>a </w:t>
      </w:r>
      <w:r>
        <w:t xml:space="preserve">na vydání bezdůvodného obohacení? Liší se nějak, </w:t>
      </w:r>
      <w:r w:rsidR="0026758E">
        <w:t>došlo-li ke vzniku škoda nebo bezdůvodného obohacení úmyslně?</w:t>
      </w:r>
    </w:p>
    <w:p w14:paraId="4F59C888" w14:textId="3CFB4839" w:rsidR="0026758E" w:rsidRDefault="0026758E" w:rsidP="00CE327C">
      <w:pPr>
        <w:pStyle w:val="Odstavecseseznamem"/>
        <w:numPr>
          <w:ilvl w:val="0"/>
          <w:numId w:val="1"/>
        </w:numPr>
      </w:pPr>
      <w:r>
        <w:t xml:space="preserve">Jaké důsledky má uznání dluhu </w:t>
      </w:r>
      <w:r w:rsidR="0015297B">
        <w:t>a </w:t>
      </w:r>
      <w:r w:rsidR="00492B86">
        <w:t>rozhodnutí orgánu veřejné moci na běh promlčecí lhůty?</w:t>
      </w:r>
    </w:p>
    <w:p w14:paraId="782539AE" w14:textId="434FFB13" w:rsidR="00CE327C" w:rsidRDefault="00E53652" w:rsidP="00CE327C">
      <w:pPr>
        <w:pStyle w:val="Odstavecseseznamem"/>
        <w:numPr>
          <w:ilvl w:val="0"/>
          <w:numId w:val="1"/>
        </w:numPr>
      </w:pPr>
      <w:r>
        <w:t>Př</w:t>
      </w:r>
      <w:r w:rsidR="00C92D41">
        <w:t xml:space="preserve">ihlíží soud k prekluzi </w:t>
      </w:r>
      <w:r w:rsidR="00A937F8">
        <w:t xml:space="preserve">práva </w:t>
      </w:r>
      <w:r w:rsidR="00C92D41">
        <w:t>z úřední povinnosti?</w:t>
      </w:r>
    </w:p>
    <w:p w14:paraId="0685F557" w14:textId="3DC69B29" w:rsidR="00FD1E8B" w:rsidRDefault="00FD1E8B" w:rsidP="00CE327C">
      <w:pPr>
        <w:pStyle w:val="Odstavecseseznamem"/>
        <w:numPr>
          <w:ilvl w:val="0"/>
          <w:numId w:val="1"/>
        </w:numPr>
      </w:pPr>
      <w:r>
        <w:t xml:space="preserve">Kde jinde kromě občanského zákoníku nalezneme </w:t>
      </w:r>
      <w:r w:rsidR="00853880">
        <w:t>prekluzivní lhůty? Uveďte příklad.</w:t>
      </w:r>
    </w:p>
    <w:p w14:paraId="1C2A5F5C" w14:textId="3F961F9A" w:rsidR="00CE327C" w:rsidRDefault="00CE327C" w:rsidP="00CE327C">
      <w:pPr>
        <w:pStyle w:val="Nadpis1"/>
      </w:pPr>
      <w:r>
        <w:t>Seznam zkratek</w:t>
      </w:r>
    </w:p>
    <w:p w14:paraId="7E4F003D" w14:textId="77777777" w:rsidR="00CE327C" w:rsidRPr="00CE327C" w:rsidRDefault="00CE327C" w:rsidP="00CE327C">
      <w:pPr>
        <w:rPr>
          <w:sz w:val="22"/>
        </w:rPr>
      </w:pPr>
      <w:r w:rsidRPr="00CE327C">
        <w:rPr>
          <w:sz w:val="22"/>
        </w:rPr>
        <w:t>OZ</w:t>
      </w:r>
      <w:r w:rsidRPr="00CE327C">
        <w:rPr>
          <w:sz w:val="22"/>
        </w:rPr>
        <w:tab/>
      </w:r>
      <w:r w:rsidRPr="00CE327C">
        <w:rPr>
          <w:sz w:val="22"/>
        </w:rPr>
        <w:tab/>
      </w:r>
      <w:r w:rsidRPr="00CE327C">
        <w:rPr>
          <w:sz w:val="22"/>
        </w:rPr>
        <w:tab/>
      </w:r>
      <w:r w:rsidRPr="00CE327C">
        <w:rPr>
          <w:sz w:val="22"/>
        </w:rPr>
        <w:tab/>
      </w:r>
      <w:r w:rsidRPr="00CE327C">
        <w:rPr>
          <w:sz w:val="22"/>
        </w:rPr>
        <w:tab/>
      </w:r>
      <w:r w:rsidRPr="00CE327C">
        <w:rPr>
          <w:sz w:val="22"/>
        </w:rPr>
        <w:tab/>
        <w:t>zákon č. 89/2012 Sb., občanský zákoník</w:t>
      </w:r>
    </w:p>
    <w:p w14:paraId="37C91D78" w14:textId="77777777" w:rsidR="00CE327C" w:rsidRPr="00CE327C" w:rsidRDefault="00CE327C" w:rsidP="00CE327C">
      <w:pPr>
        <w:rPr>
          <w:sz w:val="22"/>
        </w:rPr>
      </w:pPr>
      <w:r w:rsidRPr="00CE327C">
        <w:rPr>
          <w:sz w:val="22"/>
        </w:rPr>
        <w:t>OZ 1964</w:t>
      </w:r>
      <w:r w:rsidRPr="00CE327C">
        <w:rPr>
          <w:sz w:val="22"/>
        </w:rPr>
        <w:tab/>
      </w:r>
      <w:r w:rsidRPr="00CE327C">
        <w:rPr>
          <w:sz w:val="22"/>
        </w:rPr>
        <w:tab/>
      </w:r>
      <w:r w:rsidRPr="00CE327C">
        <w:rPr>
          <w:sz w:val="22"/>
        </w:rPr>
        <w:tab/>
      </w:r>
      <w:r w:rsidRPr="00CE327C">
        <w:rPr>
          <w:sz w:val="22"/>
        </w:rPr>
        <w:tab/>
      </w:r>
      <w:r w:rsidRPr="00CE327C">
        <w:rPr>
          <w:sz w:val="22"/>
        </w:rPr>
        <w:tab/>
        <w:t>zákon č. 40/1964 Sb., občanský zákoník</w:t>
      </w:r>
    </w:p>
    <w:p w14:paraId="7D473953" w14:textId="75085227" w:rsidR="00CE327C" w:rsidRDefault="00CE327C" w:rsidP="00CE327C">
      <w:pPr>
        <w:pStyle w:val="Nadpis1"/>
      </w:pPr>
      <w:r>
        <w:t>Seznam použitých pramenů</w:t>
      </w:r>
    </w:p>
    <w:p w14:paraId="5B44909C" w14:textId="56965149" w:rsidR="00CE327C" w:rsidRPr="00CE327C" w:rsidRDefault="00CE327C" w:rsidP="00CE327C">
      <w:pPr>
        <w:pStyle w:val="Nadpis2"/>
      </w:pPr>
      <w:r>
        <w:t xml:space="preserve">Komentářová literatura, </w:t>
      </w:r>
      <w:r w:rsidR="009B72E4">
        <w:t xml:space="preserve">odborné články, </w:t>
      </w:r>
      <w:r>
        <w:t xml:space="preserve">učebnice </w:t>
      </w:r>
      <w:r w:rsidR="0015297B">
        <w:t>a </w:t>
      </w:r>
      <w:r>
        <w:t>monografie</w:t>
      </w:r>
    </w:p>
    <w:p w14:paraId="248FEA45" w14:textId="43081B1E" w:rsidR="009D3E9B" w:rsidRPr="009D3E9B" w:rsidRDefault="00E2380C" w:rsidP="009D3E9B">
      <w:pPr>
        <w:pStyle w:val="Bibliografie"/>
        <w:rPr>
          <w:rFonts w:cs="Times New Roman"/>
        </w:rPr>
      </w:pPr>
      <w:r>
        <w:fldChar w:fldCharType="begin"/>
      </w:r>
      <w:r w:rsidR="00596A01">
        <w:instrText xml:space="preserve"> ADDIN ZOTERO_BIBL {"uncited":[],"omitted":[],"custom":[]} CSL_BIBLIOGRAPHY </w:instrText>
      </w:r>
      <w:r>
        <w:fldChar w:fldCharType="separate"/>
      </w:r>
      <w:r w:rsidR="009D3E9B" w:rsidRPr="009D3E9B">
        <w:rPr>
          <w:rFonts w:cs="Times New Roman"/>
        </w:rPr>
        <w:t xml:space="preserve">Hurdík, J. et al. </w:t>
      </w:r>
      <w:r w:rsidR="009D3E9B" w:rsidRPr="009D3E9B">
        <w:rPr>
          <w:rFonts w:cs="Times New Roman"/>
          <w:i/>
          <w:iCs/>
        </w:rPr>
        <w:t>Občanské právo hmotné: obecná část, absolutní majetková práva</w:t>
      </w:r>
      <w:r w:rsidR="009D3E9B" w:rsidRPr="009D3E9B">
        <w:rPr>
          <w:rFonts w:cs="Times New Roman"/>
        </w:rPr>
        <w:t xml:space="preserve">. Vydavatelství </w:t>
      </w:r>
      <w:r w:rsidR="0015297B" w:rsidRPr="009D3E9B">
        <w:rPr>
          <w:rFonts w:cs="Times New Roman"/>
        </w:rPr>
        <w:t>a</w:t>
      </w:r>
      <w:r w:rsidR="0015297B">
        <w:rPr>
          <w:rFonts w:cs="Times New Roman"/>
        </w:rPr>
        <w:t> </w:t>
      </w:r>
      <w:r w:rsidR="009D3E9B" w:rsidRPr="009D3E9B">
        <w:rPr>
          <w:rFonts w:cs="Times New Roman"/>
        </w:rPr>
        <w:t>nakladatelství Aleš Čeněk, 2013.</w:t>
      </w:r>
    </w:p>
    <w:p w14:paraId="401B20C6" w14:textId="77777777" w:rsidR="009D3E9B" w:rsidRPr="009D3E9B" w:rsidRDefault="009D3E9B" w:rsidP="009D3E9B">
      <w:pPr>
        <w:pStyle w:val="Bibliografie"/>
        <w:rPr>
          <w:rFonts w:cs="Times New Roman"/>
        </w:rPr>
      </w:pPr>
      <w:r w:rsidRPr="009D3E9B">
        <w:rPr>
          <w:rFonts w:cs="Times New Roman"/>
        </w:rPr>
        <w:t xml:space="preserve">Lavický, P. et al. </w:t>
      </w:r>
      <w:r w:rsidRPr="009D3E9B">
        <w:rPr>
          <w:rFonts w:cs="Times New Roman"/>
          <w:i/>
          <w:iCs/>
        </w:rPr>
        <w:t>Občanský zákoník: komentář. I: Obecná část (§ 1–654)</w:t>
      </w:r>
      <w:r w:rsidRPr="009D3E9B">
        <w:rPr>
          <w:rFonts w:cs="Times New Roman"/>
        </w:rPr>
        <w:t>. Praha: C.H. Beck, 2014. Velké komentáře.</w:t>
      </w:r>
    </w:p>
    <w:p w14:paraId="6BC51F3F" w14:textId="77777777" w:rsidR="009D3E9B" w:rsidRPr="009D3E9B" w:rsidRDefault="009D3E9B" w:rsidP="009D3E9B">
      <w:pPr>
        <w:pStyle w:val="Bibliografie"/>
        <w:rPr>
          <w:rFonts w:cs="Times New Roman"/>
        </w:rPr>
      </w:pPr>
      <w:r w:rsidRPr="009D3E9B">
        <w:rPr>
          <w:rFonts w:cs="Times New Roman"/>
        </w:rPr>
        <w:t xml:space="preserve">Petrov, J. et al. </w:t>
      </w:r>
      <w:r w:rsidRPr="009D3E9B">
        <w:rPr>
          <w:rFonts w:cs="Times New Roman"/>
          <w:i/>
          <w:iCs/>
        </w:rPr>
        <w:t>Občanský zákoník: komentář</w:t>
      </w:r>
      <w:r w:rsidRPr="009D3E9B">
        <w:rPr>
          <w:rFonts w:cs="Times New Roman"/>
        </w:rPr>
        <w:t>. Praha: C.H. Beck, 2017. Beckova edice komentované zákony.</w:t>
      </w:r>
    </w:p>
    <w:p w14:paraId="044CB37E" w14:textId="77777777" w:rsidR="009D3E9B" w:rsidRPr="009D3E9B" w:rsidRDefault="009D3E9B" w:rsidP="009D3E9B">
      <w:pPr>
        <w:pStyle w:val="Bibliografie"/>
        <w:rPr>
          <w:rFonts w:cs="Times New Roman"/>
        </w:rPr>
      </w:pPr>
      <w:r w:rsidRPr="009D3E9B">
        <w:rPr>
          <w:rFonts w:cs="Times New Roman"/>
        </w:rPr>
        <w:t xml:space="preserve">Ronovská, K., Lavický, P., Dobrovolná, E. </w:t>
      </w:r>
      <w:r w:rsidRPr="009D3E9B">
        <w:rPr>
          <w:rFonts w:cs="Times New Roman"/>
          <w:i/>
          <w:iCs/>
        </w:rPr>
        <w:t>Úvod do soukromého práva: obecná část</w:t>
      </w:r>
      <w:r w:rsidRPr="009D3E9B">
        <w:rPr>
          <w:rFonts w:cs="Times New Roman"/>
        </w:rPr>
        <w:t>. Česká společnost pro civilní právo procesní, 2018. Řada učebních skript.</w:t>
      </w:r>
    </w:p>
    <w:p w14:paraId="0D8EA924" w14:textId="5FCAFFD8" w:rsidR="009D3E9B" w:rsidRPr="009D3E9B" w:rsidRDefault="009D3E9B" w:rsidP="009D3E9B">
      <w:pPr>
        <w:pStyle w:val="Bibliografie"/>
        <w:rPr>
          <w:rFonts w:cs="Times New Roman"/>
        </w:rPr>
      </w:pPr>
      <w:r w:rsidRPr="009D3E9B">
        <w:rPr>
          <w:rFonts w:cs="Times New Roman"/>
        </w:rPr>
        <w:t xml:space="preserve">Rozehnal, A., Hurdík, J. </w:t>
      </w:r>
      <w:r w:rsidRPr="009D3E9B">
        <w:rPr>
          <w:rFonts w:cs="Times New Roman"/>
          <w:i/>
          <w:iCs/>
        </w:rPr>
        <w:t>Praktikum občanského práva hmotného</w:t>
      </w:r>
      <w:r w:rsidRPr="009D3E9B">
        <w:rPr>
          <w:rFonts w:cs="Times New Roman"/>
        </w:rPr>
        <w:t xml:space="preserve">. Plzeň: Vydavatelství </w:t>
      </w:r>
      <w:r w:rsidR="0015297B" w:rsidRPr="009D3E9B">
        <w:rPr>
          <w:rFonts w:cs="Times New Roman"/>
        </w:rPr>
        <w:t>a</w:t>
      </w:r>
      <w:r w:rsidR="0015297B">
        <w:rPr>
          <w:rFonts w:cs="Times New Roman"/>
        </w:rPr>
        <w:t> </w:t>
      </w:r>
      <w:r w:rsidRPr="009D3E9B">
        <w:rPr>
          <w:rFonts w:cs="Times New Roman"/>
        </w:rPr>
        <w:t>nakladatelství Aleš Čeněk, 2020.</w:t>
      </w:r>
    </w:p>
    <w:p w14:paraId="34FB7EAE" w14:textId="47CC19AD" w:rsidR="009D3E9B" w:rsidRPr="009D3E9B" w:rsidRDefault="009D3E9B" w:rsidP="009D3E9B">
      <w:pPr>
        <w:pStyle w:val="Bibliografie"/>
        <w:rPr>
          <w:rFonts w:cs="Times New Roman"/>
        </w:rPr>
      </w:pPr>
      <w:r w:rsidRPr="009D3E9B">
        <w:rPr>
          <w:rFonts w:cs="Times New Roman"/>
        </w:rPr>
        <w:t xml:space="preserve">Sogel, L. Vztah § 626 </w:t>
      </w:r>
      <w:r w:rsidR="0015297B" w:rsidRPr="009D3E9B">
        <w:rPr>
          <w:rFonts w:cs="Times New Roman"/>
        </w:rPr>
        <w:t>a</w:t>
      </w:r>
      <w:r w:rsidR="0015297B">
        <w:rPr>
          <w:rFonts w:cs="Times New Roman"/>
        </w:rPr>
        <w:t> </w:t>
      </w:r>
      <w:r w:rsidRPr="009D3E9B">
        <w:rPr>
          <w:rFonts w:cs="Times New Roman"/>
        </w:rPr>
        <w:t xml:space="preserve">§ 635 odst. 2 občanského zákoníku </w:t>
      </w:r>
      <w:r w:rsidR="0015297B" w:rsidRPr="009D3E9B">
        <w:rPr>
          <w:rFonts w:cs="Times New Roman"/>
        </w:rPr>
        <w:t>v</w:t>
      </w:r>
      <w:r w:rsidR="0015297B">
        <w:rPr>
          <w:rFonts w:cs="Times New Roman"/>
        </w:rPr>
        <w:t> </w:t>
      </w:r>
      <w:r w:rsidRPr="009D3E9B">
        <w:rPr>
          <w:rFonts w:cs="Times New Roman"/>
        </w:rPr>
        <w:t xml:space="preserve">rámci úpravy promlčení práva na pojistné plnění </w:t>
      </w:r>
      <w:r w:rsidR="0015297B" w:rsidRPr="009D3E9B">
        <w:rPr>
          <w:rFonts w:cs="Times New Roman"/>
        </w:rPr>
        <w:t>z</w:t>
      </w:r>
      <w:r w:rsidR="0015297B">
        <w:rPr>
          <w:rFonts w:cs="Times New Roman"/>
        </w:rPr>
        <w:t> </w:t>
      </w:r>
      <w:r w:rsidRPr="009D3E9B">
        <w:rPr>
          <w:rFonts w:cs="Times New Roman"/>
        </w:rPr>
        <w:t xml:space="preserve">pojištění odpovědnosti. </w:t>
      </w:r>
      <w:r w:rsidRPr="009D3E9B">
        <w:rPr>
          <w:rFonts w:cs="Times New Roman"/>
          <w:i/>
          <w:iCs/>
        </w:rPr>
        <w:t>Iurium</w:t>
      </w:r>
      <w:r w:rsidRPr="009D3E9B">
        <w:rPr>
          <w:rFonts w:cs="Times New Roman"/>
        </w:rPr>
        <w:t>. 2020 [cit. 20. 12. 2020]. https://www.iurium.cz/2020/12/19/vztah-%c2%a7-626-a-%c2%a7-635-odst-2-obcanskeho-zakoniku-v-ramci-upravy-promlceni-prava-na-pojistne-plneni-z-pojisteni-odpovednosti/</w:t>
      </w:r>
    </w:p>
    <w:p w14:paraId="2F37A052" w14:textId="77777777" w:rsidR="009D3E9B" w:rsidRPr="009D3E9B" w:rsidRDefault="009D3E9B" w:rsidP="009D3E9B">
      <w:pPr>
        <w:pStyle w:val="Bibliografie"/>
        <w:rPr>
          <w:rFonts w:cs="Times New Roman"/>
        </w:rPr>
      </w:pPr>
      <w:r w:rsidRPr="009D3E9B">
        <w:rPr>
          <w:rFonts w:cs="Times New Roman"/>
        </w:rPr>
        <w:lastRenderedPageBreak/>
        <w:t xml:space="preserve">Švestka, J. et al. </w:t>
      </w:r>
      <w:r w:rsidRPr="009D3E9B">
        <w:rPr>
          <w:rFonts w:cs="Times New Roman"/>
          <w:i/>
          <w:iCs/>
        </w:rPr>
        <w:t>Občanský zákoník: komentář. Svazek I, Obecná část (§ 1 až 654)</w:t>
      </w:r>
      <w:r w:rsidRPr="009D3E9B">
        <w:rPr>
          <w:rFonts w:cs="Times New Roman"/>
        </w:rPr>
        <w:t>. Wolters Kluwer, 2020. Komentáře Wolters Kluwer.</w:t>
      </w:r>
    </w:p>
    <w:p w14:paraId="040E2BBB" w14:textId="77777777" w:rsidR="009D3E9B" w:rsidRPr="009D3E9B" w:rsidRDefault="009D3E9B" w:rsidP="009D3E9B">
      <w:pPr>
        <w:pStyle w:val="Bibliografie"/>
        <w:rPr>
          <w:rFonts w:cs="Times New Roman"/>
        </w:rPr>
      </w:pPr>
      <w:r w:rsidRPr="009D3E9B">
        <w:rPr>
          <w:rFonts w:cs="Times New Roman"/>
        </w:rPr>
        <w:t xml:space="preserve">Tichý, L. </w:t>
      </w:r>
      <w:r w:rsidRPr="009D3E9B">
        <w:rPr>
          <w:rFonts w:cs="Times New Roman"/>
          <w:i/>
          <w:iCs/>
        </w:rPr>
        <w:t>Obecná část občanského práva</w:t>
      </w:r>
      <w:r w:rsidRPr="009D3E9B">
        <w:rPr>
          <w:rFonts w:cs="Times New Roman"/>
        </w:rPr>
        <w:t>. Praha: C.H. Beck, 2014. Právní praxe.</w:t>
      </w:r>
    </w:p>
    <w:p w14:paraId="4E7C1E35" w14:textId="3CE56510" w:rsidR="00CE327C" w:rsidRDefault="00E2380C" w:rsidP="00CE327C">
      <w:pPr>
        <w:pStyle w:val="Nadpis2"/>
      </w:pPr>
      <w:r>
        <w:fldChar w:fldCharType="end"/>
      </w:r>
      <w:r w:rsidR="00CE327C">
        <w:t>Judikatura</w:t>
      </w:r>
    </w:p>
    <w:p w14:paraId="4D4E93D3" w14:textId="6B3FC1FD" w:rsidR="00EE6C80" w:rsidRDefault="00EE6C80" w:rsidP="00EE6C80">
      <w:r w:rsidRPr="00EE6C80">
        <w:t xml:space="preserve">Nález Ústavního soudu ze dne 15. 1. 1997, </w:t>
      </w:r>
      <w:proofErr w:type="spellStart"/>
      <w:r w:rsidRPr="00EE6C80">
        <w:t>sp</w:t>
      </w:r>
      <w:proofErr w:type="spellEnd"/>
      <w:r w:rsidRPr="00EE6C80">
        <w:t>. zn. II. ÚS 309/95.</w:t>
      </w:r>
    </w:p>
    <w:p w14:paraId="0801EFAA" w14:textId="0218F5F0" w:rsidR="003E5CFC" w:rsidRDefault="003E5CFC" w:rsidP="00EE6C80">
      <w:r w:rsidRPr="003E5CFC">
        <w:t xml:space="preserve">Rozsudek Nejvyššího soudu ze dne 28. 11. 2001, </w:t>
      </w:r>
      <w:proofErr w:type="spellStart"/>
      <w:r w:rsidRPr="003E5CFC">
        <w:t>sp</w:t>
      </w:r>
      <w:proofErr w:type="spellEnd"/>
      <w:r w:rsidRPr="003E5CFC">
        <w:t xml:space="preserve">. zn. 22 </w:t>
      </w:r>
      <w:proofErr w:type="spellStart"/>
      <w:r w:rsidRPr="003E5CFC">
        <w:t>Cdo</w:t>
      </w:r>
      <w:proofErr w:type="spellEnd"/>
      <w:r w:rsidRPr="003E5CFC">
        <w:t xml:space="preserve"> 1669/2000.</w:t>
      </w:r>
    </w:p>
    <w:p w14:paraId="70F78C35" w14:textId="1D60F4EF" w:rsidR="00B9717E" w:rsidRPr="00EE6C80" w:rsidRDefault="00B9717E" w:rsidP="00EE6C80">
      <w:r w:rsidRPr="00B9717E">
        <w:t xml:space="preserve">Rozsudek Nejvyššího soudu ze dne 27. 11. 2002, </w:t>
      </w:r>
      <w:proofErr w:type="spellStart"/>
      <w:r w:rsidRPr="00B9717E">
        <w:t>sp</w:t>
      </w:r>
      <w:proofErr w:type="spellEnd"/>
      <w:r w:rsidRPr="00B9717E">
        <w:t xml:space="preserve">. zn. 29 </w:t>
      </w:r>
      <w:proofErr w:type="spellStart"/>
      <w:r w:rsidRPr="00B9717E">
        <w:t>Cdo</w:t>
      </w:r>
      <w:proofErr w:type="spellEnd"/>
      <w:r w:rsidRPr="00B9717E">
        <w:t xml:space="preserve"> 2860/2000.</w:t>
      </w:r>
    </w:p>
    <w:p w14:paraId="41F41BE2" w14:textId="22C1B916" w:rsidR="00CE327C" w:rsidRDefault="00393CFD" w:rsidP="00CE327C">
      <w:r>
        <w:t>R</w:t>
      </w:r>
      <w:r w:rsidRPr="00393CFD">
        <w:t xml:space="preserve">ozsudek Nejvyššího soudu ze dne 30. 3. 2010, </w:t>
      </w:r>
      <w:proofErr w:type="spellStart"/>
      <w:r w:rsidRPr="00393CFD">
        <w:t>sp</w:t>
      </w:r>
      <w:proofErr w:type="spellEnd"/>
      <w:r w:rsidRPr="00393CFD">
        <w:t xml:space="preserve">. zn. 33 </w:t>
      </w:r>
      <w:proofErr w:type="spellStart"/>
      <w:r w:rsidRPr="00393CFD">
        <w:t>Cdo</w:t>
      </w:r>
      <w:proofErr w:type="spellEnd"/>
      <w:r w:rsidRPr="00393CFD">
        <w:t xml:space="preserve"> 1956/2007</w:t>
      </w:r>
      <w:r>
        <w:t>.</w:t>
      </w:r>
    </w:p>
    <w:p w14:paraId="2A70BCAB" w14:textId="77777777" w:rsidR="00496E82" w:rsidRDefault="00496E82" w:rsidP="00496E82">
      <w:r>
        <w:t xml:space="preserve">Rozsudek Nejvyššího soudu ze dne 8. 2. 2011, </w:t>
      </w:r>
      <w:proofErr w:type="spellStart"/>
      <w:r>
        <w:t>sp</w:t>
      </w:r>
      <w:proofErr w:type="spellEnd"/>
      <w:r>
        <w:t xml:space="preserve">. zn. 21 </w:t>
      </w:r>
      <w:proofErr w:type="spellStart"/>
      <w:r>
        <w:t>Cdo</w:t>
      </w:r>
      <w:proofErr w:type="spellEnd"/>
      <w:r>
        <w:t xml:space="preserve"> 85/2010.</w:t>
      </w:r>
      <w:r w:rsidRPr="00496E82">
        <w:t xml:space="preserve"> </w:t>
      </w:r>
    </w:p>
    <w:p w14:paraId="7CE649AB" w14:textId="435FBD22" w:rsidR="00496E82" w:rsidRDefault="00496E82" w:rsidP="00496E82">
      <w:r w:rsidRPr="00496E82">
        <w:t xml:space="preserve">Rozsudek Nejvyššího soudu ze dne 17. 10. 2012, </w:t>
      </w:r>
      <w:proofErr w:type="spellStart"/>
      <w:r w:rsidRPr="00496E82">
        <w:t>sp</w:t>
      </w:r>
      <w:proofErr w:type="spellEnd"/>
      <w:r w:rsidRPr="00496E82">
        <w:t xml:space="preserve">. zn. 30 </w:t>
      </w:r>
      <w:proofErr w:type="spellStart"/>
      <w:r w:rsidRPr="00496E82">
        <w:t>Cdo</w:t>
      </w:r>
      <w:proofErr w:type="spellEnd"/>
      <w:r w:rsidRPr="00496E82">
        <w:t xml:space="preserve"> 3825/2011.</w:t>
      </w:r>
    </w:p>
    <w:p w14:paraId="4AE79B44" w14:textId="654081AD" w:rsidR="00A4577B" w:rsidRDefault="00A4577B" w:rsidP="00496E82">
      <w:r w:rsidRPr="00A4577B">
        <w:t xml:space="preserve">Rozsudek Nejvyššího soudu ze dne 28. 5. 2020, </w:t>
      </w:r>
      <w:proofErr w:type="spellStart"/>
      <w:r w:rsidRPr="00A4577B">
        <w:t>sp</w:t>
      </w:r>
      <w:proofErr w:type="spellEnd"/>
      <w:r w:rsidRPr="00A4577B">
        <w:t xml:space="preserve">. zn. 25 </w:t>
      </w:r>
      <w:proofErr w:type="spellStart"/>
      <w:r w:rsidRPr="00A4577B">
        <w:t>Cdo</w:t>
      </w:r>
      <w:proofErr w:type="spellEnd"/>
      <w:r w:rsidRPr="00A4577B">
        <w:t xml:space="preserve"> 1510/2019.</w:t>
      </w:r>
    </w:p>
    <w:p w14:paraId="76BBA542" w14:textId="1C282BC6" w:rsidR="00AA5BB4" w:rsidRDefault="00AA5BB4" w:rsidP="00496E82">
      <w:r w:rsidRPr="00AA5BB4">
        <w:t xml:space="preserve">Rozsudek Nejvyššího soudu ze dne 28. 11. 2019, </w:t>
      </w:r>
      <w:proofErr w:type="spellStart"/>
      <w:r w:rsidRPr="00AA5BB4">
        <w:t>sp</w:t>
      </w:r>
      <w:proofErr w:type="spellEnd"/>
      <w:r w:rsidRPr="00AA5BB4">
        <w:t xml:space="preserve">. zn. 25 </w:t>
      </w:r>
      <w:proofErr w:type="spellStart"/>
      <w:r w:rsidRPr="00AA5BB4">
        <w:t>Cdo</w:t>
      </w:r>
      <w:proofErr w:type="spellEnd"/>
      <w:r w:rsidRPr="00AA5BB4">
        <w:t xml:space="preserve"> 1976/2019</w:t>
      </w:r>
      <w:r>
        <w:t>.</w:t>
      </w:r>
    </w:p>
    <w:p w14:paraId="04ADD55B" w14:textId="576ED507" w:rsidR="00041189" w:rsidRPr="00CE327C" w:rsidRDefault="00041189" w:rsidP="00496E82">
      <w:r w:rsidRPr="00041189">
        <w:t xml:space="preserve">Rozsudek Nejvyššího soudu ze dne 28. 11. 2019, </w:t>
      </w:r>
      <w:proofErr w:type="spellStart"/>
      <w:r w:rsidRPr="00041189">
        <w:t>sp</w:t>
      </w:r>
      <w:proofErr w:type="spellEnd"/>
      <w:r w:rsidRPr="00041189">
        <w:t xml:space="preserve">. zn. 33 </w:t>
      </w:r>
      <w:proofErr w:type="spellStart"/>
      <w:r w:rsidRPr="00041189">
        <w:t>Cdo</w:t>
      </w:r>
      <w:proofErr w:type="spellEnd"/>
      <w:r w:rsidRPr="00041189">
        <w:t xml:space="preserve"> 3037/2019.</w:t>
      </w:r>
    </w:p>
    <w:sectPr w:rsidR="00041189" w:rsidRPr="00CE327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883A4" w14:textId="77777777" w:rsidR="002A6BDF" w:rsidRDefault="002A6BDF" w:rsidP="00CE327C">
      <w:pPr>
        <w:spacing w:after="0" w:line="240" w:lineRule="auto"/>
      </w:pPr>
      <w:r>
        <w:separator/>
      </w:r>
    </w:p>
  </w:endnote>
  <w:endnote w:type="continuationSeparator" w:id="0">
    <w:p w14:paraId="4CFAE4C9" w14:textId="77777777" w:rsidR="002A6BDF" w:rsidRDefault="002A6BDF" w:rsidP="00CE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9369"/>
      <w:docPartObj>
        <w:docPartGallery w:val="Page Numbers (Bottom of Page)"/>
        <w:docPartUnique/>
      </w:docPartObj>
    </w:sdtPr>
    <w:sdtEndPr/>
    <w:sdtContent>
      <w:p w14:paraId="5FCA352E" w14:textId="375765D0" w:rsidR="00CE327C" w:rsidRDefault="00CE327C">
        <w:pPr>
          <w:pStyle w:val="Zpat"/>
          <w:jc w:val="center"/>
        </w:pPr>
        <w:r>
          <w:fldChar w:fldCharType="begin"/>
        </w:r>
        <w:r>
          <w:instrText>PAGE   \* MERGEFORMAT</w:instrText>
        </w:r>
        <w:r>
          <w:fldChar w:fldCharType="separate"/>
        </w:r>
        <w:r w:rsidR="0070253B">
          <w:rPr>
            <w:noProof/>
          </w:rPr>
          <w:t>10</w:t>
        </w:r>
        <w:r>
          <w:fldChar w:fldCharType="end"/>
        </w:r>
      </w:p>
    </w:sdtContent>
  </w:sdt>
  <w:p w14:paraId="214EFB33" w14:textId="77777777" w:rsidR="00CE327C" w:rsidRDefault="00CE32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7F8B1" w14:textId="77777777" w:rsidR="002A6BDF" w:rsidRDefault="002A6BDF" w:rsidP="00CE327C">
      <w:pPr>
        <w:spacing w:after="0" w:line="240" w:lineRule="auto"/>
      </w:pPr>
      <w:r>
        <w:separator/>
      </w:r>
    </w:p>
  </w:footnote>
  <w:footnote w:type="continuationSeparator" w:id="0">
    <w:p w14:paraId="61F7EDC9" w14:textId="77777777" w:rsidR="002A6BDF" w:rsidRDefault="002A6BDF" w:rsidP="00CE327C">
      <w:pPr>
        <w:spacing w:after="0" w:line="240" w:lineRule="auto"/>
      </w:pPr>
      <w:r>
        <w:continuationSeparator/>
      </w:r>
    </w:p>
  </w:footnote>
  <w:footnote w:id="1">
    <w:p w14:paraId="591AEB47" w14:textId="7CDCC455" w:rsidR="00C40922" w:rsidRDefault="00C40922">
      <w:pPr>
        <w:pStyle w:val="Textpoznpodarou"/>
      </w:pPr>
      <w:r w:rsidRPr="00817A52">
        <w:rPr>
          <w:rStyle w:val="Znakapoznpodarou"/>
        </w:rPr>
        <w:footnoteRef/>
      </w:r>
      <w:r>
        <w:t xml:space="preserve"> </w:t>
      </w:r>
      <w:r>
        <w:fldChar w:fldCharType="begin"/>
      </w:r>
      <w:r>
        <w:instrText xml:space="preserve"> ADDIN ZOTERO_ITEM CSL_CITATION {"citationID":"t2wG54Nn","properties":{"formattedCitation":"Hurd\\uc0\\u237{}k,\\uc0\\u160{}J. et al. {\\i{}Ob\\uc0\\u269{}ansk\\uc0\\u233{} pr\\uc0\\u225{}vo hmotn\\uc0\\u233{}: obecn\\uc0\\u225{} \\uc0\\u269{}\\uc0\\u225{}st, absolutn\\uc0\\u237{} majetkov\\uc0\\u225{} pr\\uc0\\u225{}va}. Vydavatelstv\\uc0\\u237{} a nakladatelstv\\uc0\\u237{} Ale\\uc0\\u353{} \\uc0\\u268{}en\\uc0\\u283{}k, 2013, s.\\uc0\\u160{}186.","plainCitation":"Hurdík, J. et al. Občanské právo hmotné: obecná část, absolutní majetková práva. Vydavatelství a nakladatelství Aleš Čeněk, 2013, s. 186.","noteIndex":1},"citationItems":[{"id":446,"uris":["http://zotero.org/users/5523905/items/YSETG36X"],"uri":["http://zotero.org/users/5523905/items/YSETG36X"],"itemData":{"id":446,"type":"book","ISBN":"978-80-7380-377-3","publisher":"Vydavatelství a nakladatelství Aleš Čeněk","title":"Občanské právo hmotné: obecná část, absolutní majetková práva","title-short":"Občanské právo hmotné","author":[{"family":"Hurdík","given":"Jan"},{"family":"Bělohlávek","given":"Alexander J."},{"family":"Plecitý","given":"Vladimír"},{"family":"Raban","given":"Přemysl"},{"family":"Doběšová","given":"Lenka"},{"family":"Pelech","given":"Josef"},{"family":"Čihák","given":"Libor"}],"issued":{"date-parts":[["2013"]]}},"locator":"186"}],"schema":"https://github.com/citation-style-language/schema/raw/master/csl-citation.json"} </w:instrText>
      </w:r>
      <w:r>
        <w:fldChar w:fldCharType="separate"/>
      </w:r>
      <w:proofErr w:type="spellStart"/>
      <w:r w:rsidRPr="00C40922">
        <w:rPr>
          <w:rFonts w:cs="Times New Roman"/>
          <w:szCs w:val="24"/>
        </w:rPr>
        <w:t>Hurdík</w:t>
      </w:r>
      <w:proofErr w:type="spellEnd"/>
      <w:r w:rsidRPr="00C40922">
        <w:rPr>
          <w:rFonts w:cs="Times New Roman"/>
          <w:szCs w:val="24"/>
        </w:rPr>
        <w:t xml:space="preserve">, J. et al. </w:t>
      </w:r>
      <w:r w:rsidRPr="00C40922">
        <w:rPr>
          <w:rFonts w:cs="Times New Roman"/>
          <w:i/>
          <w:iCs/>
          <w:szCs w:val="24"/>
        </w:rPr>
        <w:t>Občanské právo hmotné: obecná část, absolutní majetková práva</w:t>
      </w:r>
      <w:r w:rsidRPr="00C40922">
        <w:rPr>
          <w:rFonts w:cs="Times New Roman"/>
          <w:szCs w:val="24"/>
        </w:rPr>
        <w:t xml:space="preserve">. Vydavatelství </w:t>
      </w:r>
      <w:r w:rsidR="0015297B" w:rsidRPr="00C40922">
        <w:rPr>
          <w:rFonts w:cs="Times New Roman"/>
          <w:szCs w:val="24"/>
        </w:rPr>
        <w:t>a</w:t>
      </w:r>
      <w:r w:rsidR="0015297B">
        <w:rPr>
          <w:rFonts w:cs="Times New Roman"/>
          <w:szCs w:val="24"/>
        </w:rPr>
        <w:t> </w:t>
      </w:r>
      <w:r w:rsidRPr="00C40922">
        <w:rPr>
          <w:rFonts w:cs="Times New Roman"/>
          <w:szCs w:val="24"/>
        </w:rPr>
        <w:t>nakladatelství Aleš Čeněk, 2013, s. 186.</w:t>
      </w:r>
      <w:r>
        <w:fldChar w:fldCharType="end"/>
      </w:r>
    </w:p>
  </w:footnote>
  <w:footnote w:id="2">
    <w:p w14:paraId="55D30D8E" w14:textId="56C54E2B" w:rsidR="000772DB" w:rsidRDefault="000772DB">
      <w:pPr>
        <w:pStyle w:val="Textpoznpodarou"/>
      </w:pPr>
      <w:r w:rsidRPr="00817A52">
        <w:rPr>
          <w:rStyle w:val="Znakapoznpodarou"/>
        </w:rPr>
        <w:footnoteRef/>
      </w:r>
      <w:r>
        <w:t xml:space="preserve"> </w:t>
      </w:r>
      <w:r>
        <w:fldChar w:fldCharType="begin"/>
      </w:r>
      <w:r>
        <w:instrText xml:space="preserve"> ADDIN ZOTERO_ITEM CSL_CITATION {"citationID":"F99goe11","properties":{"formattedCitation":"Tich\\uc0\\u253{},\\uc0\\u160{}L. {\\i{}Obecn\\uc0\\u225{} \\uc0\\u269{}\\uc0\\u225{}st ob\\uc0\\u269{}ansk\\uc0\\u233{}ho pr\\uc0\\u225{}va}. Praha: C.H. Beck, 2014, s.\\uc0\\u160{}350.","plainCitation":"Tichý, L. Obecná část občanského práva. Praha: C.H. Beck, 2014, s. 350.","noteIndex":2},"citationItems":[{"id":210,"uris":["http://zotero.org/users/5523905/items/G6BXGML7"],"uri":["http://zotero.org/users/5523905/items/G6BXGML7"],"itemData":{"id":210,"type":"book","call-number":"347 |2 MRF","collection-title":"Právní praxe","event-place":"Praha","ISBN":"978-80-7400-483-4","number-of-pages":"372","publisher":"C.H. Beck","publisher-place":"Praha","source":"aleph.muni.cz Library Catalog","title":"Obecná část občanského práva","author":[{"family":"Tichý","given":"Luboš"}],"issued":{"date-parts":[["2014"]]}},"locator":"350"}],"schema":"https://github.com/citation-style-language/schema/raw/master/csl-citation.json"} </w:instrText>
      </w:r>
      <w:r>
        <w:fldChar w:fldCharType="separate"/>
      </w:r>
      <w:r w:rsidRPr="000772DB">
        <w:rPr>
          <w:rFonts w:cs="Times New Roman"/>
          <w:szCs w:val="24"/>
        </w:rPr>
        <w:t xml:space="preserve">Tichý, L. </w:t>
      </w:r>
      <w:r w:rsidRPr="000772DB">
        <w:rPr>
          <w:rFonts w:cs="Times New Roman"/>
          <w:i/>
          <w:iCs/>
          <w:szCs w:val="24"/>
        </w:rPr>
        <w:t>Obecná část občanského práva</w:t>
      </w:r>
      <w:r w:rsidRPr="000772DB">
        <w:rPr>
          <w:rFonts w:cs="Times New Roman"/>
          <w:szCs w:val="24"/>
        </w:rPr>
        <w:t>. Praha: C.H. Beck, 2014, s. 350.</w:t>
      </w:r>
      <w:r>
        <w:fldChar w:fldCharType="end"/>
      </w:r>
    </w:p>
  </w:footnote>
  <w:footnote w:id="3">
    <w:p w14:paraId="58D9D922" w14:textId="3B7E6E5A" w:rsidR="003810B7" w:rsidRDefault="003810B7">
      <w:pPr>
        <w:pStyle w:val="Textpoznpodarou"/>
      </w:pPr>
      <w:r w:rsidRPr="00817A52">
        <w:rPr>
          <w:rStyle w:val="Znakapoznpodarou"/>
        </w:rPr>
        <w:footnoteRef/>
      </w:r>
      <w:r>
        <w:t xml:space="preserve"> </w:t>
      </w:r>
      <w:r>
        <w:fldChar w:fldCharType="begin"/>
      </w:r>
      <w:r>
        <w:instrText xml:space="preserve"> ADDIN ZOTERO_ITEM CSL_CITATION {"citationID":"zBQC3Zmf","properties":{"formattedCitation":"Lavick\\uc0\\u253{} in Lavick\\uc0\\u253{},\\uc0\\u160{}P. et al. {\\i{}Ob\\uc0\\u269{}ansk\\uc0\\u253{} z\\uc0\\u225{}kon\\uc0\\u237{}k: koment\\uc0\\u225{}\\uc0\\u345{}. I: Obecn\\uc0\\u225{} \\uc0\\u269{}\\uc0\\u225{}st (\\uc0\\u167{} 1\\uc0\\u8211{}654)}. Praha: C.H. Beck, 2014, s.\\uc0\\u160{}2157.","plainCitation":"Lavický in Lavický, P. et al. Občanský zákoník: komentář. I: Obecná část (§ 1–654). Praha: C.H. Beck, 2014, s. 2157.","noteIndex":3},"citationItems":[{"id":42,"uris":["http://zotero.org/users/5523905/items/ALHWU4S9"],"uri":["http://zotero.org/users/5523905/items/ALHWU4S9"],"itemData":{"id":42,"type":"book","call-number":"347 |2 MRF","collection-title":"Velké komentáře","event-place":"Praha","ISBN":"978-80-7400-529-9","number-of-pages":"2380","publisher":"C.H. Beck","publisher-place":"Praha","source":"aleph.muni.cz Library Catalog","title":"Občanský zákoník: komentář. I: Obecná část (§ 1–654)","title-short":"Občanský zákoník","author":[{"family":"Lavický","given":"Petr"},{"family":"Dávid","given":"Radovan"},{"family":"Dobrovolná","given":"Eva"},{"family":"Handlar","given":"Jiří"},{"family":"Havlan","given":"Petr"},{"family":"Horecký","given":"Jan"},{"family":"Hurdík","given":"Jan"},{"family":"Hrdlička","given":"Miloslav"},{"family":"Koukal","given":"Pavel"},{"family":"Ronovská","given":"Kateřina"},{"family":"Ruban","given":"Radek"}],"issued":{"date-parts":[["2014"]]}},"locator":"2157","prefix":"Lavický in"}],"schema":"https://github.com/citation-style-language/schema/raw/master/csl-citation.json"} </w:instrText>
      </w:r>
      <w:r>
        <w:fldChar w:fldCharType="separate"/>
      </w:r>
      <w:r w:rsidRPr="003810B7">
        <w:rPr>
          <w:rFonts w:cs="Times New Roman"/>
          <w:szCs w:val="24"/>
        </w:rPr>
        <w:t xml:space="preserve">Lavický in Lavický, P. et al. </w:t>
      </w:r>
      <w:r w:rsidRPr="003810B7">
        <w:rPr>
          <w:rFonts w:cs="Times New Roman"/>
          <w:i/>
          <w:iCs/>
          <w:szCs w:val="24"/>
        </w:rPr>
        <w:t>Občanský zákoník: komentář. I: Obecná část (§ 1–654)</w:t>
      </w:r>
      <w:r w:rsidRPr="003810B7">
        <w:rPr>
          <w:rFonts w:cs="Times New Roman"/>
          <w:szCs w:val="24"/>
        </w:rPr>
        <w:t>. Praha: C.H. Beck, 2014, s. 2157.</w:t>
      </w:r>
      <w:r>
        <w:fldChar w:fldCharType="end"/>
      </w:r>
    </w:p>
  </w:footnote>
  <w:footnote w:id="4">
    <w:p w14:paraId="42A45FC8" w14:textId="0CCB9B82" w:rsidR="00803662" w:rsidRDefault="00803662">
      <w:pPr>
        <w:pStyle w:val="Textpoznpodarou"/>
      </w:pPr>
      <w:r w:rsidRPr="00817A52">
        <w:rPr>
          <w:rStyle w:val="Znakapoznpodarou"/>
        </w:rPr>
        <w:footnoteRef/>
      </w:r>
      <w:r>
        <w:t xml:space="preserve"> </w:t>
      </w:r>
      <w:r>
        <w:fldChar w:fldCharType="begin"/>
      </w:r>
      <w:r w:rsidR="00A25A96">
        <w:instrText xml:space="preserve"> ADDIN ZOTERO_ITEM CSL_CITATION {"citationID":"MBrvR8lF","properties":{"formattedCitation":"[\\uc0\\u167{} 602 Obvykl\\uc0\\u225{} denn\\uc0\\u237{} doba] Zukl\\uc0\\u237{}nov\\uc0\\u225{} in \\uc0\\u352{}vestka,\\uc0\\u160{}J. et al. {\\i{}Ob\\uc0\\u269{}ansk\\uc0\\u253{} z\\uc0\\u225{}kon\\uc0\\u237{}k: koment\\uc0\\u225{}\\uc0\\u345{}. Svazek I, Obecn\\uc0\\u225{} \\uc0\\u269{}\\uc0\\u225{}st (\\uc0\\u167{} 1 a\\uc0\\u382{} 654)}. Wolters Kluwer, 2020.","plainCitation":"[§ 602 Obvyklá denní doba] Zuklínová in Švestka, J. et al. Občanský zákoník: komentář. Svazek I, Obecná část (§ 1 až 654). Wolters Kluwer, 2020.","noteIndex":4},"citationItems":[{"id":452,"uris":["http://zotero.org/users/5523905/items/E9CGY4ST"],"uri":["http://zotero.org/users/5523905/items/E9CGY4ST"],"itemData":{"id":452,"type":"book","collection-title":"Komentáře Wolters Kluwer","edition":"2. vydání","ISBN":"978-80-7598-656-6","publisher":"Wolters Kluwer","title":"Občanský zákoník: komentář. Svazek I, Obecná část (§ 1 až 654)","title-short":"Občanský zákoník","author":[{"family":"Švestka","given":"Jiří"},{"family":"Dvořák","given":"Jan"},{"family":"Fiala","given":"Josef"},{"family":"Frinta","given":"Ondřej"},{"family":"Hurdík","given":"Jan"},{"family":"Tichý","given":"Luboš"}],"issued":{"date-parts":[["2020"]]}},"prefix":"[§ 602 Obvyklá denní doba] Zuklínová in"}],"schema":"https://github.com/citation-style-language/schema/raw/master/csl-citation.json"} </w:instrText>
      </w:r>
      <w:r>
        <w:fldChar w:fldCharType="separate"/>
      </w:r>
      <w:r w:rsidR="00A25A96" w:rsidRPr="00A25A96">
        <w:rPr>
          <w:rFonts w:cs="Times New Roman"/>
          <w:szCs w:val="24"/>
        </w:rPr>
        <w:t xml:space="preserve">[§ 602 Obvyklá denní doba] </w:t>
      </w:r>
      <w:proofErr w:type="spellStart"/>
      <w:r w:rsidR="00A25A96" w:rsidRPr="00A25A96">
        <w:rPr>
          <w:rFonts w:cs="Times New Roman"/>
          <w:szCs w:val="24"/>
        </w:rPr>
        <w:t>Zuklínová</w:t>
      </w:r>
      <w:proofErr w:type="spellEnd"/>
      <w:r w:rsidR="00A25A96" w:rsidRPr="00A25A96">
        <w:rPr>
          <w:rFonts w:cs="Times New Roman"/>
          <w:szCs w:val="24"/>
        </w:rPr>
        <w:t xml:space="preserve"> in Švestka, J. et al. </w:t>
      </w:r>
      <w:r w:rsidR="00A25A96" w:rsidRPr="00A25A96">
        <w:rPr>
          <w:rFonts w:cs="Times New Roman"/>
          <w:i/>
          <w:iCs/>
          <w:szCs w:val="24"/>
        </w:rPr>
        <w:t>Občanský zákoník: komentář. Svazek I, Obecná část (§ 1 až 654)</w:t>
      </w:r>
      <w:r w:rsidR="00A25A96" w:rsidRPr="00A25A96">
        <w:rPr>
          <w:rFonts w:cs="Times New Roman"/>
          <w:szCs w:val="24"/>
        </w:rPr>
        <w:t xml:space="preserve">. </w:t>
      </w:r>
      <w:proofErr w:type="spellStart"/>
      <w:r w:rsidR="00A25A96" w:rsidRPr="00A25A96">
        <w:rPr>
          <w:rFonts w:cs="Times New Roman"/>
          <w:szCs w:val="24"/>
        </w:rPr>
        <w:t>Wolters</w:t>
      </w:r>
      <w:proofErr w:type="spellEnd"/>
      <w:r w:rsidR="00A25A96" w:rsidRPr="00A25A96">
        <w:rPr>
          <w:rFonts w:cs="Times New Roman"/>
          <w:szCs w:val="24"/>
        </w:rPr>
        <w:t xml:space="preserve"> </w:t>
      </w:r>
      <w:proofErr w:type="spellStart"/>
      <w:r w:rsidR="00A25A96" w:rsidRPr="00A25A96">
        <w:rPr>
          <w:rFonts w:cs="Times New Roman"/>
          <w:szCs w:val="24"/>
        </w:rPr>
        <w:t>Kluwer</w:t>
      </w:r>
      <w:proofErr w:type="spellEnd"/>
      <w:r w:rsidR="00A25A96" w:rsidRPr="00A25A96">
        <w:rPr>
          <w:rFonts w:cs="Times New Roman"/>
          <w:szCs w:val="24"/>
        </w:rPr>
        <w:t>, 2020.</w:t>
      </w:r>
      <w:r>
        <w:fldChar w:fldCharType="end"/>
      </w:r>
    </w:p>
  </w:footnote>
  <w:footnote w:id="5">
    <w:p w14:paraId="5789B4CE" w14:textId="0C4FADB6" w:rsidR="0016488B" w:rsidRDefault="0016488B">
      <w:pPr>
        <w:pStyle w:val="Textpoznpodarou"/>
      </w:pPr>
      <w:r w:rsidRPr="00817A52">
        <w:rPr>
          <w:rStyle w:val="Znakapoznpodarou"/>
        </w:rPr>
        <w:footnoteRef/>
      </w:r>
      <w:r>
        <w:t xml:space="preserve"> </w:t>
      </w:r>
      <w:r>
        <w:fldChar w:fldCharType="begin"/>
      </w:r>
      <w:r>
        <w:instrText xml:space="preserve"> ADDIN ZOTERO_ITEM CSL_CITATION {"citationID":"OPEMtzBd","properties":{"formattedCitation":"Lavick\\uc0\\u253{} in Lavick\\uc0\\u253{} et al. {\\i{}Ob\\uc0\\u269{}ansk\\uc0\\u253{} z\\uc0\\u225{}kon\\uc0\\u237{}k}, s.\\uc0\\u160{}2161\\uc0\\u8211{}2162.","plainCitation":"Lavický in Lavický et al. Občanský zákoník, s. 2161–2162.","noteIndex":5},"citationItems":[{"id":42,"uris":["http://zotero.org/users/5523905/items/ALHWU4S9"],"uri":["http://zotero.org/users/5523905/items/ALHWU4S9"],"itemData":{"id":42,"type":"book","call-number":"347 |2 MRF","collection-title":"Velké komentáře","event-place":"Praha","ISBN":"978-80-7400-529-9","number-of-pages":"2380","publisher":"C.H. Beck","publisher-place":"Praha","source":"aleph.muni.cz Library Catalog","title":"Občanský zákoník: komentář. I: Obecná část (§ 1–654)","title-short":"Občanský zákoník","author":[{"family":"Lavický","given":"Petr"},{"family":"Dávid","given":"Radovan"},{"family":"Dobrovolná","given":"Eva"},{"family":"Handlar","given":"Jiří"},{"family":"Havlan","given":"Petr"},{"family":"Horecký","given":"Jan"},{"family":"Hurdík","given":"Jan"},{"family":"Hrdlička","given":"Miloslav"},{"family":"Koukal","given":"Pavel"},{"family":"Ronovská","given":"Kateřina"},{"family":"Ruban","given":"Radek"}],"issued":{"date-parts":[["2014"]]}},"locator":"2161-2162","prefix":"Lavický in"}],"schema":"https://github.com/citation-style-language/schema/raw/master/csl-citation.json"} </w:instrText>
      </w:r>
      <w:r>
        <w:fldChar w:fldCharType="separate"/>
      </w:r>
      <w:r w:rsidRPr="0016488B">
        <w:rPr>
          <w:rFonts w:cs="Times New Roman"/>
          <w:szCs w:val="24"/>
        </w:rPr>
        <w:t xml:space="preserve">Lavický in Lavický et al. </w:t>
      </w:r>
      <w:r w:rsidRPr="0016488B">
        <w:rPr>
          <w:rFonts w:cs="Times New Roman"/>
          <w:i/>
          <w:iCs/>
          <w:szCs w:val="24"/>
        </w:rPr>
        <w:t>Občanský zákoník</w:t>
      </w:r>
      <w:r w:rsidRPr="0016488B">
        <w:rPr>
          <w:rFonts w:cs="Times New Roman"/>
          <w:szCs w:val="24"/>
        </w:rPr>
        <w:t>, s. 2161–2162.</w:t>
      </w:r>
      <w:r>
        <w:fldChar w:fldCharType="end"/>
      </w:r>
    </w:p>
  </w:footnote>
  <w:footnote w:id="6">
    <w:p w14:paraId="69709EFC" w14:textId="587B6B52" w:rsidR="004F0999" w:rsidRDefault="004F0999">
      <w:pPr>
        <w:pStyle w:val="Textpoznpodarou"/>
      </w:pPr>
      <w:r w:rsidRPr="00817A52">
        <w:rPr>
          <w:rStyle w:val="Znakapoznpodarou"/>
        </w:rPr>
        <w:footnoteRef/>
      </w:r>
      <w:r>
        <w:t xml:space="preserve"> </w:t>
      </w:r>
      <w:r>
        <w:fldChar w:fldCharType="begin"/>
      </w:r>
      <w:r>
        <w:instrText xml:space="preserve"> ADDIN ZOTERO_ITEM CSL_CITATION {"citationID":"dir1lhMG","properties":{"formattedCitation":"Ronovsk\\uc0\\u225{},\\uc0\\u160{}K., Lavick\\uc0\\u253{},\\uc0\\u160{}P., Dobrovoln\\uc0\\u225{},\\uc0\\u160{}E. {\\i{}\\uc0\\u218{}vod do soukrom\\uc0\\u233{}ho pr\\uc0\\u225{}va: obecn\\uc0\\u225{} \\uc0\\u269{}\\uc0\\u225{}st}. \\uc0\\u268{}esk\\uc0\\u225{} spole\\uc0\\u269{}nost pro civiln\\uc0\\u237{} pr\\uc0\\u225{}vo procesn\\uc0\\u237{}, 2018, s.\\uc0\\u160{}74.","plainCitation":"Ronovská, K., Lavický, P., Dobrovolná, E. Úvod do soukromého práva: obecná část. Česká společnost pro civilní právo procesní, 2018, s. 74.","noteIndex":6},"citationItems":[{"id":444,"uris":["http://zotero.org/users/5523905/items/HP8KPIDZ"],"uri":["http://zotero.org/users/5523905/items/HP8KPIDZ"],"itemData":{"id":444,"type":"book","collection-title":"Řada učebních skript","edition":"Druhé vydání","ISBN":"978-80-88248-02-6","publisher":"Česká společnost pro civilní právo procesní","title":"Úvod do soukromého práva: obecná část","title-short":"Úvod do soukromého práva","author":[{"family":"Ronovská","given":"Kateřina"},{"family":"Lavický","given":"Petr"},{"family":"Dobrovolná","given":"Eva"}],"issued":{"date-parts":[["2018"]]}},"locator":"74"}],"schema":"https://github.com/citation-style-language/schema/raw/master/csl-citation.json"} </w:instrText>
      </w:r>
      <w:r>
        <w:fldChar w:fldCharType="separate"/>
      </w:r>
      <w:r w:rsidRPr="004F0999">
        <w:rPr>
          <w:rFonts w:cs="Times New Roman"/>
          <w:szCs w:val="24"/>
        </w:rPr>
        <w:t xml:space="preserve">Ronovská, K., Lavický, P., Dobrovolná, E. </w:t>
      </w:r>
      <w:r w:rsidRPr="004F0999">
        <w:rPr>
          <w:rFonts w:cs="Times New Roman"/>
          <w:i/>
          <w:iCs/>
          <w:szCs w:val="24"/>
        </w:rPr>
        <w:t>Úvod do soukromého práva: obecná část</w:t>
      </w:r>
      <w:r w:rsidRPr="004F0999">
        <w:rPr>
          <w:rFonts w:cs="Times New Roman"/>
          <w:szCs w:val="24"/>
        </w:rPr>
        <w:t>. Česká společnost pro civilní právo procesní, 2018, s. 74.</w:t>
      </w:r>
      <w:r>
        <w:fldChar w:fldCharType="end"/>
      </w:r>
    </w:p>
  </w:footnote>
  <w:footnote w:id="7">
    <w:p w14:paraId="0CEF0849" w14:textId="7CE9343A" w:rsidR="00DB5D0F" w:rsidRDefault="00DB5D0F">
      <w:pPr>
        <w:pStyle w:val="Textpoznpodarou"/>
      </w:pPr>
      <w:r w:rsidRPr="00817A52">
        <w:rPr>
          <w:rStyle w:val="Znakapoznpodarou"/>
        </w:rPr>
        <w:footnoteRef/>
      </w:r>
      <w:r>
        <w:t xml:space="preserve"> </w:t>
      </w:r>
      <w:r>
        <w:fldChar w:fldCharType="begin"/>
      </w:r>
      <w:r>
        <w:instrText xml:space="preserve"> ADDIN ZOTERO_ITEM CSL_CITATION {"citationID":"oz0aXz1X","properties":{"formattedCitation":"Lavick\\uc0\\u253{} in Lavick\\uc0\\u253{} et al. {\\i{}Ob\\uc0\\u269{}ansk\\uc0\\u253{} z\\uc0\\u225{}kon\\uc0\\u237{}k}, s.\\uc0\\u160{}2162.","plainCitation":"Lavický in Lavický et al. Občanský zákoník, s. 2162.","noteIndex":7},"citationItems":[{"id":42,"uris":["http://zotero.org/users/5523905/items/ALHWU4S9"],"uri":["http://zotero.org/users/5523905/items/ALHWU4S9"],"itemData":{"id":42,"type":"book","call-number":"347 |2 MRF","collection-title":"Velké komentáře","event-place":"Praha","ISBN":"978-80-7400-529-9","number-of-pages":"2380","publisher":"C.H. Beck","publisher-place":"Praha","source":"aleph.muni.cz Library Catalog","title":"Občanský zákoník: komentář. I: Obecná část (§ 1–654)","title-short":"Občanský zákoník","author":[{"family":"Lavický","given":"Petr"},{"family":"Dávid","given":"Radovan"},{"family":"Dobrovolná","given":"Eva"},{"family":"Handlar","given":"Jiří"},{"family":"Havlan","given":"Petr"},{"family":"Horecký","given":"Jan"},{"family":"Hurdík","given":"Jan"},{"family":"Hrdlička","given":"Miloslav"},{"family":"Koukal","given":"Pavel"},{"family":"Ronovská","given":"Kateřina"},{"family":"Ruban","given":"Radek"}],"issued":{"date-parts":[["2014"]]}},"locator":"2162","prefix":"Lavický in"}],"schema":"https://github.com/citation-style-language/schema/raw/master/csl-citation.json"} </w:instrText>
      </w:r>
      <w:r>
        <w:fldChar w:fldCharType="separate"/>
      </w:r>
      <w:r w:rsidRPr="00DB5D0F">
        <w:rPr>
          <w:rFonts w:cs="Times New Roman"/>
          <w:szCs w:val="24"/>
        </w:rPr>
        <w:t xml:space="preserve">Lavický in Lavický et al. </w:t>
      </w:r>
      <w:r w:rsidRPr="00DB5D0F">
        <w:rPr>
          <w:rFonts w:cs="Times New Roman"/>
          <w:i/>
          <w:iCs/>
          <w:szCs w:val="24"/>
        </w:rPr>
        <w:t>Občanský zákoník</w:t>
      </w:r>
      <w:r w:rsidRPr="00DB5D0F">
        <w:rPr>
          <w:rFonts w:cs="Times New Roman"/>
          <w:szCs w:val="24"/>
        </w:rPr>
        <w:t>, s. 2162.</w:t>
      </w:r>
      <w:r>
        <w:fldChar w:fldCharType="end"/>
      </w:r>
    </w:p>
  </w:footnote>
  <w:footnote w:id="8">
    <w:p w14:paraId="3F310E21" w14:textId="2097E8FC" w:rsidR="00A25A96" w:rsidRDefault="00A25A96">
      <w:pPr>
        <w:pStyle w:val="Textpoznpodarou"/>
      </w:pPr>
      <w:r w:rsidRPr="00817A52">
        <w:rPr>
          <w:rStyle w:val="Znakapoznpodarou"/>
        </w:rPr>
        <w:footnoteRef/>
      </w:r>
      <w:r>
        <w:t xml:space="preserve"> </w:t>
      </w:r>
      <w:r>
        <w:fldChar w:fldCharType="begin"/>
      </w:r>
      <w:r>
        <w:instrText xml:space="preserve"> ADDIN ZOTERO_ITEM CSL_CITATION {"citationID":"XTDcMmq5","properties":{"formattedCitation":"Ronovsk\\uc0\\u225{}, Lavick\\uc0\\u253{}, Dobrovoln\\uc0\\u225{}. {\\i{}\\uc0\\u218{}vod do soukrom\\uc0\\u233{}ho pr\\uc0\\u225{}va}, s.\\uc0\\u160{}75.","plainCitation":"Ronovská, Lavický, Dobrovolná. Úvod do soukromého práva, s. 75.","noteIndex":8},"citationItems":[{"id":444,"uris":["http://zotero.org/users/5523905/items/HP8KPIDZ"],"uri":["http://zotero.org/users/5523905/items/HP8KPIDZ"],"itemData":{"id":444,"type":"book","collection-title":"Řada učebních skript","edition":"Druhé vydání","ISBN":"978-80-88248-02-6","publisher":"Česká společnost pro civilní právo procesní","title":"Úvod do soukromého práva: obecná část","title-short":"Úvod do soukromého práva","author":[{"family":"Ronovská","given":"Kateřina"},{"family":"Lavický","given":"Petr"},{"family":"Dobrovolná","given":"Eva"}],"issued":{"date-parts":[["2018"]]}},"locator":"75"}],"schema":"https://github.com/citation-style-language/schema/raw/master/csl-citation.json"} </w:instrText>
      </w:r>
      <w:r>
        <w:fldChar w:fldCharType="separate"/>
      </w:r>
      <w:r w:rsidRPr="00A25A96">
        <w:rPr>
          <w:rFonts w:cs="Times New Roman"/>
          <w:szCs w:val="24"/>
        </w:rPr>
        <w:t xml:space="preserve">Ronovská, Lavický, Dobrovolná. </w:t>
      </w:r>
      <w:r w:rsidRPr="00A25A96">
        <w:rPr>
          <w:rFonts w:cs="Times New Roman"/>
          <w:i/>
          <w:iCs/>
          <w:szCs w:val="24"/>
        </w:rPr>
        <w:t>Úvod do soukromého práva</w:t>
      </w:r>
      <w:r w:rsidRPr="00A25A96">
        <w:rPr>
          <w:rFonts w:cs="Times New Roman"/>
          <w:szCs w:val="24"/>
        </w:rPr>
        <w:t>, s. 75.</w:t>
      </w:r>
      <w:r>
        <w:fldChar w:fldCharType="end"/>
      </w:r>
    </w:p>
  </w:footnote>
  <w:footnote w:id="9">
    <w:p w14:paraId="5C414210" w14:textId="41A2F9D0" w:rsidR="007562FB" w:rsidRDefault="007562FB">
      <w:pPr>
        <w:pStyle w:val="Textpoznpodarou"/>
      </w:pPr>
      <w:r w:rsidRPr="00817A52">
        <w:rPr>
          <w:rStyle w:val="Znakapoznpodarou"/>
        </w:rPr>
        <w:footnoteRef/>
      </w:r>
      <w:r>
        <w:t xml:space="preserve"> </w:t>
      </w:r>
      <w:r>
        <w:fldChar w:fldCharType="begin"/>
      </w:r>
      <w:r>
        <w:instrText xml:space="preserve"> ADDIN ZOTERO_ITEM CSL_CITATION {"citationID":"xZ1oqoM6","properties":{"formattedCitation":"Tich\\uc0\\u253{}. {\\i{}Obecn\\uc0\\u225{} \\uc0\\u269{}\\uc0\\u225{}st ob\\uc0\\u269{}ansk\\uc0\\u233{}ho pr\\uc0\\u225{}va}, s.\\uc0\\u160{}351.","plainCitation":"Tichý. Obecná část občanského práva, s. 351.","noteIndex":9},"citationItems":[{"id":210,"uris":["http://zotero.org/users/5523905/items/G6BXGML7"],"uri":["http://zotero.org/users/5523905/items/G6BXGML7"],"itemData":{"id":210,"type":"book","call-number":"347 |2 MRF","collection-title":"Právní praxe","event-place":"Praha","ISBN":"978-80-7400-483-4","number-of-pages":"372","publisher":"C.H. Beck","publisher-place":"Praha","source":"aleph.muni.cz Library Catalog","title":"Obecná část občanského práva","author":[{"family":"Tichý","given":"Luboš"}],"issued":{"date-parts":[["2014"]]}},"locator":"351"}],"schema":"https://github.com/citation-style-language/schema/raw/master/csl-citation.json"} </w:instrText>
      </w:r>
      <w:r>
        <w:fldChar w:fldCharType="separate"/>
      </w:r>
      <w:r w:rsidRPr="007562FB">
        <w:rPr>
          <w:rFonts w:cs="Times New Roman"/>
          <w:szCs w:val="24"/>
        </w:rPr>
        <w:t xml:space="preserve">Tichý. </w:t>
      </w:r>
      <w:r w:rsidRPr="007562FB">
        <w:rPr>
          <w:rFonts w:cs="Times New Roman"/>
          <w:i/>
          <w:iCs/>
          <w:szCs w:val="24"/>
        </w:rPr>
        <w:t>Obecná část občanského práva</w:t>
      </w:r>
      <w:r w:rsidRPr="007562FB">
        <w:rPr>
          <w:rFonts w:cs="Times New Roman"/>
          <w:szCs w:val="24"/>
        </w:rPr>
        <w:t>, s. 351.</w:t>
      </w:r>
      <w:r>
        <w:fldChar w:fldCharType="end"/>
      </w:r>
    </w:p>
  </w:footnote>
  <w:footnote w:id="10">
    <w:p w14:paraId="7411982B" w14:textId="08309578" w:rsidR="00181A50" w:rsidRDefault="00181A50">
      <w:pPr>
        <w:pStyle w:val="Textpoznpodarou"/>
      </w:pPr>
      <w:r w:rsidRPr="00817A52">
        <w:rPr>
          <w:rStyle w:val="Znakapoznpodarou"/>
        </w:rPr>
        <w:footnoteRef/>
      </w:r>
      <w:r>
        <w:t xml:space="preserve"> </w:t>
      </w:r>
      <w:r>
        <w:fldChar w:fldCharType="begin"/>
      </w:r>
      <w:r>
        <w:instrText xml:space="preserve"> ADDIN ZOTERO_ITEM CSL_CITATION {"citationID":"wQUALKtz","properties":{"formattedCitation":"Hurd\\uc0\\u237{}k et al. {\\i{}Ob\\uc0\\u269{}ansk\\uc0\\u233{} pr\\uc0\\u225{}vo hmotn\\uc0\\u233{}}, s.\\uc0\\u160{}188.","plainCitation":"Hurdík et al. Občanské právo hmotné, s. 188.","noteIndex":10},"citationItems":[{"id":446,"uris":["http://zotero.org/users/5523905/items/YSETG36X"],"uri":["http://zotero.org/users/5523905/items/YSETG36X"],"itemData":{"id":446,"type":"book","ISBN":"978-80-7380-377-3","publisher":"Vydavatelství a nakladatelství Aleš Čeněk","title":"Občanské právo hmotné: obecná část, absolutní majetková práva","title-short":"Občanské právo hmotné","author":[{"family":"Hurdík","given":"Jan"},{"family":"Bělohlávek","given":"Alexander J."},{"family":"Plecitý","given":"Vladimír"},{"family":"Raban","given":"Přemysl"},{"family":"Doběšová","given":"Lenka"},{"family":"Pelech","given":"Josef"},{"family":"Čihák","given":"Libor"}],"issued":{"date-parts":[["2013"]]}},"locator":"188"}],"schema":"https://github.com/citation-style-language/schema/raw/master/csl-citation.json"} </w:instrText>
      </w:r>
      <w:r>
        <w:fldChar w:fldCharType="separate"/>
      </w:r>
      <w:proofErr w:type="spellStart"/>
      <w:r w:rsidRPr="00181A50">
        <w:rPr>
          <w:rFonts w:cs="Times New Roman"/>
          <w:szCs w:val="24"/>
        </w:rPr>
        <w:t>Hurdík</w:t>
      </w:r>
      <w:proofErr w:type="spellEnd"/>
      <w:r w:rsidRPr="00181A50">
        <w:rPr>
          <w:rFonts w:cs="Times New Roman"/>
          <w:szCs w:val="24"/>
        </w:rPr>
        <w:t xml:space="preserve"> et al. </w:t>
      </w:r>
      <w:r w:rsidRPr="00181A50">
        <w:rPr>
          <w:rFonts w:cs="Times New Roman"/>
          <w:i/>
          <w:iCs/>
          <w:szCs w:val="24"/>
        </w:rPr>
        <w:t>Občanské právo hmotné</w:t>
      </w:r>
      <w:r w:rsidRPr="00181A50">
        <w:rPr>
          <w:rFonts w:cs="Times New Roman"/>
          <w:szCs w:val="24"/>
        </w:rPr>
        <w:t>, s. 188.</w:t>
      </w:r>
      <w:r>
        <w:fldChar w:fldCharType="end"/>
      </w:r>
    </w:p>
  </w:footnote>
  <w:footnote w:id="11">
    <w:p w14:paraId="5B5D84CC" w14:textId="1D506025" w:rsidR="00571F31" w:rsidRDefault="00571F31">
      <w:pPr>
        <w:pStyle w:val="Textpoznpodarou"/>
      </w:pPr>
      <w:r w:rsidRPr="00817A52">
        <w:rPr>
          <w:rStyle w:val="Znakapoznpodarou"/>
        </w:rPr>
        <w:footnoteRef/>
      </w:r>
      <w:r>
        <w:t xml:space="preserve"> </w:t>
      </w:r>
      <w:r>
        <w:fldChar w:fldCharType="begin"/>
      </w:r>
      <w:r w:rsidR="00181A50">
        <w:instrText xml:space="preserve"> ADDIN ZOTERO_ITEM CSL_CITATION {"citationID":"yjn9S7KI","properties":{"formattedCitation":"Tich\\uc0\\u253{}. {\\i{}Obecn\\uc0\\u225{} \\uc0\\u269{}\\uc0\\u225{}st ob\\uc0\\u269{}ansk\\uc0\\u233{}ho pr\\uc0\\u225{}va}, s.\\uc0\\u160{}354\\uc0\\u8211{}355.","plainCitation":"Tichý. Obecná část občanského práva, s. 354–355.","noteIndex":11},"citationItems":[{"id":210,"uris":["http://zotero.org/users/5523905/items/G6BXGML7"],"uri":["http://zotero.org/users/5523905/items/G6BXGML7"],"itemData":{"id":210,"type":"book","call-number":"347 |2 MRF","collection-title":"Právní praxe","event-place":"Praha","ISBN":"978-80-7400-483-4","number-of-pages":"372","publisher":"C.H. Beck","publisher-place":"Praha","source":"aleph.muni.cz Library Catalog","title":"Obecná část občanského práva","author":[{"family":"Tichý","given":"Luboš"}],"issued":{"date-parts":[["2014"]]}},"locator":"354-355"}],"schema":"https://github.com/citation-style-language/schema/raw/master/csl-citation.json"} </w:instrText>
      </w:r>
      <w:r>
        <w:fldChar w:fldCharType="separate"/>
      </w:r>
      <w:r w:rsidR="00181A50" w:rsidRPr="00181A50">
        <w:rPr>
          <w:rFonts w:cs="Times New Roman"/>
          <w:szCs w:val="24"/>
        </w:rPr>
        <w:t xml:space="preserve">Tichý. </w:t>
      </w:r>
      <w:r w:rsidR="00181A50" w:rsidRPr="00181A50">
        <w:rPr>
          <w:rFonts w:cs="Times New Roman"/>
          <w:i/>
          <w:iCs/>
          <w:szCs w:val="24"/>
        </w:rPr>
        <w:t>Obecná část občanského práva</w:t>
      </w:r>
      <w:r w:rsidR="00181A50" w:rsidRPr="00181A50">
        <w:rPr>
          <w:rFonts w:cs="Times New Roman"/>
          <w:szCs w:val="24"/>
        </w:rPr>
        <w:t>, s. 354–355.</w:t>
      </w:r>
      <w:r>
        <w:fldChar w:fldCharType="end"/>
      </w:r>
    </w:p>
  </w:footnote>
  <w:footnote w:id="12">
    <w:p w14:paraId="03DF1D7D" w14:textId="245688F5" w:rsidR="00655B17" w:rsidRDefault="00655B17">
      <w:pPr>
        <w:pStyle w:val="Textpoznpodarou"/>
      </w:pPr>
      <w:r w:rsidRPr="00817A52">
        <w:rPr>
          <w:rStyle w:val="Znakapoznpodarou"/>
        </w:rPr>
        <w:footnoteRef/>
      </w:r>
      <w:r>
        <w:t xml:space="preserve"> </w:t>
      </w:r>
      <w:r>
        <w:fldChar w:fldCharType="begin"/>
      </w:r>
      <w:r>
        <w:instrText xml:space="preserve"> ADDIN ZOTERO_ITEM CSL_CITATION {"citationID":"hj9VIchJ","properties":{"formattedCitation":"Hurd\\uc0\\u237{}k et al. {\\i{}Ob\\uc0\\u269{}ansk\\uc0\\u233{} pr\\uc0\\u225{}vo hmotn\\uc0\\u233{}}, s.\\uc0\\u160{}190.","plainCitation":"Hurdík et al. Občanské právo hmotné, s. 190.","noteIndex":12},"citationItems":[{"id":446,"uris":["http://zotero.org/users/5523905/items/YSETG36X"],"uri":["http://zotero.org/users/5523905/items/YSETG36X"],"itemData":{"id":446,"type":"book","ISBN":"978-80-7380-377-3","publisher":"Vydavatelství a nakladatelství Aleš Čeněk","title":"Občanské právo hmotné: obecná část, absolutní majetková práva","title-short":"Občanské právo hmotné","author":[{"family":"Hurdík","given":"Jan"},{"family":"Bělohlávek","given":"Alexander J."},{"family":"Plecitý","given":"Vladimír"},{"family":"Raban","given":"Přemysl"},{"family":"Doběšová","given":"Lenka"},{"family":"Pelech","given":"Josef"},{"family":"Čihák","given":"Libor"}],"issued":{"date-parts":[["2013"]]}},"locator":"190"}],"schema":"https://github.com/citation-style-language/schema/raw/master/csl-citation.json"} </w:instrText>
      </w:r>
      <w:r>
        <w:fldChar w:fldCharType="separate"/>
      </w:r>
      <w:proofErr w:type="spellStart"/>
      <w:r w:rsidRPr="00655B17">
        <w:rPr>
          <w:rFonts w:cs="Times New Roman"/>
          <w:szCs w:val="24"/>
        </w:rPr>
        <w:t>Hurdík</w:t>
      </w:r>
      <w:proofErr w:type="spellEnd"/>
      <w:r w:rsidRPr="00655B17">
        <w:rPr>
          <w:rFonts w:cs="Times New Roman"/>
          <w:szCs w:val="24"/>
        </w:rPr>
        <w:t xml:space="preserve"> et al. </w:t>
      </w:r>
      <w:r w:rsidRPr="00655B17">
        <w:rPr>
          <w:rFonts w:cs="Times New Roman"/>
          <w:i/>
          <w:iCs/>
          <w:szCs w:val="24"/>
        </w:rPr>
        <w:t>Občanské právo hmotné</w:t>
      </w:r>
      <w:r w:rsidRPr="00655B17">
        <w:rPr>
          <w:rFonts w:cs="Times New Roman"/>
          <w:szCs w:val="24"/>
        </w:rPr>
        <w:t>, s. 190.</w:t>
      </w:r>
      <w:r>
        <w:fldChar w:fldCharType="end"/>
      </w:r>
    </w:p>
  </w:footnote>
  <w:footnote w:id="13">
    <w:p w14:paraId="04673972" w14:textId="77777777" w:rsidR="004C5519" w:rsidRDefault="004C5519" w:rsidP="004C5519">
      <w:pPr>
        <w:pStyle w:val="Textpoznpodarou"/>
      </w:pPr>
      <w:r w:rsidRPr="00817A52">
        <w:rPr>
          <w:rStyle w:val="Znakapoznpodarou"/>
        </w:rPr>
        <w:footnoteRef/>
      </w:r>
      <w:r>
        <w:t xml:space="preserve"> Rozsudek Nejvyššího soudu ze dne 27. 11. 2002, </w:t>
      </w:r>
      <w:proofErr w:type="spellStart"/>
      <w:r>
        <w:t>sp</w:t>
      </w:r>
      <w:proofErr w:type="spellEnd"/>
      <w:r>
        <w:t xml:space="preserve">. zn. 29 </w:t>
      </w:r>
      <w:proofErr w:type="spellStart"/>
      <w:r>
        <w:t>Cdo</w:t>
      </w:r>
      <w:proofErr w:type="spellEnd"/>
      <w:r>
        <w:t xml:space="preserve"> 2860/2000.</w:t>
      </w:r>
    </w:p>
  </w:footnote>
  <w:footnote w:id="14">
    <w:p w14:paraId="16F22183" w14:textId="2A32D63E" w:rsidR="00D23C46" w:rsidRDefault="00D23C46">
      <w:pPr>
        <w:pStyle w:val="Textpoznpodarou"/>
      </w:pPr>
      <w:r>
        <w:rPr>
          <w:rStyle w:val="Znakapoznpodarou"/>
        </w:rPr>
        <w:footnoteRef/>
      </w:r>
      <w:r>
        <w:t xml:space="preserve"> </w:t>
      </w:r>
      <w:r w:rsidR="00041189" w:rsidRPr="00041189">
        <w:t xml:space="preserve">Rozsudek Nejvyššího soudu ze dne 28. 11. 2019, </w:t>
      </w:r>
      <w:proofErr w:type="spellStart"/>
      <w:r w:rsidR="00041189" w:rsidRPr="00041189">
        <w:t>sp</w:t>
      </w:r>
      <w:proofErr w:type="spellEnd"/>
      <w:r w:rsidR="00041189" w:rsidRPr="00041189">
        <w:t xml:space="preserve">. zn. 33 </w:t>
      </w:r>
      <w:proofErr w:type="spellStart"/>
      <w:r w:rsidR="00041189" w:rsidRPr="00041189">
        <w:t>Cdo</w:t>
      </w:r>
      <w:proofErr w:type="spellEnd"/>
      <w:r w:rsidR="00041189" w:rsidRPr="00041189">
        <w:t xml:space="preserve"> 3037/2019</w:t>
      </w:r>
      <w:r w:rsidR="00041189">
        <w:t>.</w:t>
      </w:r>
    </w:p>
  </w:footnote>
  <w:footnote w:id="15">
    <w:p w14:paraId="07137E92" w14:textId="77777777" w:rsidR="004C5519" w:rsidRDefault="004C5519" w:rsidP="004C5519">
      <w:pPr>
        <w:pStyle w:val="Textpoznpodarou"/>
      </w:pPr>
      <w:r>
        <w:rPr>
          <w:rStyle w:val="Znakapoznpodarou"/>
        </w:rPr>
        <w:footnoteRef/>
      </w:r>
      <w:r>
        <w:t xml:space="preserve"> Rozsudek Nejvyššího soudu ze dne 28. 11. 2001, </w:t>
      </w:r>
      <w:proofErr w:type="spellStart"/>
      <w:r>
        <w:t>sp</w:t>
      </w:r>
      <w:proofErr w:type="spellEnd"/>
      <w:r>
        <w:t xml:space="preserve">. zn. 22 </w:t>
      </w:r>
      <w:proofErr w:type="spellStart"/>
      <w:r>
        <w:t>Cdo</w:t>
      </w:r>
      <w:proofErr w:type="spellEnd"/>
      <w:r>
        <w:t xml:space="preserve"> 1669/2000.</w:t>
      </w:r>
    </w:p>
  </w:footnote>
  <w:footnote w:id="16">
    <w:p w14:paraId="4F1C4418" w14:textId="0A1A6228" w:rsidR="00966712" w:rsidRDefault="00966712">
      <w:pPr>
        <w:pStyle w:val="Textpoznpodarou"/>
      </w:pPr>
      <w:r w:rsidRPr="00817A52">
        <w:rPr>
          <w:rStyle w:val="Znakapoznpodarou"/>
        </w:rPr>
        <w:footnoteRef/>
      </w:r>
      <w:r>
        <w:t xml:space="preserve"> </w:t>
      </w:r>
      <w:r w:rsidR="006A1332">
        <w:t xml:space="preserve">Nález Ústavního soudu ze dne 15. 1. 1997, </w:t>
      </w:r>
      <w:proofErr w:type="spellStart"/>
      <w:r w:rsidR="006A1332">
        <w:t>sp</w:t>
      </w:r>
      <w:proofErr w:type="spellEnd"/>
      <w:r w:rsidR="006A1332">
        <w:t xml:space="preserve">. zn. II. ÚS </w:t>
      </w:r>
      <w:r w:rsidR="00EE6C80">
        <w:t>309/95.</w:t>
      </w:r>
    </w:p>
  </w:footnote>
  <w:footnote w:id="17">
    <w:p w14:paraId="2794CB24" w14:textId="7238FA5C" w:rsidR="004F1D50" w:rsidRDefault="004F1D50">
      <w:pPr>
        <w:pStyle w:val="Textpoznpodarou"/>
      </w:pPr>
      <w:r w:rsidRPr="00817A52">
        <w:rPr>
          <w:rStyle w:val="Znakapoznpodarou"/>
        </w:rPr>
        <w:footnoteRef/>
      </w:r>
      <w:r>
        <w:t xml:space="preserve"> </w:t>
      </w:r>
      <w:r w:rsidR="002B71AE">
        <w:t xml:space="preserve">Rozsudek Nejvyššího soudu ze dne 17. 10. 2012, </w:t>
      </w:r>
      <w:proofErr w:type="spellStart"/>
      <w:r w:rsidR="002B71AE">
        <w:t>sp</w:t>
      </w:r>
      <w:proofErr w:type="spellEnd"/>
      <w:r w:rsidR="002B71AE">
        <w:t xml:space="preserve">. zn. 30 </w:t>
      </w:r>
      <w:proofErr w:type="spellStart"/>
      <w:r w:rsidR="002B71AE">
        <w:t>Cdo</w:t>
      </w:r>
      <w:proofErr w:type="spellEnd"/>
      <w:r w:rsidR="002B71AE">
        <w:t xml:space="preserve"> 3825/2011.</w:t>
      </w:r>
    </w:p>
  </w:footnote>
  <w:footnote w:id="18">
    <w:p w14:paraId="3E715AE4" w14:textId="078FC28B" w:rsidR="0098414F" w:rsidRDefault="0098414F">
      <w:pPr>
        <w:pStyle w:val="Textpoznpodarou"/>
      </w:pPr>
      <w:r w:rsidRPr="00817A52">
        <w:rPr>
          <w:rStyle w:val="Znakapoznpodarou"/>
        </w:rPr>
        <w:footnoteRef/>
      </w:r>
      <w:r>
        <w:t xml:space="preserve"> </w:t>
      </w:r>
      <w:r w:rsidR="00846EAE">
        <w:t xml:space="preserve">Rozsudek Nejvyššího soudu ze dne 8. 2. 2011, </w:t>
      </w:r>
      <w:proofErr w:type="spellStart"/>
      <w:r w:rsidR="00846EAE">
        <w:t>sp</w:t>
      </w:r>
      <w:proofErr w:type="spellEnd"/>
      <w:r w:rsidR="00846EAE">
        <w:t xml:space="preserve">. zn. 21 </w:t>
      </w:r>
      <w:proofErr w:type="spellStart"/>
      <w:r w:rsidR="00846EAE">
        <w:t>Cdo</w:t>
      </w:r>
      <w:proofErr w:type="spellEnd"/>
      <w:r w:rsidR="00846EAE">
        <w:t xml:space="preserve"> 85/2010.</w:t>
      </w:r>
    </w:p>
  </w:footnote>
  <w:footnote w:id="19">
    <w:p w14:paraId="39448FB1" w14:textId="77777777" w:rsidR="009B19E4" w:rsidRDefault="009B19E4" w:rsidP="009B19E4">
      <w:pPr>
        <w:pStyle w:val="Textpoznpodarou"/>
      </w:pPr>
      <w:r>
        <w:rPr>
          <w:rStyle w:val="Znakapoznpodarou"/>
        </w:rPr>
        <w:footnoteRef/>
      </w:r>
      <w:r>
        <w:t xml:space="preserve"> </w:t>
      </w:r>
      <w:r>
        <w:fldChar w:fldCharType="begin"/>
      </w:r>
      <w:r>
        <w:instrText xml:space="preserve"> ADDIN ZOTERO_ITEM CSL_CITATION {"citationID":"xmHZS5dZ","properties":{"formattedCitation":"Ronovsk\\uc0\\u225{}, Lavick\\uc0\\u253{}, Dobrovoln\\uc0\\u225{}. {\\i{}\\uc0\\u218{}vod do soukrom\\uc0\\u233{}ho pr\\uc0\\u225{}va}, s.\\uc0\\u160{}75\\uc0\\u8211{}76.","plainCitation":"Ronovská, Lavický, Dobrovolná. Úvod do soukromého práva, s. 75–76.","noteIndex":18},"citationItems":[{"id":444,"uris":["http://zotero.org/users/5523905/items/HP8KPIDZ"],"uri":["http://zotero.org/users/5523905/items/HP8KPIDZ"],"itemData":{"id":444,"type":"book","collection-title":"Řada učebních skript","edition":"Druhé vydání","ISBN":"978-80-88248-02-6","publisher":"Česká společnost pro civilní právo procesní","title":"Úvod do soukromého práva: obecná část","title-short":"Úvod do soukromého práva","author":[{"family":"Ronovská","given":"Kateřina"},{"family":"Lavický","given":"Petr"},{"family":"Dobrovolná","given":"Eva"}],"issued":{"date-parts":[["2018"]]}},"locator":"75-76"}],"schema":"https://github.com/citation-style-language/schema/raw/master/csl-citation.json"} </w:instrText>
      </w:r>
      <w:r>
        <w:fldChar w:fldCharType="separate"/>
      </w:r>
      <w:r w:rsidRPr="009B19E4">
        <w:rPr>
          <w:rFonts w:cs="Times New Roman"/>
          <w:szCs w:val="24"/>
        </w:rPr>
        <w:t xml:space="preserve">Ronovská, Lavický, Dobrovolná. </w:t>
      </w:r>
      <w:r w:rsidRPr="009B19E4">
        <w:rPr>
          <w:rFonts w:cs="Times New Roman"/>
          <w:i/>
          <w:iCs/>
          <w:szCs w:val="24"/>
        </w:rPr>
        <w:t>Úvod do soukromého práva</w:t>
      </w:r>
      <w:r w:rsidRPr="009B19E4">
        <w:rPr>
          <w:rFonts w:cs="Times New Roman"/>
          <w:szCs w:val="24"/>
        </w:rPr>
        <w:t>, s. 75–76.</w:t>
      </w:r>
      <w:r>
        <w:fldChar w:fldCharType="end"/>
      </w:r>
    </w:p>
  </w:footnote>
  <w:footnote w:id="20">
    <w:p w14:paraId="44B2E04A" w14:textId="245886E4" w:rsidR="00AD1C22" w:rsidRDefault="00AD1C22">
      <w:pPr>
        <w:pStyle w:val="Textpoznpodarou"/>
      </w:pPr>
      <w:r>
        <w:rPr>
          <w:rStyle w:val="Znakapoznpodarou"/>
        </w:rPr>
        <w:footnoteRef/>
      </w:r>
      <w:r>
        <w:t xml:space="preserve"> </w:t>
      </w:r>
      <w:r>
        <w:fldChar w:fldCharType="begin"/>
      </w:r>
      <w:r>
        <w:instrText xml:space="preserve"> ADDIN ZOTERO_ITEM CSL_CITATION {"citationID":"kT8hdf1l","properties":{"formattedCitation":"Rozehnal,\\uc0\\u160{}A., Hurd\\uc0\\u237{}k,\\uc0\\u160{}J. {\\i{}Praktikum ob\\uc0\\u269{}ansk\\uc0\\u233{}ho pr\\uc0\\u225{}va hmotn\\uc0\\u233{}ho}. Plze\\uc0\\u328{}: Vydavatelstv\\uc0\\u237{} a nakladatelstv\\uc0\\u237{} Ale\\uc0\\u353{} \\uc0\\u268{}en\\uc0\\u283{}k, 2020, s.\\uc0\\u160{}73.","plainCitation":"Rozehnal, A., Hurdík, J. Praktikum občanského práva hmotného. Plzeň: Vydavatelství a nakladatelství Aleš Čeněk, 2020, s. 73.","noteIndex":19},"citationItems":[{"id":457,"uris":["http://zotero.org/users/5523905/items/WS3EYT4V"],"uri":["http://zotero.org/users/5523905/items/WS3EYT4V"],"itemData":{"id":457,"type":"book","call-number":"347 |2 MRF","event-place":"Plzeň","ISBN":"978-80-7380-805-1","language":"cze","number-of-pages":"279","publisher":"Vydavatelství a nakladatelství Aleš Čeněk","publisher-place":"Plzeň","source":"aleph.muni.cz Library Catalog","title":"Praktikum občanského práva hmotného","author":[{"family":"Rozehnal","given":"Aleš"},{"family":"Hurdík","given":"Jan"}],"issued":{"date-parts":[["2020"]]}},"locator":"73"}],"schema":"https://github.com/citation-style-language/schema/raw/master/csl-citation.json"} </w:instrText>
      </w:r>
      <w:r>
        <w:fldChar w:fldCharType="separate"/>
      </w:r>
      <w:r w:rsidRPr="00AD1C22">
        <w:rPr>
          <w:rFonts w:cs="Times New Roman"/>
          <w:szCs w:val="24"/>
        </w:rPr>
        <w:t xml:space="preserve">Rozehnal, A., </w:t>
      </w:r>
      <w:proofErr w:type="spellStart"/>
      <w:r w:rsidRPr="00AD1C22">
        <w:rPr>
          <w:rFonts w:cs="Times New Roman"/>
          <w:szCs w:val="24"/>
        </w:rPr>
        <w:t>Hurdík</w:t>
      </w:r>
      <w:proofErr w:type="spellEnd"/>
      <w:r w:rsidRPr="00AD1C22">
        <w:rPr>
          <w:rFonts w:cs="Times New Roman"/>
          <w:szCs w:val="24"/>
        </w:rPr>
        <w:t xml:space="preserve">, J. </w:t>
      </w:r>
      <w:r w:rsidRPr="00AD1C22">
        <w:rPr>
          <w:rFonts w:cs="Times New Roman"/>
          <w:i/>
          <w:iCs/>
          <w:szCs w:val="24"/>
        </w:rPr>
        <w:t>Praktikum občanského práva hmotného</w:t>
      </w:r>
      <w:r w:rsidRPr="00AD1C22">
        <w:rPr>
          <w:rFonts w:cs="Times New Roman"/>
          <w:szCs w:val="24"/>
        </w:rPr>
        <w:t xml:space="preserve">. Plzeň: Vydavatelství </w:t>
      </w:r>
      <w:r w:rsidR="0015297B" w:rsidRPr="00AD1C22">
        <w:rPr>
          <w:rFonts w:cs="Times New Roman"/>
          <w:szCs w:val="24"/>
        </w:rPr>
        <w:t>a</w:t>
      </w:r>
      <w:r w:rsidR="0015297B">
        <w:rPr>
          <w:rFonts w:cs="Times New Roman"/>
          <w:szCs w:val="24"/>
        </w:rPr>
        <w:t> </w:t>
      </w:r>
      <w:r w:rsidRPr="00AD1C22">
        <w:rPr>
          <w:rFonts w:cs="Times New Roman"/>
          <w:szCs w:val="24"/>
        </w:rPr>
        <w:t>nakladatelství Aleš Čeněk, 2020, s. 73.</w:t>
      </w:r>
      <w:r>
        <w:fldChar w:fldCharType="end"/>
      </w:r>
    </w:p>
  </w:footnote>
  <w:footnote w:id="21">
    <w:p w14:paraId="345497A2" w14:textId="2ABD70ED" w:rsidR="004E60EA" w:rsidRDefault="004E60EA">
      <w:pPr>
        <w:pStyle w:val="Textpoznpodarou"/>
      </w:pPr>
      <w:r>
        <w:rPr>
          <w:rStyle w:val="Znakapoznpodarou"/>
        </w:rPr>
        <w:footnoteRef/>
      </w:r>
      <w:r>
        <w:t xml:space="preserve"> </w:t>
      </w:r>
      <w:r w:rsidRPr="004E60EA">
        <w:t xml:space="preserve">Rozsudek Nejvyššího soudu ze dne 28. 5. 2020, </w:t>
      </w:r>
      <w:proofErr w:type="spellStart"/>
      <w:r w:rsidRPr="004E60EA">
        <w:t>sp</w:t>
      </w:r>
      <w:proofErr w:type="spellEnd"/>
      <w:r w:rsidRPr="004E60EA">
        <w:t xml:space="preserve">. zn. 25 </w:t>
      </w:r>
      <w:proofErr w:type="spellStart"/>
      <w:r w:rsidRPr="004E60EA">
        <w:t>Cdo</w:t>
      </w:r>
      <w:proofErr w:type="spellEnd"/>
      <w:r w:rsidRPr="004E60EA">
        <w:t xml:space="preserve"> 1510/2019</w:t>
      </w:r>
      <w:r>
        <w:t>.</w:t>
      </w:r>
    </w:p>
  </w:footnote>
  <w:footnote w:id="22">
    <w:p w14:paraId="5AA3161D" w14:textId="7F539701" w:rsidR="00E95023" w:rsidRDefault="00E95023">
      <w:pPr>
        <w:pStyle w:val="Textpoznpodarou"/>
      </w:pPr>
      <w:r>
        <w:rPr>
          <w:rStyle w:val="Znakapoznpodarou"/>
        </w:rPr>
        <w:footnoteRef/>
      </w:r>
      <w:r>
        <w:t xml:space="preserve"> </w:t>
      </w:r>
      <w:r>
        <w:fldChar w:fldCharType="begin"/>
      </w:r>
      <w:r>
        <w:instrText xml:space="preserve"> ADDIN ZOTERO_ITEM CSL_CITATION {"citationID":"qkMIKn8L","properties":{"formattedCitation":"Laz\\uc0\\u237{}kov\\uc0\\u225{} a \\uc0\\u352{}tev\\uc0\\u269{}ek in Lavick\\uc0\\u253{} et al. {\\i{}Ob\\uc0\\u269{}ansk\\uc0\\u253{} z\\uc0\\u225{}kon\\uc0\\u237{}k}, s.\\uc0\\u160{}2205.","plainCitation":"Lazíková a Števček in Lavický et al. Občanský zákoník, s. 2205.","noteIndex":22},"citationItems":[{"id":42,"uris":["http://zotero.org/users/5523905/items/ALHWU4S9"],"uri":["http://zotero.org/users/5523905/items/ALHWU4S9"],"itemData":{"id":42,"type":"book","call-number":"347 |2 MRF","collection-title":"Velké komentáře","event-place":"Praha","ISBN":"978-80-7400-529-9","number-of-pages":"2380","publisher":"C.H. Beck","publisher-place":"Praha","source":"aleph.muni.cz Library Catalog","title":"Občanský zákoník: komentář. I: Obecná část (§ 1–654)","title-short":"Občanský zákoník","author":[{"family":"Lavický","given":"Petr"},{"family":"Dávid","given":"Radovan"},{"family":"Dobrovolná","given":"Eva"},{"family":"Handlar","given":"Jiří"},{"family":"Havlan","given":"Petr"},{"family":"Horecký","given":"Jan"},{"family":"Hurdík","given":"Jan"},{"family":"Hrdlička","given":"Miloslav"},{"family":"Koukal","given":"Pavel"},{"family":"Ronovská","given":"Kateřina"},{"family":"Ruban","given":"Radek"}],"issued":{"date-parts":[["2014"]]}},"locator":"2205","prefix":"Lazíková a Števček in"}],"schema":"https://github.com/citation-style-language/schema/raw/master/csl-citation.json"} </w:instrText>
      </w:r>
      <w:r>
        <w:fldChar w:fldCharType="separate"/>
      </w:r>
      <w:proofErr w:type="spellStart"/>
      <w:r w:rsidRPr="00E95023">
        <w:rPr>
          <w:rFonts w:cs="Times New Roman"/>
          <w:szCs w:val="24"/>
        </w:rPr>
        <w:t>Lazíková</w:t>
      </w:r>
      <w:proofErr w:type="spellEnd"/>
      <w:r w:rsidRPr="00E95023">
        <w:rPr>
          <w:rFonts w:cs="Times New Roman"/>
          <w:szCs w:val="24"/>
        </w:rPr>
        <w:t xml:space="preserve"> </w:t>
      </w:r>
      <w:r w:rsidR="0015297B" w:rsidRPr="00E95023">
        <w:rPr>
          <w:rFonts w:cs="Times New Roman"/>
          <w:szCs w:val="24"/>
        </w:rPr>
        <w:t>a</w:t>
      </w:r>
      <w:r w:rsidR="0015297B">
        <w:rPr>
          <w:rFonts w:cs="Times New Roman"/>
          <w:szCs w:val="24"/>
        </w:rPr>
        <w:t> </w:t>
      </w:r>
      <w:proofErr w:type="spellStart"/>
      <w:r w:rsidRPr="00E95023">
        <w:rPr>
          <w:rFonts w:cs="Times New Roman"/>
          <w:szCs w:val="24"/>
        </w:rPr>
        <w:t>Števček</w:t>
      </w:r>
      <w:proofErr w:type="spellEnd"/>
      <w:r w:rsidRPr="00E95023">
        <w:rPr>
          <w:rFonts w:cs="Times New Roman"/>
          <w:szCs w:val="24"/>
        </w:rPr>
        <w:t xml:space="preserve"> in Lavický et al. </w:t>
      </w:r>
      <w:r w:rsidRPr="00E95023">
        <w:rPr>
          <w:rFonts w:cs="Times New Roman"/>
          <w:i/>
          <w:iCs/>
          <w:szCs w:val="24"/>
        </w:rPr>
        <w:t>Občanský zákoník</w:t>
      </w:r>
      <w:r w:rsidRPr="00E95023">
        <w:rPr>
          <w:rFonts w:cs="Times New Roman"/>
          <w:szCs w:val="24"/>
        </w:rPr>
        <w:t>, s. 2205.</w:t>
      </w:r>
      <w:r>
        <w:fldChar w:fldCharType="end"/>
      </w:r>
    </w:p>
  </w:footnote>
  <w:footnote w:id="23">
    <w:p w14:paraId="4B1046B0" w14:textId="6852DBE2" w:rsidR="00FE7429" w:rsidRDefault="00FE7429">
      <w:pPr>
        <w:pStyle w:val="Textpoznpodarou"/>
      </w:pPr>
      <w:r>
        <w:rPr>
          <w:rStyle w:val="Znakapoznpodarou"/>
        </w:rPr>
        <w:footnoteRef/>
      </w:r>
      <w:r>
        <w:t xml:space="preserve"> </w:t>
      </w:r>
      <w:r>
        <w:fldChar w:fldCharType="begin"/>
      </w:r>
      <w:r>
        <w:instrText xml:space="preserve"> ADDIN ZOTERO_ITEM CSL_CITATION {"citationID":"n5DOYDou","properties":{"formattedCitation":"Laz\\uc0\\u237{}kov\\uc0\\u225{} a \\uc0\\u352{}tev\\uc0\\u269{}ek in ibid., s.\\uc0\\u160{}2213.","plainCitation":"Lazíková a Števček in ibid., s. 2213.","noteIndex":23},"citationItems":[{"id":42,"uris":["http://zotero.org/users/5523905/items/ALHWU4S9"],"uri":["http://zotero.org/users/5523905/items/ALHWU4S9"],"itemData":{"id":42,"type":"book","call-number":"347 |2 MRF","collection-title":"Velké komentáře","event-place":"Praha","ISBN":"978-80-7400-529-9","number-of-pages":"2380","publisher":"C.H. Beck","publisher-place":"Praha","source":"aleph.muni.cz Library Catalog","title":"Občanský zákoník: komentář. I: Obecná část (§ 1–654)","title-short":"Občanský zákoník","author":[{"family":"Lavický","given":"Petr"},{"family":"Dávid","given":"Radovan"},{"family":"Dobrovolná","given":"Eva"},{"family":"Handlar","given":"Jiří"},{"family":"Havlan","given":"Petr"},{"family":"Horecký","given":"Jan"},{"family":"Hurdík","given":"Jan"},{"family":"Hrdlička","given":"Miloslav"},{"family":"Koukal","given":"Pavel"},{"family":"Ronovská","given":"Kateřina"},{"family":"Ruban","given":"Radek"}],"issued":{"date-parts":[["2014"]]}},"locator":"2213","prefix":"Lazíková a Števček in"}],"schema":"https://github.com/citation-style-language/schema/raw/master/csl-citation.json"} </w:instrText>
      </w:r>
      <w:r>
        <w:fldChar w:fldCharType="separate"/>
      </w:r>
      <w:proofErr w:type="spellStart"/>
      <w:r w:rsidRPr="00FE7429">
        <w:rPr>
          <w:rFonts w:cs="Times New Roman"/>
          <w:szCs w:val="24"/>
        </w:rPr>
        <w:t>Lazíková</w:t>
      </w:r>
      <w:proofErr w:type="spellEnd"/>
      <w:r w:rsidRPr="00FE7429">
        <w:rPr>
          <w:rFonts w:cs="Times New Roman"/>
          <w:szCs w:val="24"/>
        </w:rPr>
        <w:t xml:space="preserve"> </w:t>
      </w:r>
      <w:r w:rsidR="0015297B" w:rsidRPr="00FE7429">
        <w:rPr>
          <w:rFonts w:cs="Times New Roman"/>
          <w:szCs w:val="24"/>
        </w:rPr>
        <w:t>a</w:t>
      </w:r>
      <w:r w:rsidR="0015297B">
        <w:rPr>
          <w:rFonts w:cs="Times New Roman"/>
          <w:szCs w:val="24"/>
        </w:rPr>
        <w:t> </w:t>
      </w:r>
      <w:proofErr w:type="spellStart"/>
      <w:r w:rsidRPr="00FE7429">
        <w:rPr>
          <w:rFonts w:cs="Times New Roman"/>
          <w:szCs w:val="24"/>
        </w:rPr>
        <w:t>Števček</w:t>
      </w:r>
      <w:proofErr w:type="spellEnd"/>
      <w:r w:rsidRPr="00FE7429">
        <w:rPr>
          <w:rFonts w:cs="Times New Roman"/>
          <w:szCs w:val="24"/>
        </w:rPr>
        <w:t xml:space="preserve"> in </w:t>
      </w:r>
      <w:proofErr w:type="spellStart"/>
      <w:r w:rsidRPr="00FE7429">
        <w:rPr>
          <w:rFonts w:cs="Times New Roman"/>
          <w:szCs w:val="24"/>
        </w:rPr>
        <w:t>ibid</w:t>
      </w:r>
      <w:proofErr w:type="spellEnd"/>
      <w:r w:rsidRPr="00FE7429">
        <w:rPr>
          <w:rFonts w:cs="Times New Roman"/>
          <w:szCs w:val="24"/>
        </w:rPr>
        <w:t>., s. 2213.</w:t>
      </w:r>
      <w:r>
        <w:fldChar w:fldCharType="end"/>
      </w:r>
    </w:p>
  </w:footnote>
  <w:footnote w:id="24">
    <w:p w14:paraId="0B3E5486" w14:textId="6F919A40" w:rsidR="00E93F0E" w:rsidRDefault="00E93F0E">
      <w:pPr>
        <w:pStyle w:val="Textpoznpodarou"/>
      </w:pPr>
      <w:r>
        <w:rPr>
          <w:rStyle w:val="Znakapoznpodarou"/>
        </w:rPr>
        <w:footnoteRef/>
      </w:r>
      <w:r>
        <w:t xml:space="preserve"> </w:t>
      </w:r>
      <w:r>
        <w:fldChar w:fldCharType="begin"/>
      </w:r>
      <w:r>
        <w:instrText xml:space="preserve"> ADDIN ZOTERO_ITEM CSL_CITATION {"citationID":"C3EfrkdI","properties":{"formattedCitation":"Kriticky se k tomtuto rozhodnut\\uc0\\u237{} stav\\uc0\\u237{} nap\\uc0\\u345{}\\uc0\\u237{}klad Sogel. Sogel,\\uc0\\u160{}L. Vztah \\uc0\\u167{} 626 a \\uc0\\u167{} 635 odst. 2 ob\\uc0\\u269{}ansk\\uc0\\u233{}ho z\\uc0\\u225{}kon\\uc0\\u237{}ku v r\\uc0\\u225{}mci \\uc0\\u250{}pravy proml\\uc0\\u269{}en\\uc0\\u237{} pr\\uc0\\u225{}va na pojistn\\uc0\\u233{} pln\\uc0\\u283{}n\\uc0\\u237{} z poji\\uc0\\u353{}t\\uc0\\u283{}n\\uc0\\u237{} odpov\\uc0\\u283{}dnosti. {\\i{}Iurium}. 2020 [cit.\\uc0\\u160{}20.\\uc0\\u160{}12.\\uc0\\u160{}2020]. https://www.iurium.cz/2020/12/19/vztah-%c2%a7-626-a-%c2%a7-635-odst-2-obcanskeho-zakoniku-v-ramci-upravy-promlceni-prava-na-pojistne-plneni-z-pojisteni-odpovednosti/","plainCitation":"Kriticky se k tomtuto rozhodnutí staví například Sogel. Sogel, L. Vztah § 626 a § 635 odst. 2 občanského zákoníku v rámci úpravy promlčení práva na pojistné plnění z pojištění odpovědnosti. Iurium. 2020 [cit. 20. 12. 2020]. https://www.iurium.cz/2020/12/19/vztah-%c2%a7-626-a-%c2%a7-635-odst-2-obcanskeho-zakoniku-v-ramci-upravy-promlceni-prava-na-pojistne-plneni-z-pojisteni-odpovednosti/","noteIndex":24},"citationItems":[{"id":373,"uris":["http://zotero.org/users/5523905/items/J76JREIZ"],"uri":["http://zotero.org/users/5523905/items/J76JREIZ"],"itemData":{"id":373,"type":"article-journal","abstract":"V rozsudku ze dne 28. 11. 2019, č. j. 25 Cdo 1976/2019 – 182, se Nejvyšší soud zabýval promlčením práva na pojistné plnění z pojištění odpovědnosti, především pak vztahem § 626 zákona č. 89/2012 Sb., občanský zákoník (dále jen „OZ“), a § 635 odst. 2 OZ. Částečně se přitom odchýlil od právního výkladu, který do …","container-title":"Iurium","language":"cs-CZ","note":"section: Odborné články","title":"Vztah § 626 a § 635 odst. 2 občanského zákoníku v rámci úpravy promlčení práva na pojistné plnění z pojištění odpovědnosti","URL":"https://www.iurium.cz/2020/12/19/vztah-%c2%a7-626-a-%c2%a7-635-odst-2-obcanskeho-zakoniku-v-ramci-upravy-promlceni-prava-na-pojistne-plneni-z-pojisteni-odpovednosti/","author":[{"family":"Sogel","given":"Ladislav"}],"accessed":{"date-parts":[["2020",12,20]]},"issued":{"date-parts":[["2020",12,19]]}},"prefix":"Kriticky se k tomtuto rozhodnutí staví například Sogel."}],"schema":"https://github.com/citation-style-language/schema/raw/master/csl-citation.json"} </w:instrText>
      </w:r>
      <w:r>
        <w:fldChar w:fldCharType="separate"/>
      </w:r>
      <w:r w:rsidRPr="00E93F0E">
        <w:rPr>
          <w:rFonts w:cs="Times New Roman"/>
          <w:szCs w:val="24"/>
        </w:rPr>
        <w:t xml:space="preserve">Kriticky se </w:t>
      </w:r>
      <w:r w:rsidR="0015297B" w:rsidRPr="00E93F0E">
        <w:rPr>
          <w:rFonts w:cs="Times New Roman"/>
          <w:szCs w:val="24"/>
        </w:rPr>
        <w:t>k</w:t>
      </w:r>
      <w:r w:rsidR="0015297B">
        <w:rPr>
          <w:rFonts w:cs="Times New Roman"/>
          <w:szCs w:val="24"/>
        </w:rPr>
        <w:t> </w:t>
      </w:r>
      <w:proofErr w:type="spellStart"/>
      <w:r w:rsidRPr="00E93F0E">
        <w:rPr>
          <w:rFonts w:cs="Times New Roman"/>
          <w:szCs w:val="24"/>
        </w:rPr>
        <w:t>tomtuto</w:t>
      </w:r>
      <w:proofErr w:type="spellEnd"/>
      <w:r w:rsidRPr="00E93F0E">
        <w:rPr>
          <w:rFonts w:cs="Times New Roman"/>
          <w:szCs w:val="24"/>
        </w:rPr>
        <w:t xml:space="preserve"> rozhodnutí staví například </w:t>
      </w:r>
      <w:proofErr w:type="spellStart"/>
      <w:r w:rsidRPr="00E93F0E">
        <w:rPr>
          <w:rFonts w:cs="Times New Roman"/>
          <w:szCs w:val="24"/>
        </w:rPr>
        <w:t>Sogel</w:t>
      </w:r>
      <w:proofErr w:type="spellEnd"/>
      <w:r w:rsidRPr="00E93F0E">
        <w:rPr>
          <w:rFonts w:cs="Times New Roman"/>
          <w:szCs w:val="24"/>
        </w:rPr>
        <w:t xml:space="preserve">. </w:t>
      </w:r>
      <w:proofErr w:type="spellStart"/>
      <w:r w:rsidRPr="00E93F0E">
        <w:rPr>
          <w:rFonts w:cs="Times New Roman"/>
          <w:szCs w:val="24"/>
        </w:rPr>
        <w:t>Sogel</w:t>
      </w:r>
      <w:proofErr w:type="spellEnd"/>
      <w:r w:rsidRPr="00E93F0E">
        <w:rPr>
          <w:rFonts w:cs="Times New Roman"/>
          <w:szCs w:val="24"/>
        </w:rPr>
        <w:t xml:space="preserve">, L. Vztah § 626 </w:t>
      </w:r>
      <w:r w:rsidR="0015297B" w:rsidRPr="00E93F0E">
        <w:rPr>
          <w:rFonts w:cs="Times New Roman"/>
          <w:szCs w:val="24"/>
        </w:rPr>
        <w:t>a</w:t>
      </w:r>
      <w:r w:rsidR="0015297B">
        <w:rPr>
          <w:rFonts w:cs="Times New Roman"/>
          <w:szCs w:val="24"/>
        </w:rPr>
        <w:t> </w:t>
      </w:r>
      <w:r w:rsidRPr="00E93F0E">
        <w:rPr>
          <w:rFonts w:cs="Times New Roman"/>
          <w:szCs w:val="24"/>
        </w:rPr>
        <w:t xml:space="preserve">§ 635 odst. 2 občanského zákoníku </w:t>
      </w:r>
      <w:r w:rsidR="0015297B" w:rsidRPr="00E93F0E">
        <w:rPr>
          <w:rFonts w:cs="Times New Roman"/>
          <w:szCs w:val="24"/>
        </w:rPr>
        <w:t>v</w:t>
      </w:r>
      <w:r w:rsidR="0015297B">
        <w:rPr>
          <w:rFonts w:cs="Times New Roman"/>
          <w:szCs w:val="24"/>
        </w:rPr>
        <w:t> </w:t>
      </w:r>
      <w:r w:rsidRPr="00E93F0E">
        <w:rPr>
          <w:rFonts w:cs="Times New Roman"/>
          <w:szCs w:val="24"/>
        </w:rPr>
        <w:t xml:space="preserve">rámci úpravy promlčení práva na pojistné plnění </w:t>
      </w:r>
      <w:r w:rsidR="0015297B" w:rsidRPr="00E93F0E">
        <w:rPr>
          <w:rFonts w:cs="Times New Roman"/>
          <w:szCs w:val="24"/>
        </w:rPr>
        <w:t>z</w:t>
      </w:r>
      <w:r w:rsidR="0015297B">
        <w:rPr>
          <w:rFonts w:cs="Times New Roman"/>
          <w:szCs w:val="24"/>
        </w:rPr>
        <w:t> </w:t>
      </w:r>
      <w:r w:rsidRPr="00E93F0E">
        <w:rPr>
          <w:rFonts w:cs="Times New Roman"/>
          <w:szCs w:val="24"/>
        </w:rPr>
        <w:t xml:space="preserve">pojištění odpovědnosti. </w:t>
      </w:r>
      <w:proofErr w:type="spellStart"/>
      <w:r w:rsidRPr="00E93F0E">
        <w:rPr>
          <w:rFonts w:cs="Times New Roman"/>
          <w:i/>
          <w:iCs/>
          <w:szCs w:val="24"/>
        </w:rPr>
        <w:t>Iurium</w:t>
      </w:r>
      <w:proofErr w:type="spellEnd"/>
      <w:r w:rsidRPr="00E93F0E">
        <w:rPr>
          <w:rFonts w:cs="Times New Roman"/>
          <w:szCs w:val="24"/>
        </w:rPr>
        <w:t>. 2020 [cit. 20. 12. 2020]. https://www.iurium.cz/2020/12/19/vztah-%c2%a7-626-a-%c2%a7-635-odst-2-obcanskeho-zakoniku-v-ramci-upravy-promlceni-prava-na-pojistne-plneni-z-pojisteni-odpovednosti/</w:t>
      </w:r>
      <w:r>
        <w:fldChar w:fldCharType="end"/>
      </w:r>
    </w:p>
  </w:footnote>
  <w:footnote w:id="25">
    <w:p w14:paraId="6D607B32" w14:textId="522274FC" w:rsidR="00B62B8C" w:rsidRDefault="00B62B8C">
      <w:pPr>
        <w:pStyle w:val="Textpoznpodarou"/>
      </w:pPr>
      <w:r>
        <w:rPr>
          <w:rStyle w:val="Znakapoznpodarou"/>
        </w:rPr>
        <w:footnoteRef/>
      </w:r>
      <w:r>
        <w:t xml:space="preserve"> </w:t>
      </w:r>
      <w:r>
        <w:fldChar w:fldCharType="begin"/>
      </w:r>
      <w:r>
        <w:instrText xml:space="preserve"> ADDIN ZOTERO_ITEM CSL_CITATION {"citationID":"rg9dNtti","properties":{"formattedCitation":"Laz\\uc0\\u237{}kov\\uc0\\u225{} a \\uc0\\u352{}tev\\uc0\\u269{}ek in Lavick\\uc0\\u253{} et al. {\\i{}Ob\\uc0\\u269{}ansk\\uc0\\u253{} z\\uc0\\u225{}kon\\uc0\\u237{}k}, s.\\uc0\\u160{}2216\\uc0\\u8211{}2217.","plainCitation":"Lazíková a Števček in Lavický et al. Občanský zákoník, s. 2216–2217.","noteIndex":25},"citationItems":[{"id":42,"uris":["http://zotero.org/users/5523905/items/ALHWU4S9"],"uri":["http://zotero.org/users/5523905/items/ALHWU4S9"],"itemData":{"id":42,"type":"book","call-number":"347 |2 MRF","collection-title":"Velké komentáře","event-place":"Praha","ISBN":"978-80-7400-529-9","number-of-pages":"2380","publisher":"C.H. Beck","publisher-place":"Praha","source":"aleph.muni.cz Library Catalog","title":"Občanský zákoník: komentář. I: Obecná část (§ 1–654)","title-short":"Občanský zákoník","author":[{"family":"Lavický","given":"Petr"},{"family":"Dávid","given":"Radovan"},{"family":"Dobrovolná","given":"Eva"},{"family":"Handlar","given":"Jiří"},{"family":"Havlan","given":"Petr"},{"family":"Horecký","given":"Jan"},{"family":"Hurdík","given":"Jan"},{"family":"Hrdlička","given":"Miloslav"},{"family":"Koukal","given":"Pavel"},{"family":"Ronovská","given":"Kateřina"},{"family":"Ruban","given":"Radek"}],"issued":{"date-parts":[["2014"]]}},"locator":"2216-2217","prefix":"Lazíková a Števček in"}],"schema":"https://github.com/citation-style-language/schema/raw/master/csl-citation.json"} </w:instrText>
      </w:r>
      <w:r>
        <w:fldChar w:fldCharType="separate"/>
      </w:r>
      <w:proofErr w:type="spellStart"/>
      <w:r w:rsidRPr="00B62B8C">
        <w:rPr>
          <w:rFonts w:cs="Times New Roman"/>
          <w:szCs w:val="24"/>
        </w:rPr>
        <w:t>Lazíková</w:t>
      </w:r>
      <w:proofErr w:type="spellEnd"/>
      <w:r w:rsidRPr="00B62B8C">
        <w:rPr>
          <w:rFonts w:cs="Times New Roman"/>
          <w:szCs w:val="24"/>
        </w:rPr>
        <w:t xml:space="preserve"> </w:t>
      </w:r>
      <w:r w:rsidR="0015297B" w:rsidRPr="00B62B8C">
        <w:rPr>
          <w:rFonts w:cs="Times New Roman"/>
          <w:szCs w:val="24"/>
        </w:rPr>
        <w:t>a</w:t>
      </w:r>
      <w:r w:rsidR="0015297B">
        <w:rPr>
          <w:rFonts w:cs="Times New Roman"/>
          <w:szCs w:val="24"/>
        </w:rPr>
        <w:t> </w:t>
      </w:r>
      <w:proofErr w:type="spellStart"/>
      <w:r w:rsidRPr="00B62B8C">
        <w:rPr>
          <w:rFonts w:cs="Times New Roman"/>
          <w:szCs w:val="24"/>
        </w:rPr>
        <w:t>Števček</w:t>
      </w:r>
      <w:proofErr w:type="spellEnd"/>
      <w:r w:rsidRPr="00B62B8C">
        <w:rPr>
          <w:rFonts w:cs="Times New Roman"/>
          <w:szCs w:val="24"/>
        </w:rPr>
        <w:t xml:space="preserve"> in Lavický et al. </w:t>
      </w:r>
      <w:r w:rsidRPr="00B62B8C">
        <w:rPr>
          <w:rFonts w:cs="Times New Roman"/>
          <w:i/>
          <w:iCs/>
          <w:szCs w:val="24"/>
        </w:rPr>
        <w:t>Občanský zákoník</w:t>
      </w:r>
      <w:r w:rsidRPr="00B62B8C">
        <w:rPr>
          <w:rFonts w:cs="Times New Roman"/>
          <w:szCs w:val="24"/>
        </w:rPr>
        <w:t>, s. 2216–2217.</w:t>
      </w:r>
      <w:r>
        <w:fldChar w:fldCharType="end"/>
      </w:r>
    </w:p>
  </w:footnote>
  <w:footnote w:id="26">
    <w:p w14:paraId="480353AA" w14:textId="3E0B8434" w:rsidR="00296343" w:rsidRDefault="00296343">
      <w:pPr>
        <w:pStyle w:val="Textpoznpodarou"/>
      </w:pPr>
      <w:r>
        <w:rPr>
          <w:rStyle w:val="Znakapoznpodarou"/>
        </w:rPr>
        <w:footnoteRef/>
      </w:r>
      <w:r>
        <w:t xml:space="preserve"> </w:t>
      </w:r>
      <w:r>
        <w:fldChar w:fldCharType="begin"/>
      </w:r>
      <w:r>
        <w:instrText xml:space="preserve"> ADDIN ZOTERO_ITEM CSL_CITATION {"citationID":"W3Wfmnrz","properties":{"formattedCitation":"Laz\\uc0\\u237{}kov\\uc0\\u225{} a \\uc0\\u352{}tev\\uc0\\u269{}ek in ibid., s.\\uc0\\u160{}2220.","plainCitation":"Lazíková a Števček in ibid., s. 2220.","noteIndex":26},"citationItems":[{"id":42,"uris":["http://zotero.org/users/5523905/items/ALHWU4S9"],"uri":["http://zotero.org/users/5523905/items/ALHWU4S9"],"itemData":{"id":42,"type":"book","call-number":"347 |2 MRF","collection-title":"Velké komentáře","event-place":"Praha","ISBN":"978-80-7400-529-9","number-of-pages":"2380","publisher":"C.H. Beck","publisher-place":"Praha","source":"aleph.muni.cz Library Catalog","title":"Občanský zákoník: komentář. I: Obecná část (§ 1–654)","title-short":"Občanský zákoník","author":[{"family":"Lavický","given":"Petr"},{"family":"Dávid","given":"Radovan"},{"family":"Dobrovolná","given":"Eva"},{"family":"Handlar","given":"Jiří"},{"family":"Havlan","given":"Petr"},{"family":"Horecký","given":"Jan"},{"family":"Hurdík","given":"Jan"},{"family":"Hrdlička","given":"Miloslav"},{"family":"Koukal","given":"Pavel"},{"family":"Ronovská","given":"Kateřina"},{"family":"Ruban","given":"Radek"}],"issued":{"date-parts":[["2014"]]}},"locator":"2220","prefix":"Lazíková a Števček in"}],"schema":"https://github.com/citation-style-language/schema/raw/master/csl-citation.json"} </w:instrText>
      </w:r>
      <w:r>
        <w:fldChar w:fldCharType="separate"/>
      </w:r>
      <w:proofErr w:type="spellStart"/>
      <w:r w:rsidRPr="00296343">
        <w:rPr>
          <w:rFonts w:cs="Times New Roman"/>
          <w:szCs w:val="24"/>
        </w:rPr>
        <w:t>Lazíková</w:t>
      </w:r>
      <w:proofErr w:type="spellEnd"/>
      <w:r w:rsidRPr="00296343">
        <w:rPr>
          <w:rFonts w:cs="Times New Roman"/>
          <w:szCs w:val="24"/>
        </w:rPr>
        <w:t xml:space="preserve"> </w:t>
      </w:r>
      <w:r w:rsidR="0015297B" w:rsidRPr="00296343">
        <w:rPr>
          <w:rFonts w:cs="Times New Roman"/>
          <w:szCs w:val="24"/>
        </w:rPr>
        <w:t>a</w:t>
      </w:r>
      <w:r w:rsidR="0015297B">
        <w:rPr>
          <w:rFonts w:cs="Times New Roman"/>
          <w:szCs w:val="24"/>
        </w:rPr>
        <w:t> </w:t>
      </w:r>
      <w:proofErr w:type="spellStart"/>
      <w:r w:rsidRPr="00296343">
        <w:rPr>
          <w:rFonts w:cs="Times New Roman"/>
          <w:szCs w:val="24"/>
        </w:rPr>
        <w:t>Števček</w:t>
      </w:r>
      <w:proofErr w:type="spellEnd"/>
      <w:r w:rsidRPr="00296343">
        <w:rPr>
          <w:rFonts w:cs="Times New Roman"/>
          <w:szCs w:val="24"/>
        </w:rPr>
        <w:t xml:space="preserve"> in </w:t>
      </w:r>
      <w:proofErr w:type="spellStart"/>
      <w:r w:rsidRPr="00296343">
        <w:rPr>
          <w:rFonts w:cs="Times New Roman"/>
          <w:szCs w:val="24"/>
        </w:rPr>
        <w:t>ibid</w:t>
      </w:r>
      <w:proofErr w:type="spellEnd"/>
      <w:r w:rsidRPr="00296343">
        <w:rPr>
          <w:rFonts w:cs="Times New Roman"/>
          <w:szCs w:val="24"/>
        </w:rPr>
        <w:t>., s. 2220.</w:t>
      </w:r>
      <w:r>
        <w:fldChar w:fldCharType="end"/>
      </w:r>
    </w:p>
  </w:footnote>
  <w:footnote w:id="27">
    <w:p w14:paraId="364DD284" w14:textId="0BBE4119" w:rsidR="001F1E3B" w:rsidRDefault="001F1E3B">
      <w:pPr>
        <w:pStyle w:val="Textpoznpodarou"/>
      </w:pPr>
      <w:r>
        <w:rPr>
          <w:rStyle w:val="Znakapoznpodarou"/>
        </w:rPr>
        <w:footnoteRef/>
      </w:r>
      <w:r>
        <w:t xml:space="preserve"> Srov. r</w:t>
      </w:r>
      <w:r w:rsidRPr="001F1E3B">
        <w:t xml:space="preserve">ozsudek Nejvyššího soudu ze dne 28. 11. 2019, </w:t>
      </w:r>
      <w:proofErr w:type="spellStart"/>
      <w:r w:rsidRPr="001F1E3B">
        <w:t>sp</w:t>
      </w:r>
      <w:proofErr w:type="spellEnd"/>
      <w:r w:rsidRPr="001F1E3B">
        <w:t xml:space="preserve">. zn. 25 </w:t>
      </w:r>
      <w:proofErr w:type="spellStart"/>
      <w:r w:rsidRPr="001F1E3B">
        <w:t>Cdo</w:t>
      </w:r>
      <w:proofErr w:type="spellEnd"/>
      <w:r w:rsidRPr="001F1E3B">
        <w:t xml:space="preserve"> 1976/2019</w:t>
      </w:r>
      <w:r>
        <w:t xml:space="preserve">, </w:t>
      </w:r>
      <w:r w:rsidR="0015297B">
        <w:t>a </w:t>
      </w:r>
      <w:r>
        <w:t>důvody tam uvedené.</w:t>
      </w:r>
    </w:p>
  </w:footnote>
  <w:footnote w:id="28">
    <w:p w14:paraId="43B849CD" w14:textId="2F292A4E" w:rsidR="009D3E9B" w:rsidRDefault="009D3E9B">
      <w:pPr>
        <w:pStyle w:val="Textpoznpodarou"/>
      </w:pPr>
      <w:r>
        <w:rPr>
          <w:rStyle w:val="Znakapoznpodarou"/>
        </w:rPr>
        <w:footnoteRef/>
      </w:r>
      <w:r>
        <w:t xml:space="preserve"> </w:t>
      </w:r>
      <w:r>
        <w:fldChar w:fldCharType="begin"/>
      </w:r>
      <w:r>
        <w:instrText xml:space="preserve"> ADDIN ZOTERO_ITEM CSL_CITATION {"citationID":"lKeyCcW3","properties":{"formattedCitation":"Laz\\uc0\\u237{}kov\\uc0\\u225{} a \\uc0\\u352{}tev\\uc0\\u269{}ek in Lavick\\uc0\\u253{} et al. {\\i{}Ob\\uc0\\u269{}ansk\\uc0\\u253{} z\\uc0\\u225{}kon\\uc0\\u237{}k}, s.\\uc0\\u160{}2240.","plainCitation":"Lazíková a Števček in Lavický et al. Občanský zákoník, s. 2240.","noteIndex":28},"citationItems":[{"id":42,"uris":["http://zotero.org/users/5523905/items/ALHWU4S9"],"uri":["http://zotero.org/users/5523905/items/ALHWU4S9"],"itemData":{"id":42,"type":"book","call-number":"347 |2 MRF","collection-title":"Velké komentáře","event-place":"Praha","ISBN":"978-80-7400-529-9","number-of-pages":"2380","publisher":"C.H. Beck","publisher-place":"Praha","source":"aleph.muni.cz Library Catalog","title":"Občanský zákoník: komentář. I: Obecná část (§ 1–654)","title-short":"Občanský zákoník","author":[{"family":"Lavický","given":"Petr"},{"family":"Dávid","given":"Radovan"},{"family":"Dobrovolná","given":"Eva"},{"family":"Handlar","given":"Jiří"},{"family":"Havlan","given":"Petr"},{"family":"Horecký","given":"Jan"},{"family":"Hurdík","given":"Jan"},{"family":"Hrdlička","given":"Miloslav"},{"family":"Koukal","given":"Pavel"},{"family":"Ronovská","given":"Kateřina"},{"family":"Ruban","given":"Radek"}],"issued":{"date-parts":[["2014"]]}},"locator":"2240","prefix":"Lazíková a Števček in"}],"schema":"https://github.com/citation-style-language/schema/raw/master/csl-citation.json"} </w:instrText>
      </w:r>
      <w:r>
        <w:fldChar w:fldCharType="separate"/>
      </w:r>
      <w:proofErr w:type="spellStart"/>
      <w:r w:rsidRPr="009D3E9B">
        <w:rPr>
          <w:rFonts w:cs="Times New Roman"/>
          <w:szCs w:val="24"/>
        </w:rPr>
        <w:t>Lazíková</w:t>
      </w:r>
      <w:proofErr w:type="spellEnd"/>
      <w:r w:rsidRPr="009D3E9B">
        <w:rPr>
          <w:rFonts w:cs="Times New Roman"/>
          <w:szCs w:val="24"/>
        </w:rPr>
        <w:t xml:space="preserve"> </w:t>
      </w:r>
      <w:r w:rsidR="0015297B" w:rsidRPr="009D3E9B">
        <w:rPr>
          <w:rFonts w:cs="Times New Roman"/>
          <w:szCs w:val="24"/>
        </w:rPr>
        <w:t>a</w:t>
      </w:r>
      <w:r w:rsidR="0015297B">
        <w:rPr>
          <w:rFonts w:cs="Times New Roman"/>
          <w:szCs w:val="24"/>
        </w:rPr>
        <w:t> </w:t>
      </w:r>
      <w:proofErr w:type="spellStart"/>
      <w:r w:rsidRPr="009D3E9B">
        <w:rPr>
          <w:rFonts w:cs="Times New Roman"/>
          <w:szCs w:val="24"/>
        </w:rPr>
        <w:t>Števček</w:t>
      </w:r>
      <w:proofErr w:type="spellEnd"/>
      <w:r w:rsidRPr="009D3E9B">
        <w:rPr>
          <w:rFonts w:cs="Times New Roman"/>
          <w:szCs w:val="24"/>
        </w:rPr>
        <w:t xml:space="preserve"> in Lavický et al. </w:t>
      </w:r>
      <w:r w:rsidRPr="009D3E9B">
        <w:rPr>
          <w:rFonts w:cs="Times New Roman"/>
          <w:i/>
          <w:iCs/>
          <w:szCs w:val="24"/>
        </w:rPr>
        <w:t>Občanský zákoník</w:t>
      </w:r>
      <w:r w:rsidRPr="009D3E9B">
        <w:rPr>
          <w:rFonts w:cs="Times New Roman"/>
          <w:szCs w:val="24"/>
        </w:rPr>
        <w:t>, s. 2240.</w:t>
      </w:r>
      <w:r>
        <w:fldChar w:fldCharType="end"/>
      </w:r>
    </w:p>
  </w:footnote>
  <w:footnote w:id="29">
    <w:p w14:paraId="36B40883" w14:textId="3656E01F" w:rsidR="00124919" w:rsidRDefault="00124919">
      <w:pPr>
        <w:pStyle w:val="Textpoznpodarou"/>
      </w:pPr>
      <w:r>
        <w:rPr>
          <w:rStyle w:val="Znakapoznpodarou"/>
        </w:rPr>
        <w:footnoteRef/>
      </w:r>
      <w:r>
        <w:t xml:space="preserve"> </w:t>
      </w:r>
      <w:r>
        <w:fldChar w:fldCharType="begin"/>
      </w:r>
      <w:r>
        <w:instrText xml:space="preserve"> ADDIN ZOTERO_ITEM CSL_CITATION {"citationID":"gPvOAmI0","properties":{"formattedCitation":"Laz\\uc0\\u237{}kov\\uc0\\u225{} a \\uc0\\u352{}tev\\uc0\\u269{}ek in ibid., s.\\uc0\\u160{}2265.","plainCitation":"Lazíková a Števček in ibid., s. 2265.","noteIndex":26},"citationItems":[{"id":42,"uris":["http://zotero.org/users/5523905/items/ALHWU4S9"],"uri":["http://zotero.org/users/5523905/items/ALHWU4S9"],"itemData":{"id":42,"type":"book","call-number":"347 |2 MRF","collection-title":"Velké komentáře","event-place":"Praha","ISBN":"978-80-7400-529-9","number-of-pages":"2380","publisher":"C.H. Beck","publisher-place":"Praha","source":"aleph.muni.cz Library Catalog","title":"Občanský zákoník: komentář. I: Obecná část (§ 1–654)","title-short":"Občanský zákoník","author":[{"family":"Lavický","given":"Petr"},{"family":"Dávid","given":"Radovan"},{"family":"Dobrovolná","given":"Eva"},{"family":"Handlar","given":"Jiří"},{"family":"Havlan","given":"Petr"},{"family":"Horecký","given":"Jan"},{"family":"Hurdík","given":"Jan"},{"family":"Hrdlička","given":"Miloslav"},{"family":"Koukal","given":"Pavel"},{"family":"Ronovská","given":"Kateřina"},{"family":"Ruban","given":"Radek"}],"issued":{"date-parts":[["2014"]]}},"locator":"2265","prefix":"Lazíková a Števček in"}],"schema":"https://github.com/citation-style-language/schema/raw/master/csl-citation.json"} </w:instrText>
      </w:r>
      <w:r>
        <w:fldChar w:fldCharType="separate"/>
      </w:r>
      <w:proofErr w:type="spellStart"/>
      <w:r w:rsidRPr="00124919">
        <w:rPr>
          <w:rFonts w:cs="Times New Roman"/>
          <w:szCs w:val="24"/>
        </w:rPr>
        <w:t>Lazíková</w:t>
      </w:r>
      <w:proofErr w:type="spellEnd"/>
      <w:r w:rsidRPr="00124919">
        <w:rPr>
          <w:rFonts w:cs="Times New Roman"/>
          <w:szCs w:val="24"/>
        </w:rPr>
        <w:t xml:space="preserve"> </w:t>
      </w:r>
      <w:r w:rsidR="0015297B" w:rsidRPr="00124919">
        <w:rPr>
          <w:rFonts w:cs="Times New Roman"/>
          <w:szCs w:val="24"/>
        </w:rPr>
        <w:t>a</w:t>
      </w:r>
      <w:r w:rsidR="0015297B">
        <w:rPr>
          <w:rFonts w:cs="Times New Roman"/>
          <w:szCs w:val="24"/>
        </w:rPr>
        <w:t> </w:t>
      </w:r>
      <w:proofErr w:type="spellStart"/>
      <w:r w:rsidRPr="00124919">
        <w:rPr>
          <w:rFonts w:cs="Times New Roman"/>
          <w:szCs w:val="24"/>
        </w:rPr>
        <w:t>Števček</w:t>
      </w:r>
      <w:proofErr w:type="spellEnd"/>
      <w:r w:rsidRPr="00124919">
        <w:rPr>
          <w:rFonts w:cs="Times New Roman"/>
          <w:szCs w:val="24"/>
        </w:rPr>
        <w:t xml:space="preserve"> in </w:t>
      </w:r>
      <w:proofErr w:type="spellStart"/>
      <w:r w:rsidRPr="00124919">
        <w:rPr>
          <w:rFonts w:cs="Times New Roman"/>
          <w:szCs w:val="24"/>
        </w:rPr>
        <w:t>ibid</w:t>
      </w:r>
      <w:proofErr w:type="spellEnd"/>
      <w:r w:rsidRPr="00124919">
        <w:rPr>
          <w:rFonts w:cs="Times New Roman"/>
          <w:szCs w:val="24"/>
        </w:rPr>
        <w:t>., s. 2265.</w:t>
      </w:r>
      <w:r>
        <w:fldChar w:fldCharType="end"/>
      </w:r>
    </w:p>
  </w:footnote>
  <w:footnote w:id="30">
    <w:p w14:paraId="1781C8B1" w14:textId="1B697251" w:rsidR="006700A5" w:rsidRDefault="006700A5">
      <w:pPr>
        <w:pStyle w:val="Textpoznpodarou"/>
      </w:pPr>
      <w:r w:rsidRPr="00817A52">
        <w:rPr>
          <w:rStyle w:val="Znakapoznpodarou"/>
        </w:rPr>
        <w:footnoteRef/>
      </w:r>
      <w:r>
        <w:t xml:space="preserve"> </w:t>
      </w:r>
      <w:r>
        <w:fldChar w:fldCharType="begin"/>
      </w:r>
      <w:r w:rsidR="00A25A96">
        <w:instrText xml:space="preserve"> ADDIN ZOTERO_ITEM CSL_CITATION {"citationID":"y8qSgRbj","properties":{"formattedCitation":"B\\uc0\\u237{}lkov\\uc0\\u225{} in Petrov,\\uc0\\u160{}J. et al. {\\i{}Ob\\uc0\\u269{}ansk\\uc0\\u253{} z\\uc0\\u225{}kon\\uc0\\u237{}k: koment\\uc0\\u225{}\\uc0\\u345{}}. Praha: C.H. Beck, 2017, s.\\uc0\\u160{}692.","plainCitation":"Bílková in Petrov, J. et al. Občanský zákoník: komentář. Praha: C.H. Beck, 2017, s. 692.","noteIndex":9},"citationItems":[{"id":32,"uris":["http://zotero.org/users/5523905/items/W5LAIBW4"],"uri":["http://zotero.org/users/5523905/items/W5LAIBW4"],"itemData":{"id":32,"type":"book","call-number":"347 |2 MRF","collection-title":"Beckova edice komentované zákony","edition":"1. vydání","event-place":"Praha","ISBN":"978-80-7400-653-1","number-of-pages":"3053","publisher":"C.H. Beck","publisher-place":"Praha","source":"aleph.muni.cz Library Catalog","title":"Občanský zákoník: komentář","title-short":"Občanský zákoník","author":[{"family":"Petrov","given":"Jan"},{"family":"Výtisk","given":"Michal"},{"family":"Beran","given":"Vladimír"},{"family":"Dobrovolná","given":"Eva"},{"family":"Ronovská","given":"Kateřina"},{"family":"Šilhán","given":"Josef"}],"issued":{"date-parts":[["2017"]]}},"locator":"692","prefix":"Bílková in"}],"schema":"https://github.com/citation-style-language/schema/raw/master/csl-citation.json"} </w:instrText>
      </w:r>
      <w:r>
        <w:fldChar w:fldCharType="separate"/>
      </w:r>
      <w:r w:rsidR="00AB3346" w:rsidRPr="00AB3346">
        <w:rPr>
          <w:rFonts w:cs="Times New Roman"/>
          <w:szCs w:val="24"/>
        </w:rPr>
        <w:t xml:space="preserve">Bílková in Petrov, J. et al. </w:t>
      </w:r>
      <w:r w:rsidR="00AB3346" w:rsidRPr="00AB3346">
        <w:rPr>
          <w:rFonts w:cs="Times New Roman"/>
          <w:i/>
          <w:iCs/>
          <w:szCs w:val="24"/>
        </w:rPr>
        <w:t>Občanský zákoník: komentář</w:t>
      </w:r>
      <w:r w:rsidR="00AB3346" w:rsidRPr="00AB3346">
        <w:rPr>
          <w:rFonts w:cs="Times New Roman"/>
          <w:szCs w:val="24"/>
        </w:rPr>
        <w:t>. Praha: C.H. Beck, 2017, s. 692.</w:t>
      </w:r>
      <w:r>
        <w:fldChar w:fldCharType="end"/>
      </w:r>
    </w:p>
  </w:footnote>
  <w:footnote w:id="31">
    <w:p w14:paraId="74B7B3FA" w14:textId="3286110E" w:rsidR="00133229" w:rsidRDefault="00133229">
      <w:pPr>
        <w:pStyle w:val="Textpoznpodarou"/>
      </w:pPr>
      <w:r w:rsidRPr="00817A52">
        <w:rPr>
          <w:rStyle w:val="Znakapoznpodarou"/>
        </w:rPr>
        <w:footnoteRef/>
      </w:r>
      <w:r>
        <w:t xml:space="preserve"> </w:t>
      </w:r>
      <w:r>
        <w:fldChar w:fldCharType="begin"/>
      </w:r>
      <w:r w:rsidR="00FE7429">
        <w:instrText xml:space="preserve"> ADDIN ZOTERO_ITEM CSL_CITATION {"citationID":"IscuPPAC","properties":{"formattedCitation":"Ronovsk\\uc0\\u225{}, Lavick\\uc0\\u253{}, Dobrovoln\\uc0\\u225{}. {\\i{}\\uc0\\u218{}vod do soukrom\\uc0\\u233{}ho pr\\uc0\\u225{}va}, s.\\uc0\\u160{}78.","plainCitation":"Ronovská, Lavický, Dobrovolná. Úvod do soukromého práva, s. 78.","noteIndex":25},"citationItems":[{"id":444,"uris":["http://zotero.org/users/5523905/items/HP8KPIDZ"],"uri":["http://zotero.org/users/5523905/items/HP8KPIDZ"],"itemData":{"id":444,"type":"book","collection-title":"Řada učebních skript","edition":"Druhé vydání","ISBN":"978-80-88248-02-6","publisher":"Česká společnost pro civilní právo procesní","title":"Úvod do soukromého práva: obecná část","title-short":"Úvod do soukromého práva","author":[{"family":"Ronovská","given":"Kateřina"},{"family":"Lavický","given":"Petr"},{"family":"Dobrovolná","given":"Eva"}],"issued":{"date-parts":[["2018"]]}},"locator":"78"}],"schema":"https://github.com/citation-style-language/schema/raw/master/csl-citation.json"} </w:instrText>
      </w:r>
      <w:r>
        <w:fldChar w:fldCharType="separate"/>
      </w:r>
      <w:r w:rsidR="004F0999" w:rsidRPr="004F0999">
        <w:rPr>
          <w:rFonts w:cs="Times New Roman"/>
          <w:szCs w:val="24"/>
        </w:rPr>
        <w:t xml:space="preserve">Ronovská, Lavický, Dobrovolná. </w:t>
      </w:r>
      <w:r w:rsidR="004F0999" w:rsidRPr="004F0999">
        <w:rPr>
          <w:rFonts w:cs="Times New Roman"/>
          <w:i/>
          <w:iCs/>
          <w:szCs w:val="24"/>
        </w:rPr>
        <w:t>Úvod do soukromého práva</w:t>
      </w:r>
      <w:r w:rsidR="004F0999" w:rsidRPr="004F0999">
        <w:rPr>
          <w:rFonts w:cs="Times New Roman"/>
          <w:szCs w:val="24"/>
        </w:rPr>
        <w:t>, s. 78.</w:t>
      </w:r>
      <w:r>
        <w:fldChar w:fldCharType="end"/>
      </w:r>
    </w:p>
  </w:footnote>
  <w:footnote w:id="32">
    <w:p w14:paraId="280C9633" w14:textId="700D0199" w:rsidR="00D44A0E" w:rsidRDefault="00D44A0E">
      <w:pPr>
        <w:pStyle w:val="Textpoznpodarou"/>
      </w:pPr>
      <w:r w:rsidRPr="00817A52">
        <w:rPr>
          <w:rStyle w:val="Znakapoznpodarou"/>
        </w:rPr>
        <w:footnoteRef/>
      </w:r>
      <w:r>
        <w:t xml:space="preserve"> </w:t>
      </w:r>
      <w:r>
        <w:fldChar w:fldCharType="begin"/>
      </w:r>
      <w:r w:rsidR="00E95023">
        <w:instrText xml:space="preserve"> ADDIN ZOTERO_ITEM CSL_CITATION {"citationID":"JVvQBkKF","properties":{"formattedCitation":"Laz\\uc0\\u237{}kov\\uc0\\u225{} a \\uc0\\u352{}tev\\uc0\\u269{}ek in Lavick\\uc0\\u253{} et al. {\\i{}Ob\\uc0\\u269{}ansk\\uc0\\u253{} z\\uc0\\u225{}kon\\uc0\\u237{}k}, s.\\uc0\\u160{}2280.","plainCitation":"Lazíková a Števček in Lavický et al. Občanský zákoník, s. 2280.","noteIndex":25},"citationItems":[{"id":42,"uris":["http://zotero.org/users/5523905/items/ALHWU4S9"],"uri":["http://zotero.org/users/5523905/items/ALHWU4S9"],"itemData":{"id":42,"type":"book","call-number":"347 |2 MRF","collection-title":"Velké komentáře","event-place":"Praha","ISBN":"978-80-7400-529-9","number-of-pages":"2380","publisher":"C.H. Beck","publisher-place":"Praha","source":"aleph.muni.cz Library Catalog","title":"Občanský zákoník: komentář. I: Obecná část (§ 1–654)","title-short":"Občanský zákoník","author":[{"family":"Lavický","given":"Petr"},{"family":"Dávid","given":"Radovan"},{"family":"Dobrovolná","given":"Eva"},{"family":"Handlar","given":"Jiří"},{"family":"Havlan","given":"Petr"},{"family":"Horecký","given":"Jan"},{"family":"Hurdík","given":"Jan"},{"family":"Hrdlička","given":"Miloslav"},{"family":"Koukal","given":"Pavel"},{"family":"Ronovská","given":"Kateřina"},{"family":"Ruban","given":"Radek"}],"issued":{"date-parts":[["2014"]]}},"locator":"2280","prefix":"Lazíková a Števček in"}],"schema":"https://github.com/citation-style-language/schema/raw/master/csl-citation.json"} </w:instrText>
      </w:r>
      <w:r>
        <w:fldChar w:fldCharType="separate"/>
      </w:r>
      <w:proofErr w:type="spellStart"/>
      <w:r w:rsidR="003810B7" w:rsidRPr="003810B7">
        <w:rPr>
          <w:rFonts w:cs="Times New Roman"/>
          <w:szCs w:val="24"/>
        </w:rPr>
        <w:t>Lazíková</w:t>
      </w:r>
      <w:proofErr w:type="spellEnd"/>
      <w:r w:rsidR="003810B7" w:rsidRPr="003810B7">
        <w:rPr>
          <w:rFonts w:cs="Times New Roman"/>
          <w:szCs w:val="24"/>
        </w:rPr>
        <w:t xml:space="preserve"> </w:t>
      </w:r>
      <w:r w:rsidR="0015297B" w:rsidRPr="003810B7">
        <w:rPr>
          <w:rFonts w:cs="Times New Roman"/>
          <w:szCs w:val="24"/>
        </w:rPr>
        <w:t>a</w:t>
      </w:r>
      <w:r w:rsidR="0015297B">
        <w:rPr>
          <w:rFonts w:cs="Times New Roman"/>
          <w:szCs w:val="24"/>
        </w:rPr>
        <w:t> </w:t>
      </w:r>
      <w:proofErr w:type="spellStart"/>
      <w:r w:rsidR="003810B7" w:rsidRPr="003810B7">
        <w:rPr>
          <w:rFonts w:cs="Times New Roman"/>
          <w:szCs w:val="24"/>
        </w:rPr>
        <w:t>Števček</w:t>
      </w:r>
      <w:proofErr w:type="spellEnd"/>
      <w:r w:rsidR="003810B7" w:rsidRPr="003810B7">
        <w:rPr>
          <w:rFonts w:cs="Times New Roman"/>
          <w:szCs w:val="24"/>
        </w:rPr>
        <w:t xml:space="preserve"> in Lavický et al. </w:t>
      </w:r>
      <w:r w:rsidR="003810B7" w:rsidRPr="003810B7">
        <w:rPr>
          <w:rFonts w:cs="Times New Roman"/>
          <w:i/>
          <w:iCs/>
          <w:szCs w:val="24"/>
        </w:rPr>
        <w:t>Občanský zákoník</w:t>
      </w:r>
      <w:r w:rsidR="003810B7" w:rsidRPr="003810B7">
        <w:rPr>
          <w:rFonts w:cs="Times New Roman"/>
          <w:szCs w:val="24"/>
        </w:rPr>
        <w:t>, s. 2280.</w:t>
      </w:r>
      <w:r>
        <w:fldChar w:fldCharType="end"/>
      </w:r>
    </w:p>
  </w:footnote>
  <w:footnote w:id="33">
    <w:p w14:paraId="02643491" w14:textId="21B1EC3B" w:rsidR="00C50369" w:rsidRDefault="00C50369">
      <w:pPr>
        <w:pStyle w:val="Textpoznpodarou"/>
      </w:pPr>
      <w:r w:rsidRPr="00817A52">
        <w:rPr>
          <w:rStyle w:val="Znakapoznpodarou"/>
        </w:rPr>
        <w:footnoteRef/>
      </w:r>
      <w:r>
        <w:t xml:space="preserve"> </w:t>
      </w:r>
      <w:r>
        <w:fldChar w:fldCharType="begin"/>
      </w:r>
      <w:r w:rsidR="00A25A96">
        <w:instrText xml:space="preserve"> ADDIN ZOTERO_ITEM CSL_CITATION {"citationID":"wXph8QDz","properties":{"formattedCitation":"Laz\\uc0\\u237{}kov\\uc0\\u225{} a \\uc0\\u352{}tev\\uc0\\u269{}ek in ibid., s.\\uc0\\u160{}2280\\uc0\\u8211{}2283.","plainCitation":"Lazíková a Števček in ibid., s. 2280–2283.","noteIndex":12},"citationItems":[{"id":42,"uris":["http://zotero.org/users/5523905/items/ALHWU4S9"],"uri":["http://zotero.org/users/5523905/items/ALHWU4S9"],"itemData":{"id":42,"type":"book","call-number":"347 |2 MRF","collection-title":"Velké komentáře","event-place":"Praha","ISBN":"978-80-7400-529-9","number-of-pages":"2380","publisher":"C.H. Beck","publisher-place":"Praha","source":"aleph.muni.cz Library Catalog","title":"Občanský zákoník: komentář. I: Obecná část (§ 1–654)","title-short":"Občanský zákoník","author":[{"family":"Lavický","given":"Petr"},{"family":"Dávid","given":"Radovan"},{"family":"Dobrovolná","given":"Eva"},{"family":"Handlar","given":"Jiří"},{"family":"Havlan","given":"Petr"},{"family":"Horecký","given":"Jan"},{"family":"Hurdík","given":"Jan"},{"family":"Hrdlička","given":"Miloslav"},{"family":"Koukal","given":"Pavel"},{"family":"Ronovská","given":"Kateřina"},{"family":"Ruban","given":"Radek"}],"issued":{"date-parts":[["2014"]]}},"locator":"2280-2283","prefix":"Lazíková a Števček in"}],"schema":"https://github.com/citation-style-language/schema/raw/master/csl-citation.json"} </w:instrText>
      </w:r>
      <w:r>
        <w:fldChar w:fldCharType="separate"/>
      </w:r>
      <w:proofErr w:type="spellStart"/>
      <w:r w:rsidRPr="00C50369">
        <w:rPr>
          <w:rFonts w:cs="Times New Roman"/>
          <w:szCs w:val="24"/>
        </w:rPr>
        <w:t>Lazíková</w:t>
      </w:r>
      <w:proofErr w:type="spellEnd"/>
      <w:r w:rsidRPr="00C50369">
        <w:rPr>
          <w:rFonts w:cs="Times New Roman"/>
          <w:szCs w:val="24"/>
        </w:rPr>
        <w:t xml:space="preserve"> </w:t>
      </w:r>
      <w:r w:rsidR="0015297B" w:rsidRPr="00C50369">
        <w:rPr>
          <w:rFonts w:cs="Times New Roman"/>
          <w:szCs w:val="24"/>
        </w:rPr>
        <w:t>a</w:t>
      </w:r>
      <w:r w:rsidR="0015297B">
        <w:rPr>
          <w:rFonts w:cs="Times New Roman"/>
          <w:szCs w:val="24"/>
        </w:rPr>
        <w:t> </w:t>
      </w:r>
      <w:proofErr w:type="spellStart"/>
      <w:r w:rsidRPr="00C50369">
        <w:rPr>
          <w:rFonts w:cs="Times New Roman"/>
          <w:szCs w:val="24"/>
        </w:rPr>
        <w:t>Števček</w:t>
      </w:r>
      <w:proofErr w:type="spellEnd"/>
      <w:r w:rsidRPr="00C50369">
        <w:rPr>
          <w:rFonts w:cs="Times New Roman"/>
          <w:szCs w:val="24"/>
        </w:rPr>
        <w:t xml:space="preserve"> in </w:t>
      </w:r>
      <w:proofErr w:type="spellStart"/>
      <w:r w:rsidRPr="00C50369">
        <w:rPr>
          <w:rFonts w:cs="Times New Roman"/>
          <w:szCs w:val="24"/>
        </w:rPr>
        <w:t>ibid</w:t>
      </w:r>
      <w:proofErr w:type="spellEnd"/>
      <w:r w:rsidRPr="00C50369">
        <w:rPr>
          <w:rFonts w:cs="Times New Roman"/>
          <w:szCs w:val="24"/>
        </w:rPr>
        <w:t>., s. 2280–2283.</w:t>
      </w:r>
      <w:r>
        <w:fldChar w:fldCharType="end"/>
      </w:r>
    </w:p>
  </w:footnote>
  <w:footnote w:id="34">
    <w:p w14:paraId="5C3D9CBF" w14:textId="578B81BB" w:rsidR="00B811EE" w:rsidRDefault="00B811EE">
      <w:pPr>
        <w:pStyle w:val="Textpoznpodarou"/>
      </w:pPr>
      <w:r w:rsidRPr="00817A52">
        <w:rPr>
          <w:rStyle w:val="Znakapoznpodarou"/>
        </w:rPr>
        <w:footnoteRef/>
      </w:r>
      <w:r>
        <w:t xml:space="preserve"> </w:t>
      </w:r>
      <w:r>
        <w:fldChar w:fldCharType="begin"/>
      </w:r>
      <w:r w:rsidR="00A25A96">
        <w:instrText xml:space="preserve"> ADDIN ZOTERO_ITEM CSL_CITATION {"citationID":"YNrITOBm","properties":{"formattedCitation":"Laz\\uc0\\u237{}kov\\uc0\\u225{} a \\uc0\\u352{}tev\\uc0\\u269{}ek in ibid., s.\\uc0\\u160{}2283.","plainCitation":"Lazíková a Števček in ibid., s. 2283.","noteIndex":13},"citationItems":[{"id":42,"uris":["http://zotero.org/users/5523905/items/ALHWU4S9"],"uri":["http://zotero.org/users/5523905/items/ALHWU4S9"],"itemData":{"id":42,"type":"book","call-number":"347 |2 MRF","collection-title":"Velké komentáře","event-place":"Praha","ISBN":"978-80-7400-529-9","number-of-pages":"2380","publisher":"C.H. Beck","publisher-place":"Praha","source":"aleph.muni.cz Library Catalog","title":"Občanský zákoník: komentář. I: Obecná část (§ 1–654)","title-short":"Občanský zákoník","author":[{"family":"Lavický","given":"Petr"},{"family":"Dávid","given":"Radovan"},{"family":"Dobrovolná","given":"Eva"},{"family":"Handlar","given":"Jiří"},{"family":"Havlan","given":"Petr"},{"family":"Horecký","given":"Jan"},{"family":"Hurdík","given":"Jan"},{"family":"Hrdlička","given":"Miloslav"},{"family":"Koukal","given":"Pavel"},{"family":"Ronovská","given":"Kateřina"},{"family":"Ruban","given":"Radek"}],"issued":{"date-parts":[["2014"]]}},"locator":"2283","prefix":"Lazíková a Števček in"}],"schema":"https://github.com/citation-style-language/schema/raw/master/csl-citation.json"} </w:instrText>
      </w:r>
      <w:r>
        <w:fldChar w:fldCharType="separate"/>
      </w:r>
      <w:proofErr w:type="spellStart"/>
      <w:r w:rsidRPr="00B811EE">
        <w:rPr>
          <w:rFonts w:cs="Times New Roman"/>
          <w:szCs w:val="24"/>
        </w:rPr>
        <w:t>Lazíková</w:t>
      </w:r>
      <w:proofErr w:type="spellEnd"/>
      <w:r w:rsidRPr="00B811EE">
        <w:rPr>
          <w:rFonts w:cs="Times New Roman"/>
          <w:szCs w:val="24"/>
        </w:rPr>
        <w:t xml:space="preserve"> </w:t>
      </w:r>
      <w:r w:rsidR="0015297B" w:rsidRPr="00B811EE">
        <w:rPr>
          <w:rFonts w:cs="Times New Roman"/>
          <w:szCs w:val="24"/>
        </w:rPr>
        <w:t>a</w:t>
      </w:r>
      <w:r w:rsidR="0015297B">
        <w:rPr>
          <w:rFonts w:cs="Times New Roman"/>
          <w:szCs w:val="24"/>
        </w:rPr>
        <w:t> </w:t>
      </w:r>
      <w:proofErr w:type="spellStart"/>
      <w:r w:rsidRPr="00B811EE">
        <w:rPr>
          <w:rFonts w:cs="Times New Roman"/>
          <w:szCs w:val="24"/>
        </w:rPr>
        <w:t>Števček</w:t>
      </w:r>
      <w:proofErr w:type="spellEnd"/>
      <w:r w:rsidRPr="00B811EE">
        <w:rPr>
          <w:rFonts w:cs="Times New Roman"/>
          <w:szCs w:val="24"/>
        </w:rPr>
        <w:t xml:space="preserve"> in </w:t>
      </w:r>
      <w:proofErr w:type="spellStart"/>
      <w:r w:rsidRPr="00B811EE">
        <w:rPr>
          <w:rFonts w:cs="Times New Roman"/>
          <w:szCs w:val="24"/>
        </w:rPr>
        <w:t>ibid</w:t>
      </w:r>
      <w:proofErr w:type="spellEnd"/>
      <w:r w:rsidRPr="00B811EE">
        <w:rPr>
          <w:rFonts w:cs="Times New Roman"/>
          <w:szCs w:val="24"/>
        </w:rPr>
        <w:t>., s. 2283.</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EF228" w14:textId="7BF5D0B6" w:rsidR="00CE327C" w:rsidRPr="00CE327C" w:rsidRDefault="00CE327C" w:rsidP="00CE327C">
    <w:pPr>
      <w:pStyle w:val="Zhlav"/>
      <w:jc w:val="right"/>
    </w:pPr>
    <w:r w:rsidRPr="00CE327C">
      <w:t xml:space="preserve">MP214Zk Občanské právo – obecná část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1472"/>
    <w:multiLevelType w:val="hybridMultilevel"/>
    <w:tmpl w:val="1F1CCE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D7257C1"/>
    <w:multiLevelType w:val="hybridMultilevel"/>
    <w:tmpl w:val="C33C75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BC57A2"/>
    <w:multiLevelType w:val="hybridMultilevel"/>
    <w:tmpl w:val="67E8A2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DA5165"/>
    <w:multiLevelType w:val="hybridMultilevel"/>
    <w:tmpl w:val="8B2E0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B545FC"/>
    <w:multiLevelType w:val="hybridMultilevel"/>
    <w:tmpl w:val="0AC239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787F1C"/>
    <w:multiLevelType w:val="hybridMultilevel"/>
    <w:tmpl w:val="5C9679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B700342"/>
    <w:multiLevelType w:val="hybridMultilevel"/>
    <w:tmpl w:val="7876D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C203B6E"/>
    <w:multiLevelType w:val="hybridMultilevel"/>
    <w:tmpl w:val="6720D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78"/>
    <w:rsid w:val="00000D7D"/>
    <w:rsid w:val="00002150"/>
    <w:rsid w:val="0000651A"/>
    <w:rsid w:val="00012A9F"/>
    <w:rsid w:val="0001304F"/>
    <w:rsid w:val="00026B5E"/>
    <w:rsid w:val="000276B7"/>
    <w:rsid w:val="000354CD"/>
    <w:rsid w:val="0003567A"/>
    <w:rsid w:val="00036C70"/>
    <w:rsid w:val="00041189"/>
    <w:rsid w:val="000429FB"/>
    <w:rsid w:val="00043975"/>
    <w:rsid w:val="00047F83"/>
    <w:rsid w:val="000527B8"/>
    <w:rsid w:val="0006015A"/>
    <w:rsid w:val="00060730"/>
    <w:rsid w:val="0006255A"/>
    <w:rsid w:val="00064061"/>
    <w:rsid w:val="00067031"/>
    <w:rsid w:val="000709F0"/>
    <w:rsid w:val="00073EE9"/>
    <w:rsid w:val="000772DB"/>
    <w:rsid w:val="00086388"/>
    <w:rsid w:val="000913FD"/>
    <w:rsid w:val="00091414"/>
    <w:rsid w:val="000A53F2"/>
    <w:rsid w:val="000B043A"/>
    <w:rsid w:val="000B045E"/>
    <w:rsid w:val="000B2D29"/>
    <w:rsid w:val="000B4048"/>
    <w:rsid w:val="000B4F46"/>
    <w:rsid w:val="000B627F"/>
    <w:rsid w:val="000C312D"/>
    <w:rsid w:val="000D5F5B"/>
    <w:rsid w:val="000E325E"/>
    <w:rsid w:val="000E4017"/>
    <w:rsid w:val="000E58EF"/>
    <w:rsid w:val="000E5BEB"/>
    <w:rsid w:val="000F02E0"/>
    <w:rsid w:val="000F3028"/>
    <w:rsid w:val="00102623"/>
    <w:rsid w:val="00104060"/>
    <w:rsid w:val="0010612A"/>
    <w:rsid w:val="00107B2F"/>
    <w:rsid w:val="00111872"/>
    <w:rsid w:val="0011232F"/>
    <w:rsid w:val="00112F76"/>
    <w:rsid w:val="0011434C"/>
    <w:rsid w:val="001212A3"/>
    <w:rsid w:val="001212E3"/>
    <w:rsid w:val="00123D86"/>
    <w:rsid w:val="00123E54"/>
    <w:rsid w:val="00124919"/>
    <w:rsid w:val="00125960"/>
    <w:rsid w:val="00133229"/>
    <w:rsid w:val="00133348"/>
    <w:rsid w:val="0013416F"/>
    <w:rsid w:val="00134E3A"/>
    <w:rsid w:val="00136628"/>
    <w:rsid w:val="0013678E"/>
    <w:rsid w:val="001450A1"/>
    <w:rsid w:val="001461C9"/>
    <w:rsid w:val="00150920"/>
    <w:rsid w:val="001517D5"/>
    <w:rsid w:val="0015297B"/>
    <w:rsid w:val="00152A3D"/>
    <w:rsid w:val="00153AF3"/>
    <w:rsid w:val="001543C3"/>
    <w:rsid w:val="00154C86"/>
    <w:rsid w:val="00157E34"/>
    <w:rsid w:val="001624BD"/>
    <w:rsid w:val="0016488B"/>
    <w:rsid w:val="00173CC0"/>
    <w:rsid w:val="00173E37"/>
    <w:rsid w:val="00181A50"/>
    <w:rsid w:val="00185656"/>
    <w:rsid w:val="001869C6"/>
    <w:rsid w:val="0019129A"/>
    <w:rsid w:val="001979EF"/>
    <w:rsid w:val="001A04BC"/>
    <w:rsid w:val="001A2E3A"/>
    <w:rsid w:val="001A3F47"/>
    <w:rsid w:val="001B103F"/>
    <w:rsid w:val="001C00E8"/>
    <w:rsid w:val="001C38FD"/>
    <w:rsid w:val="001C6223"/>
    <w:rsid w:val="001C6DF8"/>
    <w:rsid w:val="001D12B7"/>
    <w:rsid w:val="001D1DDA"/>
    <w:rsid w:val="001D69E4"/>
    <w:rsid w:val="001E1877"/>
    <w:rsid w:val="001E205D"/>
    <w:rsid w:val="001E41F8"/>
    <w:rsid w:val="001E5BD1"/>
    <w:rsid w:val="001E7345"/>
    <w:rsid w:val="001F125C"/>
    <w:rsid w:val="001F1E3B"/>
    <w:rsid w:val="001F7693"/>
    <w:rsid w:val="00201CD1"/>
    <w:rsid w:val="0021136E"/>
    <w:rsid w:val="00211585"/>
    <w:rsid w:val="0021468C"/>
    <w:rsid w:val="00215797"/>
    <w:rsid w:val="0022560B"/>
    <w:rsid w:val="002272A5"/>
    <w:rsid w:val="00237817"/>
    <w:rsid w:val="0024045F"/>
    <w:rsid w:val="00244B08"/>
    <w:rsid w:val="00250C7A"/>
    <w:rsid w:val="00251104"/>
    <w:rsid w:val="002523D6"/>
    <w:rsid w:val="00253459"/>
    <w:rsid w:val="002612AC"/>
    <w:rsid w:val="0026758E"/>
    <w:rsid w:val="0027285D"/>
    <w:rsid w:val="00272CA7"/>
    <w:rsid w:val="00276DD5"/>
    <w:rsid w:val="00285A5F"/>
    <w:rsid w:val="00296343"/>
    <w:rsid w:val="002A2BB4"/>
    <w:rsid w:val="002A6BDF"/>
    <w:rsid w:val="002B3873"/>
    <w:rsid w:val="002B71AE"/>
    <w:rsid w:val="002C17D0"/>
    <w:rsid w:val="002C23F3"/>
    <w:rsid w:val="002C2B4E"/>
    <w:rsid w:val="002C4D1E"/>
    <w:rsid w:val="002E0CB8"/>
    <w:rsid w:val="002E2A57"/>
    <w:rsid w:val="002E4208"/>
    <w:rsid w:val="002F0617"/>
    <w:rsid w:val="002F198F"/>
    <w:rsid w:val="00305705"/>
    <w:rsid w:val="0030799E"/>
    <w:rsid w:val="00317C31"/>
    <w:rsid w:val="00317EEF"/>
    <w:rsid w:val="00322814"/>
    <w:rsid w:val="003316D5"/>
    <w:rsid w:val="00336126"/>
    <w:rsid w:val="00342F87"/>
    <w:rsid w:val="003475CE"/>
    <w:rsid w:val="0035185E"/>
    <w:rsid w:val="00372D9A"/>
    <w:rsid w:val="0037453F"/>
    <w:rsid w:val="00376681"/>
    <w:rsid w:val="00380EF8"/>
    <w:rsid w:val="003810B7"/>
    <w:rsid w:val="00386946"/>
    <w:rsid w:val="003877DE"/>
    <w:rsid w:val="00393158"/>
    <w:rsid w:val="00393CFD"/>
    <w:rsid w:val="00395FA9"/>
    <w:rsid w:val="003A5200"/>
    <w:rsid w:val="003A64C4"/>
    <w:rsid w:val="003B0902"/>
    <w:rsid w:val="003C2952"/>
    <w:rsid w:val="003C3182"/>
    <w:rsid w:val="003C4B11"/>
    <w:rsid w:val="003D1D2C"/>
    <w:rsid w:val="003D5CB0"/>
    <w:rsid w:val="003E5CFC"/>
    <w:rsid w:val="003E5F6F"/>
    <w:rsid w:val="003E7E0D"/>
    <w:rsid w:val="003F31CF"/>
    <w:rsid w:val="00404CB6"/>
    <w:rsid w:val="00407F02"/>
    <w:rsid w:val="00410F08"/>
    <w:rsid w:val="004128CE"/>
    <w:rsid w:val="00422702"/>
    <w:rsid w:val="00423B5B"/>
    <w:rsid w:val="0042686C"/>
    <w:rsid w:val="004269AF"/>
    <w:rsid w:val="00426BCD"/>
    <w:rsid w:val="004356D9"/>
    <w:rsid w:val="0044442C"/>
    <w:rsid w:val="004502EF"/>
    <w:rsid w:val="0045263E"/>
    <w:rsid w:val="004529EC"/>
    <w:rsid w:val="004536C6"/>
    <w:rsid w:val="00456777"/>
    <w:rsid w:val="00463669"/>
    <w:rsid w:val="00464D4C"/>
    <w:rsid w:val="0046635B"/>
    <w:rsid w:val="00467C7D"/>
    <w:rsid w:val="00481832"/>
    <w:rsid w:val="00483385"/>
    <w:rsid w:val="00483F54"/>
    <w:rsid w:val="00484778"/>
    <w:rsid w:val="00492B86"/>
    <w:rsid w:val="00496E82"/>
    <w:rsid w:val="00497414"/>
    <w:rsid w:val="004A7FCE"/>
    <w:rsid w:val="004B01DB"/>
    <w:rsid w:val="004B1906"/>
    <w:rsid w:val="004B2223"/>
    <w:rsid w:val="004B55AC"/>
    <w:rsid w:val="004B5C8A"/>
    <w:rsid w:val="004C025C"/>
    <w:rsid w:val="004C5519"/>
    <w:rsid w:val="004C7A1D"/>
    <w:rsid w:val="004D359C"/>
    <w:rsid w:val="004E5B2F"/>
    <w:rsid w:val="004E60EA"/>
    <w:rsid w:val="004F0999"/>
    <w:rsid w:val="004F1D50"/>
    <w:rsid w:val="004F2352"/>
    <w:rsid w:val="004F7175"/>
    <w:rsid w:val="005020E8"/>
    <w:rsid w:val="0050428D"/>
    <w:rsid w:val="0050429D"/>
    <w:rsid w:val="00513004"/>
    <w:rsid w:val="0051362A"/>
    <w:rsid w:val="00514524"/>
    <w:rsid w:val="00514FA8"/>
    <w:rsid w:val="00521263"/>
    <w:rsid w:val="0052283D"/>
    <w:rsid w:val="005236F7"/>
    <w:rsid w:val="00533794"/>
    <w:rsid w:val="005407F2"/>
    <w:rsid w:val="00542FCD"/>
    <w:rsid w:val="005538B5"/>
    <w:rsid w:val="005617A4"/>
    <w:rsid w:val="00571F31"/>
    <w:rsid w:val="00573184"/>
    <w:rsid w:val="00577CB1"/>
    <w:rsid w:val="005834CB"/>
    <w:rsid w:val="00587737"/>
    <w:rsid w:val="00592469"/>
    <w:rsid w:val="00596A01"/>
    <w:rsid w:val="005A4A55"/>
    <w:rsid w:val="005A54CC"/>
    <w:rsid w:val="005B29D1"/>
    <w:rsid w:val="005B3A47"/>
    <w:rsid w:val="005C5ECC"/>
    <w:rsid w:val="005D74AC"/>
    <w:rsid w:val="005E29F4"/>
    <w:rsid w:val="005E3B4A"/>
    <w:rsid w:val="005E3B96"/>
    <w:rsid w:val="005E610B"/>
    <w:rsid w:val="005F68CF"/>
    <w:rsid w:val="005F730E"/>
    <w:rsid w:val="00607319"/>
    <w:rsid w:val="006119E8"/>
    <w:rsid w:val="006215C8"/>
    <w:rsid w:val="00626FA9"/>
    <w:rsid w:val="00637593"/>
    <w:rsid w:val="00644F3F"/>
    <w:rsid w:val="006462A9"/>
    <w:rsid w:val="00654559"/>
    <w:rsid w:val="00655B17"/>
    <w:rsid w:val="0065651E"/>
    <w:rsid w:val="00662DEA"/>
    <w:rsid w:val="006700A5"/>
    <w:rsid w:val="00672B37"/>
    <w:rsid w:val="00673BE6"/>
    <w:rsid w:val="006814FE"/>
    <w:rsid w:val="00682362"/>
    <w:rsid w:val="00683F9A"/>
    <w:rsid w:val="00686B7C"/>
    <w:rsid w:val="00694F9C"/>
    <w:rsid w:val="006A1332"/>
    <w:rsid w:val="006B03F7"/>
    <w:rsid w:val="006B3C56"/>
    <w:rsid w:val="006C5753"/>
    <w:rsid w:val="006C589F"/>
    <w:rsid w:val="006C71F3"/>
    <w:rsid w:val="006D6447"/>
    <w:rsid w:val="006D6F99"/>
    <w:rsid w:val="006F0397"/>
    <w:rsid w:val="006F14B6"/>
    <w:rsid w:val="006F4571"/>
    <w:rsid w:val="0070253B"/>
    <w:rsid w:val="0070293B"/>
    <w:rsid w:val="00706445"/>
    <w:rsid w:val="00710287"/>
    <w:rsid w:val="0071502F"/>
    <w:rsid w:val="00721A0F"/>
    <w:rsid w:val="00722403"/>
    <w:rsid w:val="00726044"/>
    <w:rsid w:val="0072737F"/>
    <w:rsid w:val="0073422A"/>
    <w:rsid w:val="00746926"/>
    <w:rsid w:val="007469AA"/>
    <w:rsid w:val="007542A0"/>
    <w:rsid w:val="007562FB"/>
    <w:rsid w:val="00771BAC"/>
    <w:rsid w:val="00794A81"/>
    <w:rsid w:val="00797CB6"/>
    <w:rsid w:val="007A0B2C"/>
    <w:rsid w:val="007B4074"/>
    <w:rsid w:val="007B5FD6"/>
    <w:rsid w:val="007C33EC"/>
    <w:rsid w:val="007C7D7E"/>
    <w:rsid w:val="007D31E8"/>
    <w:rsid w:val="007D5FC5"/>
    <w:rsid w:val="007E331F"/>
    <w:rsid w:val="007E362A"/>
    <w:rsid w:val="007E61DE"/>
    <w:rsid w:val="007F0991"/>
    <w:rsid w:val="007F609F"/>
    <w:rsid w:val="008000C3"/>
    <w:rsid w:val="008001BA"/>
    <w:rsid w:val="00803662"/>
    <w:rsid w:val="00814EBE"/>
    <w:rsid w:val="00816325"/>
    <w:rsid w:val="00816C4A"/>
    <w:rsid w:val="00816FCB"/>
    <w:rsid w:val="00817A52"/>
    <w:rsid w:val="00817BE3"/>
    <w:rsid w:val="008222E6"/>
    <w:rsid w:val="008227D1"/>
    <w:rsid w:val="00827246"/>
    <w:rsid w:val="00827B49"/>
    <w:rsid w:val="0083241E"/>
    <w:rsid w:val="00834841"/>
    <w:rsid w:val="008373AD"/>
    <w:rsid w:val="0084066D"/>
    <w:rsid w:val="008416E8"/>
    <w:rsid w:val="00846AA2"/>
    <w:rsid w:val="00846EAE"/>
    <w:rsid w:val="00852630"/>
    <w:rsid w:val="00853880"/>
    <w:rsid w:val="008606CC"/>
    <w:rsid w:val="0086239C"/>
    <w:rsid w:val="00864ECD"/>
    <w:rsid w:val="00866F01"/>
    <w:rsid w:val="00867625"/>
    <w:rsid w:val="008707EA"/>
    <w:rsid w:val="00874148"/>
    <w:rsid w:val="00877991"/>
    <w:rsid w:val="00887F8E"/>
    <w:rsid w:val="00893C60"/>
    <w:rsid w:val="008976DA"/>
    <w:rsid w:val="008A193D"/>
    <w:rsid w:val="008A6B75"/>
    <w:rsid w:val="008B32E8"/>
    <w:rsid w:val="008B669E"/>
    <w:rsid w:val="008C4488"/>
    <w:rsid w:val="008D21DC"/>
    <w:rsid w:val="008D47F7"/>
    <w:rsid w:val="008D5CF8"/>
    <w:rsid w:val="008D71E2"/>
    <w:rsid w:val="008D79B8"/>
    <w:rsid w:val="008E52C3"/>
    <w:rsid w:val="008E7587"/>
    <w:rsid w:val="008E7809"/>
    <w:rsid w:val="008F1487"/>
    <w:rsid w:val="008F45C7"/>
    <w:rsid w:val="008F4606"/>
    <w:rsid w:val="008F5852"/>
    <w:rsid w:val="008F5B5B"/>
    <w:rsid w:val="008F7275"/>
    <w:rsid w:val="0090706D"/>
    <w:rsid w:val="00913D77"/>
    <w:rsid w:val="00914E61"/>
    <w:rsid w:val="00915261"/>
    <w:rsid w:val="009535B1"/>
    <w:rsid w:val="00954546"/>
    <w:rsid w:val="00957ABB"/>
    <w:rsid w:val="009627EA"/>
    <w:rsid w:val="00964910"/>
    <w:rsid w:val="00966712"/>
    <w:rsid w:val="00966A0D"/>
    <w:rsid w:val="00970996"/>
    <w:rsid w:val="0098414F"/>
    <w:rsid w:val="00996350"/>
    <w:rsid w:val="00996621"/>
    <w:rsid w:val="009B19E4"/>
    <w:rsid w:val="009B478E"/>
    <w:rsid w:val="009B6AD3"/>
    <w:rsid w:val="009B72E4"/>
    <w:rsid w:val="009C737C"/>
    <w:rsid w:val="009C7AF5"/>
    <w:rsid w:val="009D286E"/>
    <w:rsid w:val="009D3E9B"/>
    <w:rsid w:val="009D4F34"/>
    <w:rsid w:val="009E2236"/>
    <w:rsid w:val="009E3552"/>
    <w:rsid w:val="009F0644"/>
    <w:rsid w:val="00A00E78"/>
    <w:rsid w:val="00A10727"/>
    <w:rsid w:val="00A219AA"/>
    <w:rsid w:val="00A25A96"/>
    <w:rsid w:val="00A34E61"/>
    <w:rsid w:val="00A4577B"/>
    <w:rsid w:val="00A504F0"/>
    <w:rsid w:val="00A51FCA"/>
    <w:rsid w:val="00A53619"/>
    <w:rsid w:val="00A567CA"/>
    <w:rsid w:val="00A567D6"/>
    <w:rsid w:val="00A570AF"/>
    <w:rsid w:val="00A60077"/>
    <w:rsid w:val="00A60AB7"/>
    <w:rsid w:val="00A6432D"/>
    <w:rsid w:val="00A66168"/>
    <w:rsid w:val="00A66566"/>
    <w:rsid w:val="00A71889"/>
    <w:rsid w:val="00A7587C"/>
    <w:rsid w:val="00A77310"/>
    <w:rsid w:val="00A77DA2"/>
    <w:rsid w:val="00A77F62"/>
    <w:rsid w:val="00A77FD5"/>
    <w:rsid w:val="00A8264B"/>
    <w:rsid w:val="00A83F68"/>
    <w:rsid w:val="00A85A01"/>
    <w:rsid w:val="00A92A46"/>
    <w:rsid w:val="00A937F8"/>
    <w:rsid w:val="00AA0933"/>
    <w:rsid w:val="00AA1514"/>
    <w:rsid w:val="00AA2DD5"/>
    <w:rsid w:val="00AA5BB4"/>
    <w:rsid w:val="00AA6926"/>
    <w:rsid w:val="00AB3346"/>
    <w:rsid w:val="00AC1074"/>
    <w:rsid w:val="00AC570D"/>
    <w:rsid w:val="00AC5797"/>
    <w:rsid w:val="00AD0570"/>
    <w:rsid w:val="00AD1C22"/>
    <w:rsid w:val="00AD5F84"/>
    <w:rsid w:val="00AE1C26"/>
    <w:rsid w:val="00AE1FD5"/>
    <w:rsid w:val="00AE562A"/>
    <w:rsid w:val="00AF37F8"/>
    <w:rsid w:val="00AF4B18"/>
    <w:rsid w:val="00AF60E0"/>
    <w:rsid w:val="00AF7417"/>
    <w:rsid w:val="00AF7DAB"/>
    <w:rsid w:val="00B00E95"/>
    <w:rsid w:val="00B01C38"/>
    <w:rsid w:val="00B0778F"/>
    <w:rsid w:val="00B07AD6"/>
    <w:rsid w:val="00B100F3"/>
    <w:rsid w:val="00B110D3"/>
    <w:rsid w:val="00B1195D"/>
    <w:rsid w:val="00B13738"/>
    <w:rsid w:val="00B13A2D"/>
    <w:rsid w:val="00B25545"/>
    <w:rsid w:val="00B265D2"/>
    <w:rsid w:val="00B2713F"/>
    <w:rsid w:val="00B3235A"/>
    <w:rsid w:val="00B32826"/>
    <w:rsid w:val="00B337E3"/>
    <w:rsid w:val="00B37D79"/>
    <w:rsid w:val="00B450CF"/>
    <w:rsid w:val="00B467D4"/>
    <w:rsid w:val="00B46C5E"/>
    <w:rsid w:val="00B46D61"/>
    <w:rsid w:val="00B502B4"/>
    <w:rsid w:val="00B511DC"/>
    <w:rsid w:val="00B548EF"/>
    <w:rsid w:val="00B577AD"/>
    <w:rsid w:val="00B61529"/>
    <w:rsid w:val="00B62942"/>
    <w:rsid w:val="00B62B8C"/>
    <w:rsid w:val="00B634AA"/>
    <w:rsid w:val="00B679ED"/>
    <w:rsid w:val="00B72E91"/>
    <w:rsid w:val="00B75C40"/>
    <w:rsid w:val="00B80746"/>
    <w:rsid w:val="00B811EE"/>
    <w:rsid w:val="00B8161D"/>
    <w:rsid w:val="00B816DD"/>
    <w:rsid w:val="00B82CDD"/>
    <w:rsid w:val="00B87043"/>
    <w:rsid w:val="00B9060B"/>
    <w:rsid w:val="00B91295"/>
    <w:rsid w:val="00B9717E"/>
    <w:rsid w:val="00BA24FD"/>
    <w:rsid w:val="00BA264E"/>
    <w:rsid w:val="00BA355F"/>
    <w:rsid w:val="00BA3674"/>
    <w:rsid w:val="00BA5478"/>
    <w:rsid w:val="00BA60B7"/>
    <w:rsid w:val="00BA61C2"/>
    <w:rsid w:val="00BB03F3"/>
    <w:rsid w:val="00BB0866"/>
    <w:rsid w:val="00BB261D"/>
    <w:rsid w:val="00BB48E5"/>
    <w:rsid w:val="00BC173C"/>
    <w:rsid w:val="00BC1D28"/>
    <w:rsid w:val="00BC3126"/>
    <w:rsid w:val="00BC58EB"/>
    <w:rsid w:val="00BC7884"/>
    <w:rsid w:val="00BD0FF4"/>
    <w:rsid w:val="00BD2ED1"/>
    <w:rsid w:val="00BE0059"/>
    <w:rsid w:val="00BF049C"/>
    <w:rsid w:val="00BF2517"/>
    <w:rsid w:val="00BF3D13"/>
    <w:rsid w:val="00BF4D5A"/>
    <w:rsid w:val="00BF75DF"/>
    <w:rsid w:val="00C1152D"/>
    <w:rsid w:val="00C129E0"/>
    <w:rsid w:val="00C35AAC"/>
    <w:rsid w:val="00C40922"/>
    <w:rsid w:val="00C43363"/>
    <w:rsid w:val="00C44E5F"/>
    <w:rsid w:val="00C454E8"/>
    <w:rsid w:val="00C45706"/>
    <w:rsid w:val="00C50369"/>
    <w:rsid w:val="00C53761"/>
    <w:rsid w:val="00C53BB0"/>
    <w:rsid w:val="00C61EB5"/>
    <w:rsid w:val="00C62AE5"/>
    <w:rsid w:val="00C707E7"/>
    <w:rsid w:val="00C743CE"/>
    <w:rsid w:val="00C824C0"/>
    <w:rsid w:val="00C90DCB"/>
    <w:rsid w:val="00C92D41"/>
    <w:rsid w:val="00C94AB5"/>
    <w:rsid w:val="00C94D42"/>
    <w:rsid w:val="00CA0C54"/>
    <w:rsid w:val="00CA5DA4"/>
    <w:rsid w:val="00CB36BC"/>
    <w:rsid w:val="00CC4F78"/>
    <w:rsid w:val="00CC7616"/>
    <w:rsid w:val="00CC7674"/>
    <w:rsid w:val="00CC7E8C"/>
    <w:rsid w:val="00CD42D5"/>
    <w:rsid w:val="00CD4865"/>
    <w:rsid w:val="00CD5214"/>
    <w:rsid w:val="00CE327C"/>
    <w:rsid w:val="00CE3C08"/>
    <w:rsid w:val="00CE4247"/>
    <w:rsid w:val="00CE7724"/>
    <w:rsid w:val="00CF2858"/>
    <w:rsid w:val="00CF472F"/>
    <w:rsid w:val="00CF58B4"/>
    <w:rsid w:val="00D00830"/>
    <w:rsid w:val="00D01F2B"/>
    <w:rsid w:val="00D021E9"/>
    <w:rsid w:val="00D0285F"/>
    <w:rsid w:val="00D02E54"/>
    <w:rsid w:val="00D034EE"/>
    <w:rsid w:val="00D05EEE"/>
    <w:rsid w:val="00D063E6"/>
    <w:rsid w:val="00D147BC"/>
    <w:rsid w:val="00D20F52"/>
    <w:rsid w:val="00D23C46"/>
    <w:rsid w:val="00D243BC"/>
    <w:rsid w:val="00D326F8"/>
    <w:rsid w:val="00D33093"/>
    <w:rsid w:val="00D36850"/>
    <w:rsid w:val="00D41313"/>
    <w:rsid w:val="00D43F9D"/>
    <w:rsid w:val="00D44A0E"/>
    <w:rsid w:val="00D50255"/>
    <w:rsid w:val="00D51CCD"/>
    <w:rsid w:val="00D51CD2"/>
    <w:rsid w:val="00D53E0E"/>
    <w:rsid w:val="00D570DA"/>
    <w:rsid w:val="00D6314E"/>
    <w:rsid w:val="00D70E7F"/>
    <w:rsid w:val="00D7335C"/>
    <w:rsid w:val="00D73B23"/>
    <w:rsid w:val="00D76421"/>
    <w:rsid w:val="00D82E14"/>
    <w:rsid w:val="00D851C7"/>
    <w:rsid w:val="00D87725"/>
    <w:rsid w:val="00D9125B"/>
    <w:rsid w:val="00D93407"/>
    <w:rsid w:val="00DA1860"/>
    <w:rsid w:val="00DB5D0F"/>
    <w:rsid w:val="00DD081C"/>
    <w:rsid w:val="00DD0EEF"/>
    <w:rsid w:val="00DD2594"/>
    <w:rsid w:val="00DE45E4"/>
    <w:rsid w:val="00DF2693"/>
    <w:rsid w:val="00DF56FC"/>
    <w:rsid w:val="00E04F52"/>
    <w:rsid w:val="00E0506A"/>
    <w:rsid w:val="00E065E3"/>
    <w:rsid w:val="00E10C86"/>
    <w:rsid w:val="00E12328"/>
    <w:rsid w:val="00E13CE1"/>
    <w:rsid w:val="00E13E0D"/>
    <w:rsid w:val="00E16CCF"/>
    <w:rsid w:val="00E21059"/>
    <w:rsid w:val="00E2380C"/>
    <w:rsid w:val="00E245B2"/>
    <w:rsid w:val="00E24E16"/>
    <w:rsid w:val="00E2582F"/>
    <w:rsid w:val="00E35BA3"/>
    <w:rsid w:val="00E4145C"/>
    <w:rsid w:val="00E517F5"/>
    <w:rsid w:val="00E53652"/>
    <w:rsid w:val="00E5549E"/>
    <w:rsid w:val="00E5745F"/>
    <w:rsid w:val="00E6041F"/>
    <w:rsid w:val="00E62CA9"/>
    <w:rsid w:val="00E632E9"/>
    <w:rsid w:val="00E715D7"/>
    <w:rsid w:val="00E76124"/>
    <w:rsid w:val="00E77F30"/>
    <w:rsid w:val="00E92F53"/>
    <w:rsid w:val="00E93F0E"/>
    <w:rsid w:val="00E95023"/>
    <w:rsid w:val="00EA682E"/>
    <w:rsid w:val="00EB65E7"/>
    <w:rsid w:val="00EB7DBE"/>
    <w:rsid w:val="00EC0A12"/>
    <w:rsid w:val="00EC18E8"/>
    <w:rsid w:val="00ED15FB"/>
    <w:rsid w:val="00ED28E7"/>
    <w:rsid w:val="00ED4201"/>
    <w:rsid w:val="00ED4291"/>
    <w:rsid w:val="00ED4BD4"/>
    <w:rsid w:val="00ED5DA4"/>
    <w:rsid w:val="00ED61FC"/>
    <w:rsid w:val="00EE2764"/>
    <w:rsid w:val="00EE5E7B"/>
    <w:rsid w:val="00EE6C80"/>
    <w:rsid w:val="00EE6DB3"/>
    <w:rsid w:val="00EF4956"/>
    <w:rsid w:val="00EF64A8"/>
    <w:rsid w:val="00EF68D0"/>
    <w:rsid w:val="00EF7DC1"/>
    <w:rsid w:val="00F03047"/>
    <w:rsid w:val="00F059B2"/>
    <w:rsid w:val="00F11EC5"/>
    <w:rsid w:val="00F12795"/>
    <w:rsid w:val="00F13239"/>
    <w:rsid w:val="00F27249"/>
    <w:rsid w:val="00F3276A"/>
    <w:rsid w:val="00F32CF1"/>
    <w:rsid w:val="00F42C50"/>
    <w:rsid w:val="00F475B6"/>
    <w:rsid w:val="00F50007"/>
    <w:rsid w:val="00F55506"/>
    <w:rsid w:val="00F64AE9"/>
    <w:rsid w:val="00F669D5"/>
    <w:rsid w:val="00F7001E"/>
    <w:rsid w:val="00F74A4C"/>
    <w:rsid w:val="00F74F5B"/>
    <w:rsid w:val="00F773E1"/>
    <w:rsid w:val="00F80590"/>
    <w:rsid w:val="00F87E42"/>
    <w:rsid w:val="00F910E4"/>
    <w:rsid w:val="00F92532"/>
    <w:rsid w:val="00F92B0B"/>
    <w:rsid w:val="00FA00BF"/>
    <w:rsid w:val="00FB155A"/>
    <w:rsid w:val="00FB188C"/>
    <w:rsid w:val="00FB38D4"/>
    <w:rsid w:val="00FB76B4"/>
    <w:rsid w:val="00FC0740"/>
    <w:rsid w:val="00FC1895"/>
    <w:rsid w:val="00FC54FE"/>
    <w:rsid w:val="00FD1E8B"/>
    <w:rsid w:val="00FD2C54"/>
    <w:rsid w:val="00FD3BB0"/>
    <w:rsid w:val="00FE3774"/>
    <w:rsid w:val="00FE4E39"/>
    <w:rsid w:val="00FE7429"/>
    <w:rsid w:val="00FF5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BB129"/>
  <w15:chartTrackingRefBased/>
  <w15:docId w15:val="{C31A99E2-F4EF-474B-8D55-64AF263D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327C"/>
    <w:pPr>
      <w:jc w:val="both"/>
    </w:pPr>
    <w:rPr>
      <w:rFonts w:ascii="Times New Roman" w:hAnsi="Times New Roman"/>
      <w:sz w:val="24"/>
    </w:rPr>
  </w:style>
  <w:style w:type="paragraph" w:styleId="Nadpis1">
    <w:name w:val="heading 1"/>
    <w:basedOn w:val="Normln"/>
    <w:next w:val="Normln"/>
    <w:link w:val="Nadpis1Char"/>
    <w:uiPriority w:val="9"/>
    <w:qFormat/>
    <w:rsid w:val="00CE327C"/>
    <w:pPr>
      <w:keepNext/>
      <w:keepLines/>
      <w:spacing w:before="240" w:after="0"/>
      <w:outlineLvl w:val="0"/>
    </w:pPr>
    <w:rPr>
      <w:rFonts w:asciiTheme="majorHAnsi" w:eastAsiaTheme="majorEastAsia" w:hAnsiTheme="majorHAnsi" w:cstheme="majorBidi"/>
      <w:sz w:val="32"/>
      <w:szCs w:val="32"/>
    </w:rPr>
  </w:style>
  <w:style w:type="paragraph" w:styleId="Nadpis2">
    <w:name w:val="heading 2"/>
    <w:basedOn w:val="Normln"/>
    <w:next w:val="Normln"/>
    <w:link w:val="Nadpis2Char"/>
    <w:uiPriority w:val="9"/>
    <w:unhideWhenUsed/>
    <w:qFormat/>
    <w:rsid w:val="00CE327C"/>
    <w:pPr>
      <w:keepNext/>
      <w:keepLines/>
      <w:spacing w:before="40" w:after="0"/>
      <w:outlineLvl w:val="1"/>
    </w:pPr>
    <w:rPr>
      <w:rFonts w:asciiTheme="majorHAnsi" w:eastAsiaTheme="majorEastAsia" w:hAnsiTheme="majorHAnsi" w:cstheme="majorBid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32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27C"/>
    <w:rPr>
      <w:rFonts w:ascii="Times New Roman" w:hAnsi="Times New Roman"/>
      <w:sz w:val="24"/>
    </w:rPr>
  </w:style>
  <w:style w:type="paragraph" w:styleId="Zpat">
    <w:name w:val="footer"/>
    <w:basedOn w:val="Normln"/>
    <w:link w:val="ZpatChar"/>
    <w:uiPriority w:val="99"/>
    <w:unhideWhenUsed/>
    <w:rsid w:val="00CE327C"/>
    <w:pPr>
      <w:tabs>
        <w:tab w:val="center" w:pos="4536"/>
        <w:tab w:val="right" w:pos="9072"/>
      </w:tabs>
      <w:spacing w:after="0" w:line="240" w:lineRule="auto"/>
    </w:pPr>
  </w:style>
  <w:style w:type="character" w:customStyle="1" w:styleId="ZpatChar">
    <w:name w:val="Zápatí Char"/>
    <w:basedOn w:val="Standardnpsmoodstavce"/>
    <w:link w:val="Zpat"/>
    <w:uiPriority w:val="99"/>
    <w:rsid w:val="00CE327C"/>
    <w:rPr>
      <w:rFonts w:ascii="Times New Roman" w:hAnsi="Times New Roman"/>
      <w:sz w:val="24"/>
    </w:rPr>
  </w:style>
  <w:style w:type="character" w:customStyle="1" w:styleId="Nadpis1Char">
    <w:name w:val="Nadpis 1 Char"/>
    <w:basedOn w:val="Standardnpsmoodstavce"/>
    <w:link w:val="Nadpis1"/>
    <w:uiPriority w:val="9"/>
    <w:rsid w:val="00CE327C"/>
    <w:rPr>
      <w:rFonts w:asciiTheme="majorHAnsi" w:eastAsiaTheme="majorEastAsia" w:hAnsiTheme="majorHAnsi" w:cstheme="majorBidi"/>
      <w:sz w:val="32"/>
      <w:szCs w:val="32"/>
    </w:rPr>
  </w:style>
  <w:style w:type="character" w:customStyle="1" w:styleId="Nadpis2Char">
    <w:name w:val="Nadpis 2 Char"/>
    <w:basedOn w:val="Standardnpsmoodstavce"/>
    <w:link w:val="Nadpis2"/>
    <w:uiPriority w:val="9"/>
    <w:rsid w:val="00CE327C"/>
    <w:rPr>
      <w:rFonts w:asciiTheme="majorHAnsi" w:eastAsiaTheme="majorEastAsia" w:hAnsiTheme="majorHAnsi" w:cstheme="majorBidi"/>
      <w:sz w:val="26"/>
      <w:szCs w:val="26"/>
    </w:rPr>
  </w:style>
  <w:style w:type="paragraph" w:styleId="Odstavecseseznamem">
    <w:name w:val="List Paragraph"/>
    <w:basedOn w:val="Normln"/>
    <w:uiPriority w:val="34"/>
    <w:qFormat/>
    <w:rsid w:val="00CE327C"/>
    <w:pPr>
      <w:ind w:left="720"/>
      <w:contextualSpacing/>
    </w:pPr>
  </w:style>
  <w:style w:type="paragraph" w:styleId="Textpoznpodarou">
    <w:name w:val="footnote text"/>
    <w:basedOn w:val="Normln"/>
    <w:link w:val="TextpoznpodarouChar"/>
    <w:uiPriority w:val="99"/>
    <w:semiHidden/>
    <w:unhideWhenUsed/>
    <w:rsid w:val="0013322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33229"/>
    <w:rPr>
      <w:rFonts w:ascii="Times New Roman" w:hAnsi="Times New Roman"/>
      <w:sz w:val="20"/>
      <w:szCs w:val="20"/>
    </w:rPr>
  </w:style>
  <w:style w:type="character" w:styleId="Znakapoznpodarou">
    <w:name w:val="footnote reference"/>
    <w:basedOn w:val="Standardnpsmoodstavce"/>
    <w:uiPriority w:val="99"/>
    <w:semiHidden/>
    <w:unhideWhenUsed/>
    <w:rsid w:val="00133229"/>
    <w:rPr>
      <w:vertAlign w:val="superscript"/>
    </w:rPr>
  </w:style>
  <w:style w:type="paragraph" w:styleId="Bibliografie">
    <w:name w:val="Bibliography"/>
    <w:basedOn w:val="Normln"/>
    <w:next w:val="Normln"/>
    <w:uiPriority w:val="37"/>
    <w:unhideWhenUsed/>
    <w:rsid w:val="00E2380C"/>
    <w:pPr>
      <w:spacing w:after="240" w:line="240" w:lineRule="auto"/>
    </w:pPr>
  </w:style>
  <w:style w:type="character" w:styleId="Odkaznavysvtlivky">
    <w:name w:val="endnote reference"/>
    <w:basedOn w:val="Standardnpsmoodstavce"/>
    <w:uiPriority w:val="99"/>
    <w:semiHidden/>
    <w:unhideWhenUsed/>
    <w:rsid w:val="00817A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2217">
      <w:bodyDiv w:val="1"/>
      <w:marLeft w:val="0"/>
      <w:marRight w:val="0"/>
      <w:marTop w:val="0"/>
      <w:marBottom w:val="0"/>
      <w:divBdr>
        <w:top w:val="none" w:sz="0" w:space="0" w:color="auto"/>
        <w:left w:val="none" w:sz="0" w:space="0" w:color="auto"/>
        <w:bottom w:val="none" w:sz="0" w:space="0" w:color="auto"/>
        <w:right w:val="none" w:sz="0" w:space="0" w:color="auto"/>
      </w:divBdr>
    </w:div>
    <w:div w:id="236667816">
      <w:bodyDiv w:val="1"/>
      <w:marLeft w:val="0"/>
      <w:marRight w:val="0"/>
      <w:marTop w:val="0"/>
      <w:marBottom w:val="0"/>
      <w:divBdr>
        <w:top w:val="none" w:sz="0" w:space="0" w:color="auto"/>
        <w:left w:val="none" w:sz="0" w:space="0" w:color="auto"/>
        <w:bottom w:val="none" w:sz="0" w:space="0" w:color="auto"/>
        <w:right w:val="none" w:sz="0" w:space="0" w:color="auto"/>
      </w:divBdr>
    </w:div>
    <w:div w:id="369108137">
      <w:bodyDiv w:val="1"/>
      <w:marLeft w:val="0"/>
      <w:marRight w:val="0"/>
      <w:marTop w:val="0"/>
      <w:marBottom w:val="0"/>
      <w:divBdr>
        <w:top w:val="none" w:sz="0" w:space="0" w:color="auto"/>
        <w:left w:val="none" w:sz="0" w:space="0" w:color="auto"/>
        <w:bottom w:val="none" w:sz="0" w:space="0" w:color="auto"/>
        <w:right w:val="none" w:sz="0" w:space="0" w:color="auto"/>
      </w:divBdr>
      <w:divsChild>
        <w:div w:id="502083955">
          <w:marLeft w:val="0"/>
          <w:marRight w:val="0"/>
          <w:marTop w:val="200"/>
          <w:marBottom w:val="100"/>
          <w:divBdr>
            <w:top w:val="none" w:sz="0" w:space="0" w:color="auto"/>
            <w:left w:val="none" w:sz="0" w:space="0" w:color="auto"/>
            <w:bottom w:val="none" w:sz="0" w:space="0" w:color="auto"/>
            <w:right w:val="none" w:sz="0" w:space="0" w:color="auto"/>
          </w:divBdr>
        </w:div>
      </w:divsChild>
    </w:div>
    <w:div w:id="597371520">
      <w:bodyDiv w:val="1"/>
      <w:marLeft w:val="0"/>
      <w:marRight w:val="0"/>
      <w:marTop w:val="0"/>
      <w:marBottom w:val="0"/>
      <w:divBdr>
        <w:top w:val="none" w:sz="0" w:space="0" w:color="auto"/>
        <w:left w:val="none" w:sz="0" w:space="0" w:color="auto"/>
        <w:bottom w:val="none" w:sz="0" w:space="0" w:color="auto"/>
        <w:right w:val="none" w:sz="0" w:space="0" w:color="auto"/>
      </w:divBdr>
    </w:div>
    <w:div w:id="641346874">
      <w:bodyDiv w:val="1"/>
      <w:marLeft w:val="0"/>
      <w:marRight w:val="0"/>
      <w:marTop w:val="0"/>
      <w:marBottom w:val="0"/>
      <w:divBdr>
        <w:top w:val="none" w:sz="0" w:space="0" w:color="auto"/>
        <w:left w:val="none" w:sz="0" w:space="0" w:color="auto"/>
        <w:bottom w:val="none" w:sz="0" w:space="0" w:color="auto"/>
        <w:right w:val="none" w:sz="0" w:space="0" w:color="auto"/>
      </w:divBdr>
      <w:divsChild>
        <w:div w:id="1903518192">
          <w:marLeft w:val="0"/>
          <w:marRight w:val="0"/>
          <w:marTop w:val="0"/>
          <w:marBottom w:val="0"/>
          <w:divBdr>
            <w:top w:val="none" w:sz="0" w:space="0" w:color="auto"/>
            <w:left w:val="none" w:sz="0" w:space="0" w:color="auto"/>
            <w:bottom w:val="none" w:sz="0" w:space="0" w:color="auto"/>
            <w:right w:val="none" w:sz="0" w:space="0" w:color="auto"/>
          </w:divBdr>
        </w:div>
        <w:div w:id="1691444923">
          <w:marLeft w:val="0"/>
          <w:marRight w:val="0"/>
          <w:marTop w:val="0"/>
          <w:marBottom w:val="0"/>
          <w:divBdr>
            <w:top w:val="none" w:sz="0" w:space="0" w:color="auto"/>
            <w:left w:val="none" w:sz="0" w:space="0" w:color="auto"/>
            <w:bottom w:val="none" w:sz="0" w:space="0" w:color="auto"/>
            <w:right w:val="none" w:sz="0" w:space="0" w:color="auto"/>
          </w:divBdr>
        </w:div>
        <w:div w:id="798648070">
          <w:marLeft w:val="0"/>
          <w:marRight w:val="0"/>
          <w:marTop w:val="0"/>
          <w:marBottom w:val="0"/>
          <w:divBdr>
            <w:top w:val="none" w:sz="0" w:space="0" w:color="auto"/>
            <w:left w:val="none" w:sz="0" w:space="0" w:color="auto"/>
            <w:bottom w:val="none" w:sz="0" w:space="0" w:color="auto"/>
            <w:right w:val="none" w:sz="0" w:space="0" w:color="auto"/>
          </w:divBdr>
        </w:div>
        <w:div w:id="2130859248">
          <w:marLeft w:val="0"/>
          <w:marRight w:val="0"/>
          <w:marTop w:val="0"/>
          <w:marBottom w:val="0"/>
          <w:divBdr>
            <w:top w:val="none" w:sz="0" w:space="0" w:color="auto"/>
            <w:left w:val="none" w:sz="0" w:space="0" w:color="auto"/>
            <w:bottom w:val="none" w:sz="0" w:space="0" w:color="auto"/>
            <w:right w:val="none" w:sz="0" w:space="0" w:color="auto"/>
          </w:divBdr>
        </w:div>
      </w:divsChild>
    </w:div>
    <w:div w:id="812910739">
      <w:bodyDiv w:val="1"/>
      <w:marLeft w:val="0"/>
      <w:marRight w:val="0"/>
      <w:marTop w:val="0"/>
      <w:marBottom w:val="0"/>
      <w:divBdr>
        <w:top w:val="none" w:sz="0" w:space="0" w:color="auto"/>
        <w:left w:val="none" w:sz="0" w:space="0" w:color="auto"/>
        <w:bottom w:val="none" w:sz="0" w:space="0" w:color="auto"/>
        <w:right w:val="none" w:sz="0" w:space="0" w:color="auto"/>
      </w:divBdr>
      <w:divsChild>
        <w:div w:id="157119314">
          <w:marLeft w:val="0"/>
          <w:marRight w:val="0"/>
          <w:marTop w:val="120"/>
          <w:marBottom w:val="120"/>
          <w:divBdr>
            <w:top w:val="none" w:sz="0" w:space="0" w:color="auto"/>
            <w:left w:val="none" w:sz="0" w:space="0" w:color="auto"/>
            <w:bottom w:val="none" w:sz="0" w:space="0" w:color="auto"/>
            <w:right w:val="none" w:sz="0" w:space="0" w:color="auto"/>
          </w:divBdr>
          <w:divsChild>
            <w:div w:id="14622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8413">
      <w:bodyDiv w:val="1"/>
      <w:marLeft w:val="0"/>
      <w:marRight w:val="0"/>
      <w:marTop w:val="0"/>
      <w:marBottom w:val="0"/>
      <w:divBdr>
        <w:top w:val="none" w:sz="0" w:space="0" w:color="auto"/>
        <w:left w:val="none" w:sz="0" w:space="0" w:color="auto"/>
        <w:bottom w:val="none" w:sz="0" w:space="0" w:color="auto"/>
        <w:right w:val="none" w:sz="0" w:space="0" w:color="auto"/>
      </w:divBdr>
    </w:div>
    <w:div w:id="1184780573">
      <w:bodyDiv w:val="1"/>
      <w:marLeft w:val="0"/>
      <w:marRight w:val="0"/>
      <w:marTop w:val="0"/>
      <w:marBottom w:val="0"/>
      <w:divBdr>
        <w:top w:val="none" w:sz="0" w:space="0" w:color="auto"/>
        <w:left w:val="none" w:sz="0" w:space="0" w:color="auto"/>
        <w:bottom w:val="none" w:sz="0" w:space="0" w:color="auto"/>
        <w:right w:val="none" w:sz="0" w:space="0" w:color="auto"/>
      </w:divBdr>
      <w:divsChild>
        <w:div w:id="882331203">
          <w:marLeft w:val="0"/>
          <w:marRight w:val="0"/>
          <w:marTop w:val="200"/>
          <w:marBottom w:val="100"/>
          <w:divBdr>
            <w:top w:val="none" w:sz="0" w:space="0" w:color="auto"/>
            <w:left w:val="none" w:sz="0" w:space="0" w:color="auto"/>
            <w:bottom w:val="none" w:sz="0" w:space="0" w:color="auto"/>
            <w:right w:val="none" w:sz="0" w:space="0" w:color="auto"/>
          </w:divBdr>
        </w:div>
      </w:divsChild>
    </w:div>
    <w:div w:id="1353803241">
      <w:bodyDiv w:val="1"/>
      <w:marLeft w:val="0"/>
      <w:marRight w:val="0"/>
      <w:marTop w:val="0"/>
      <w:marBottom w:val="0"/>
      <w:divBdr>
        <w:top w:val="none" w:sz="0" w:space="0" w:color="auto"/>
        <w:left w:val="none" w:sz="0" w:space="0" w:color="auto"/>
        <w:bottom w:val="none" w:sz="0" w:space="0" w:color="auto"/>
        <w:right w:val="none" w:sz="0" w:space="0" w:color="auto"/>
      </w:divBdr>
    </w:div>
    <w:div w:id="14381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16">
          <w:marLeft w:val="0"/>
          <w:marRight w:val="0"/>
          <w:marTop w:val="200"/>
          <w:marBottom w:val="100"/>
          <w:divBdr>
            <w:top w:val="none" w:sz="0" w:space="0" w:color="auto"/>
            <w:left w:val="none" w:sz="0" w:space="0" w:color="auto"/>
            <w:bottom w:val="none" w:sz="0" w:space="0" w:color="auto"/>
            <w:right w:val="none" w:sz="0" w:space="0" w:color="auto"/>
          </w:divBdr>
        </w:div>
      </w:divsChild>
    </w:div>
    <w:div w:id="1965622246">
      <w:bodyDiv w:val="1"/>
      <w:marLeft w:val="0"/>
      <w:marRight w:val="0"/>
      <w:marTop w:val="0"/>
      <w:marBottom w:val="0"/>
      <w:divBdr>
        <w:top w:val="none" w:sz="0" w:space="0" w:color="auto"/>
        <w:left w:val="none" w:sz="0" w:space="0" w:color="auto"/>
        <w:bottom w:val="none" w:sz="0" w:space="0" w:color="auto"/>
        <w:right w:val="none" w:sz="0" w:space="0" w:color="auto"/>
      </w:divBdr>
    </w:div>
    <w:div w:id="2004427899">
      <w:bodyDiv w:val="1"/>
      <w:marLeft w:val="0"/>
      <w:marRight w:val="0"/>
      <w:marTop w:val="0"/>
      <w:marBottom w:val="0"/>
      <w:divBdr>
        <w:top w:val="none" w:sz="0" w:space="0" w:color="auto"/>
        <w:left w:val="none" w:sz="0" w:space="0" w:color="auto"/>
        <w:bottom w:val="none" w:sz="0" w:space="0" w:color="auto"/>
        <w:right w:val="none" w:sz="0" w:space="0" w:color="auto"/>
      </w:divBdr>
      <w:divsChild>
        <w:div w:id="1820340098">
          <w:marLeft w:val="0"/>
          <w:marRight w:val="0"/>
          <w:marTop w:val="200"/>
          <w:marBottom w:val="100"/>
          <w:divBdr>
            <w:top w:val="none" w:sz="0" w:space="0" w:color="auto"/>
            <w:left w:val="none" w:sz="0" w:space="0" w:color="auto"/>
            <w:bottom w:val="none" w:sz="0" w:space="0" w:color="auto"/>
            <w:right w:val="none" w:sz="0" w:space="0" w:color="auto"/>
          </w:divBdr>
        </w:div>
      </w:divsChild>
    </w:div>
    <w:div w:id="21419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87BF8-2595-4C85-AF99-A05A488B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4216</Words>
  <Characters>24875</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Bártů</dc:creator>
  <cp:keywords/>
  <dc:description/>
  <cp:lastModifiedBy>Lenka Dobešová</cp:lastModifiedBy>
  <cp:revision>2</cp:revision>
  <dcterms:created xsi:type="dcterms:W3CDTF">2021-04-22T13:34:00Z</dcterms:created>
  <dcterms:modified xsi:type="dcterms:W3CDTF">2021-04-22T13:34:00Z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id="vtqZf2FZ"/&gt;&lt;style id="http://www.zotero.org/styles/masarykova-univerzita-pravnicka-fakulta" locale="cs-CZ" hasBibliography="1" bibliographyStyleHasBeenSet="1"/&gt;&lt;prefs&gt;&lt;pref name="fieldType" value</vt:lpwstr>
  </property>
  <property fmtid="{D5CDD505-2E9C-101B-9397-08002B2CF9AE}" pid="3" name="ZOTERO_PREF_2">
    <vt:lpwstr>="Field"/&gt;&lt;pref name="noteType" value="1"/&gt;&lt;/prefs&gt;&lt;/data&gt;</vt:lpwstr>
  </property>
</Properties>
</file>