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EE8" w:rsidRPr="00ED15D5" w:rsidRDefault="006601E9">
      <w:pPr>
        <w:ind w:left="7383"/>
        <w:rPr>
          <w:sz w:val="20"/>
          <w:szCs w:val="20"/>
        </w:rPr>
      </w:pPr>
      <w:bookmarkStart w:id="0" w:name="page1"/>
      <w:bookmarkStart w:id="1" w:name="_GoBack"/>
      <w:bookmarkEnd w:id="0"/>
      <w:bookmarkEnd w:id="1"/>
      <w:r w:rsidRPr="00ED15D5">
        <w:rPr>
          <w:rFonts w:ascii="Garamond" w:eastAsia="Garamond" w:hAnsi="Garamond" w:cs="Garamond"/>
          <w:sz w:val="24"/>
          <w:szCs w:val="24"/>
        </w:rPr>
        <w:t>2 As 43/2018 - 27</w:t>
      </w:r>
    </w:p>
    <w:p w:rsidR="00F97EE8" w:rsidRPr="00ED15D5" w:rsidRDefault="006601E9">
      <w:pPr>
        <w:spacing w:line="20" w:lineRule="exact"/>
        <w:rPr>
          <w:sz w:val="24"/>
          <w:szCs w:val="24"/>
        </w:rPr>
      </w:pPr>
      <w:r w:rsidRPr="00ED15D5">
        <w:rPr>
          <w:noProof/>
          <w:sz w:val="24"/>
          <w:szCs w:val="24"/>
        </w:rPr>
        <w:drawing>
          <wp:anchor distT="0" distB="0" distL="114300" distR="114300" simplePos="0" relativeHeight="251657728" behindDoc="1" locked="0" layoutInCell="0" allowOverlap="1">
            <wp:simplePos x="0" y="0"/>
            <wp:positionH relativeFrom="column">
              <wp:posOffset>2356485</wp:posOffset>
            </wp:positionH>
            <wp:positionV relativeFrom="paragraph">
              <wp:posOffset>812165</wp:posOffset>
            </wp:positionV>
            <wp:extent cx="1047750" cy="12471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blip>
                    <a:srcRect/>
                    <a:stretch>
                      <a:fillRect/>
                    </a:stretch>
                  </pic:blipFill>
                  <pic:spPr bwMode="auto">
                    <a:xfrm>
                      <a:off x="0" y="0"/>
                      <a:ext cx="1047750" cy="1247140"/>
                    </a:xfrm>
                    <a:prstGeom prst="rect">
                      <a:avLst/>
                    </a:prstGeom>
                    <a:noFill/>
                  </pic:spPr>
                </pic:pic>
              </a:graphicData>
            </a:graphic>
          </wp:anchor>
        </w:drawing>
      </w:r>
    </w:p>
    <w:p w:rsidR="00F97EE8" w:rsidRPr="00ED15D5" w:rsidRDefault="00F97EE8">
      <w:pPr>
        <w:spacing w:line="200" w:lineRule="exact"/>
        <w:rPr>
          <w:sz w:val="24"/>
          <w:szCs w:val="24"/>
        </w:rPr>
      </w:pPr>
    </w:p>
    <w:p w:rsidR="00F97EE8" w:rsidRPr="00ED15D5" w:rsidRDefault="00F97EE8">
      <w:pPr>
        <w:spacing w:line="200" w:lineRule="exact"/>
        <w:rPr>
          <w:sz w:val="24"/>
          <w:szCs w:val="24"/>
        </w:rPr>
      </w:pPr>
    </w:p>
    <w:p w:rsidR="00F97EE8" w:rsidRPr="00ED15D5" w:rsidRDefault="00F97EE8">
      <w:pPr>
        <w:spacing w:line="200" w:lineRule="exact"/>
        <w:rPr>
          <w:sz w:val="24"/>
          <w:szCs w:val="24"/>
        </w:rPr>
      </w:pPr>
    </w:p>
    <w:p w:rsidR="00F97EE8" w:rsidRPr="00ED15D5" w:rsidRDefault="00F97EE8">
      <w:pPr>
        <w:spacing w:line="200" w:lineRule="exact"/>
        <w:rPr>
          <w:sz w:val="24"/>
          <w:szCs w:val="24"/>
        </w:rPr>
      </w:pPr>
    </w:p>
    <w:p w:rsidR="00F97EE8" w:rsidRPr="00ED15D5" w:rsidRDefault="00F97EE8">
      <w:pPr>
        <w:spacing w:line="200" w:lineRule="exact"/>
        <w:rPr>
          <w:sz w:val="24"/>
          <w:szCs w:val="24"/>
        </w:rPr>
      </w:pPr>
    </w:p>
    <w:p w:rsidR="00F97EE8" w:rsidRPr="00ED15D5" w:rsidRDefault="00F97EE8">
      <w:pPr>
        <w:spacing w:line="200" w:lineRule="exact"/>
        <w:rPr>
          <w:sz w:val="24"/>
          <w:szCs w:val="24"/>
        </w:rPr>
      </w:pPr>
    </w:p>
    <w:p w:rsidR="00F97EE8" w:rsidRPr="00ED15D5" w:rsidRDefault="00F97EE8">
      <w:pPr>
        <w:spacing w:line="200" w:lineRule="exact"/>
        <w:rPr>
          <w:sz w:val="24"/>
          <w:szCs w:val="24"/>
        </w:rPr>
      </w:pPr>
    </w:p>
    <w:p w:rsidR="00F97EE8" w:rsidRPr="00ED15D5" w:rsidRDefault="00F97EE8">
      <w:pPr>
        <w:spacing w:line="200" w:lineRule="exact"/>
        <w:rPr>
          <w:sz w:val="24"/>
          <w:szCs w:val="24"/>
        </w:rPr>
      </w:pPr>
    </w:p>
    <w:p w:rsidR="00F97EE8" w:rsidRPr="00ED15D5" w:rsidRDefault="00F97EE8">
      <w:pPr>
        <w:spacing w:line="200" w:lineRule="exact"/>
        <w:rPr>
          <w:sz w:val="24"/>
          <w:szCs w:val="24"/>
        </w:rPr>
      </w:pPr>
    </w:p>
    <w:p w:rsidR="00F97EE8" w:rsidRPr="00ED15D5" w:rsidRDefault="00F97EE8">
      <w:pPr>
        <w:spacing w:line="200" w:lineRule="exact"/>
        <w:rPr>
          <w:sz w:val="24"/>
          <w:szCs w:val="24"/>
        </w:rPr>
      </w:pPr>
    </w:p>
    <w:p w:rsidR="00F97EE8" w:rsidRPr="00ED15D5" w:rsidRDefault="00F97EE8">
      <w:pPr>
        <w:spacing w:line="200" w:lineRule="exact"/>
        <w:rPr>
          <w:sz w:val="24"/>
          <w:szCs w:val="24"/>
        </w:rPr>
      </w:pPr>
    </w:p>
    <w:p w:rsidR="00F97EE8" w:rsidRPr="00ED15D5" w:rsidRDefault="00F97EE8">
      <w:pPr>
        <w:spacing w:line="200" w:lineRule="exact"/>
        <w:rPr>
          <w:sz w:val="24"/>
          <w:szCs w:val="24"/>
        </w:rPr>
      </w:pPr>
    </w:p>
    <w:p w:rsidR="00F97EE8" w:rsidRPr="00ED15D5" w:rsidRDefault="00F97EE8">
      <w:pPr>
        <w:spacing w:line="200" w:lineRule="exact"/>
        <w:rPr>
          <w:sz w:val="24"/>
          <w:szCs w:val="24"/>
        </w:rPr>
      </w:pPr>
    </w:p>
    <w:p w:rsidR="00F97EE8" w:rsidRPr="00ED15D5" w:rsidRDefault="00F97EE8">
      <w:pPr>
        <w:spacing w:line="200" w:lineRule="exact"/>
        <w:rPr>
          <w:sz w:val="24"/>
          <w:szCs w:val="24"/>
        </w:rPr>
      </w:pPr>
    </w:p>
    <w:p w:rsidR="00F97EE8" w:rsidRPr="00ED15D5" w:rsidRDefault="00F97EE8">
      <w:pPr>
        <w:spacing w:line="200" w:lineRule="exact"/>
        <w:rPr>
          <w:sz w:val="24"/>
          <w:szCs w:val="24"/>
        </w:rPr>
      </w:pPr>
    </w:p>
    <w:p w:rsidR="00F97EE8" w:rsidRPr="00ED15D5" w:rsidRDefault="00F97EE8">
      <w:pPr>
        <w:spacing w:line="200" w:lineRule="exact"/>
        <w:rPr>
          <w:sz w:val="24"/>
          <w:szCs w:val="24"/>
        </w:rPr>
      </w:pPr>
    </w:p>
    <w:p w:rsidR="00F97EE8" w:rsidRPr="00ED15D5" w:rsidRDefault="00F97EE8">
      <w:pPr>
        <w:spacing w:line="259" w:lineRule="exact"/>
        <w:rPr>
          <w:sz w:val="24"/>
          <w:szCs w:val="24"/>
        </w:rPr>
      </w:pPr>
    </w:p>
    <w:p w:rsidR="00F97EE8" w:rsidRPr="00ED15D5" w:rsidRDefault="006601E9">
      <w:pPr>
        <w:ind w:right="17"/>
        <w:jc w:val="center"/>
        <w:rPr>
          <w:sz w:val="20"/>
          <w:szCs w:val="20"/>
        </w:rPr>
      </w:pPr>
      <w:r w:rsidRPr="00ED15D5">
        <w:rPr>
          <w:rFonts w:ascii="Garamond" w:eastAsia="Garamond" w:hAnsi="Garamond" w:cs="Garamond"/>
          <w:sz w:val="28"/>
          <w:szCs w:val="28"/>
        </w:rPr>
        <w:t>ČESKÁ REPUBLIKA</w:t>
      </w:r>
    </w:p>
    <w:p w:rsidR="00F97EE8" w:rsidRPr="00ED15D5" w:rsidRDefault="00F97EE8">
      <w:pPr>
        <w:spacing w:line="262" w:lineRule="exact"/>
        <w:rPr>
          <w:sz w:val="24"/>
          <w:szCs w:val="24"/>
        </w:rPr>
      </w:pPr>
    </w:p>
    <w:p w:rsidR="00F97EE8" w:rsidRPr="00ED15D5" w:rsidRDefault="006601E9">
      <w:pPr>
        <w:ind w:right="17"/>
        <w:jc w:val="center"/>
        <w:rPr>
          <w:sz w:val="20"/>
          <w:szCs w:val="20"/>
        </w:rPr>
      </w:pPr>
      <w:r w:rsidRPr="00ED15D5">
        <w:rPr>
          <w:rFonts w:ascii="Garamond" w:eastAsia="Garamond" w:hAnsi="Garamond" w:cs="Garamond"/>
          <w:b/>
          <w:bCs/>
          <w:sz w:val="32"/>
          <w:szCs w:val="32"/>
        </w:rPr>
        <w:t>R O Z S U D E K</w:t>
      </w:r>
    </w:p>
    <w:p w:rsidR="00F97EE8" w:rsidRPr="00ED15D5" w:rsidRDefault="006601E9">
      <w:pPr>
        <w:ind w:right="17"/>
        <w:jc w:val="center"/>
        <w:rPr>
          <w:sz w:val="20"/>
          <w:szCs w:val="20"/>
        </w:rPr>
      </w:pPr>
      <w:proofErr w:type="gramStart"/>
      <w:r w:rsidRPr="00ED15D5">
        <w:rPr>
          <w:rFonts w:ascii="Garamond" w:eastAsia="Garamond" w:hAnsi="Garamond" w:cs="Garamond"/>
          <w:b/>
          <w:bCs/>
          <w:sz w:val="32"/>
          <w:szCs w:val="32"/>
        </w:rPr>
        <w:t xml:space="preserve">J M É N E M </w:t>
      </w:r>
      <w:r w:rsidR="002D7513">
        <w:rPr>
          <w:rFonts w:ascii="Garamond" w:eastAsia="Garamond" w:hAnsi="Garamond" w:cs="Garamond"/>
          <w:b/>
          <w:bCs/>
          <w:sz w:val="32"/>
          <w:szCs w:val="32"/>
        </w:rPr>
        <w:t xml:space="preserve">  </w:t>
      </w:r>
      <w:r w:rsidRPr="00ED15D5">
        <w:rPr>
          <w:rFonts w:ascii="Garamond" w:eastAsia="Garamond" w:hAnsi="Garamond" w:cs="Garamond"/>
          <w:b/>
          <w:bCs/>
          <w:sz w:val="32"/>
          <w:szCs w:val="32"/>
        </w:rPr>
        <w:t>R E P U B L I K Y</w:t>
      </w:r>
      <w:proofErr w:type="gramEnd"/>
    </w:p>
    <w:p w:rsidR="00F97EE8" w:rsidRPr="00ED15D5" w:rsidRDefault="00F97EE8">
      <w:pPr>
        <w:spacing w:line="200" w:lineRule="exact"/>
        <w:rPr>
          <w:sz w:val="24"/>
          <w:szCs w:val="24"/>
        </w:rPr>
      </w:pPr>
    </w:p>
    <w:p w:rsidR="00F97EE8" w:rsidRPr="00ED15D5" w:rsidRDefault="00F97EE8">
      <w:pPr>
        <w:spacing w:line="353" w:lineRule="exact"/>
        <w:rPr>
          <w:sz w:val="24"/>
          <w:szCs w:val="24"/>
        </w:rPr>
      </w:pPr>
    </w:p>
    <w:p w:rsidR="00F97EE8" w:rsidRPr="003C1871" w:rsidRDefault="006601E9" w:rsidP="003C1871">
      <w:pPr>
        <w:ind w:left="3"/>
        <w:jc w:val="both"/>
        <w:rPr>
          <w:sz w:val="20"/>
          <w:szCs w:val="20"/>
        </w:rPr>
      </w:pPr>
      <w:r w:rsidRPr="00ED15D5">
        <w:rPr>
          <w:rFonts w:ascii="Garamond" w:eastAsia="Garamond" w:hAnsi="Garamond" w:cs="Garamond"/>
          <w:sz w:val="24"/>
          <w:szCs w:val="24"/>
        </w:rPr>
        <w:t xml:space="preserve">Nejvyšší správní soud rozhodl v senátě složeném z předsedkyně JUDr. Miluše </w:t>
      </w:r>
      <w:r w:rsidR="00ED15D5" w:rsidRPr="00ED15D5">
        <w:rPr>
          <w:rFonts w:ascii="Garamond" w:eastAsia="Garamond" w:hAnsi="Garamond" w:cs="Garamond"/>
          <w:sz w:val="24"/>
          <w:szCs w:val="24"/>
        </w:rPr>
        <w:t>Troškové a soudců Mgr. Evy Spánkové</w:t>
      </w:r>
      <w:r w:rsidRPr="00ED15D5">
        <w:rPr>
          <w:rFonts w:ascii="Garamond" w:eastAsia="Garamond" w:hAnsi="Garamond" w:cs="Garamond"/>
          <w:sz w:val="24"/>
          <w:szCs w:val="24"/>
        </w:rPr>
        <w:t xml:space="preserve"> a JUDr. Karla </w:t>
      </w:r>
      <w:r w:rsidR="00ED15D5" w:rsidRPr="00ED15D5">
        <w:rPr>
          <w:rFonts w:ascii="Garamond" w:eastAsia="Garamond" w:hAnsi="Garamond" w:cs="Garamond"/>
          <w:sz w:val="24"/>
          <w:szCs w:val="24"/>
        </w:rPr>
        <w:t>Myšky</w:t>
      </w:r>
      <w:r w:rsidRPr="00ED15D5">
        <w:rPr>
          <w:rFonts w:ascii="Garamond" w:eastAsia="Garamond" w:hAnsi="Garamond" w:cs="Garamond"/>
          <w:sz w:val="24"/>
          <w:szCs w:val="24"/>
        </w:rPr>
        <w:t xml:space="preserve"> v právní věci žalobkyně: </w:t>
      </w:r>
      <w:r w:rsidR="00ED15D5" w:rsidRPr="00ED15D5">
        <w:rPr>
          <w:rFonts w:ascii="Garamond" w:eastAsia="Garamond" w:hAnsi="Garamond" w:cs="Garamond"/>
          <w:b/>
          <w:bCs/>
          <w:sz w:val="24"/>
          <w:szCs w:val="24"/>
        </w:rPr>
        <w:t>SILVER</w:t>
      </w:r>
      <w:r w:rsidRPr="00ED15D5">
        <w:rPr>
          <w:rFonts w:ascii="Garamond" w:eastAsia="Garamond" w:hAnsi="Garamond" w:cs="Garamond"/>
          <w:b/>
          <w:bCs/>
          <w:sz w:val="24"/>
          <w:szCs w:val="24"/>
        </w:rPr>
        <w:t xml:space="preserve"> GASTRO</w:t>
      </w:r>
      <w:r w:rsidRPr="00ED15D5">
        <w:rPr>
          <w:rFonts w:ascii="Garamond" w:eastAsia="Garamond" w:hAnsi="Garamond" w:cs="Garamond"/>
          <w:sz w:val="24"/>
          <w:szCs w:val="24"/>
        </w:rPr>
        <w:t xml:space="preserve"> </w:t>
      </w:r>
      <w:r w:rsidRPr="00ED15D5">
        <w:rPr>
          <w:rFonts w:ascii="Garamond" w:eastAsia="Garamond" w:hAnsi="Garamond" w:cs="Garamond"/>
          <w:b/>
          <w:bCs/>
          <w:sz w:val="24"/>
          <w:szCs w:val="24"/>
        </w:rPr>
        <w:t xml:space="preserve">SERVICE, s.r.o., </w:t>
      </w:r>
      <w:r w:rsidRPr="00ED15D5">
        <w:rPr>
          <w:rFonts w:ascii="Garamond" w:eastAsia="Garamond" w:hAnsi="Garamond" w:cs="Garamond"/>
          <w:sz w:val="24"/>
          <w:szCs w:val="24"/>
        </w:rPr>
        <w:t>se</w:t>
      </w:r>
      <w:r w:rsidRPr="00ED15D5">
        <w:rPr>
          <w:rFonts w:ascii="Garamond" w:eastAsia="Garamond" w:hAnsi="Garamond" w:cs="Garamond"/>
          <w:b/>
          <w:bCs/>
          <w:sz w:val="24"/>
          <w:szCs w:val="24"/>
        </w:rPr>
        <w:t xml:space="preserve"> </w:t>
      </w:r>
      <w:r w:rsidRPr="00ED15D5">
        <w:rPr>
          <w:rFonts w:ascii="Garamond" w:eastAsia="Garamond" w:hAnsi="Garamond" w:cs="Garamond"/>
          <w:sz w:val="24"/>
          <w:szCs w:val="24"/>
        </w:rPr>
        <w:t xml:space="preserve">sídlem Musorgského 876/2, Ostrava, zastoupená JUDr. Vítem </w:t>
      </w:r>
      <w:r w:rsidR="00ED15D5" w:rsidRPr="00ED15D5">
        <w:rPr>
          <w:rFonts w:ascii="Garamond" w:eastAsia="Garamond" w:hAnsi="Garamond" w:cs="Garamond"/>
          <w:sz w:val="24"/>
          <w:szCs w:val="24"/>
        </w:rPr>
        <w:t>Horníčkem</w:t>
      </w:r>
      <w:r w:rsidRPr="00ED15D5">
        <w:rPr>
          <w:rFonts w:ascii="Garamond" w:eastAsia="Garamond" w:hAnsi="Garamond" w:cs="Garamond"/>
          <w:sz w:val="24"/>
          <w:szCs w:val="24"/>
        </w:rPr>
        <w:t>,</w:t>
      </w:r>
      <w:r w:rsidRPr="00ED15D5">
        <w:rPr>
          <w:rFonts w:ascii="Garamond" w:eastAsia="Garamond" w:hAnsi="Garamond" w:cs="Garamond"/>
          <w:b/>
          <w:bCs/>
          <w:sz w:val="24"/>
          <w:szCs w:val="24"/>
        </w:rPr>
        <w:t xml:space="preserve"> </w:t>
      </w:r>
      <w:r w:rsidRPr="00ED15D5">
        <w:rPr>
          <w:rFonts w:ascii="Garamond" w:eastAsia="Garamond" w:hAnsi="Garamond" w:cs="Garamond"/>
          <w:sz w:val="24"/>
          <w:szCs w:val="24"/>
        </w:rPr>
        <w:t xml:space="preserve">advokátem se sídlem 28. října 1610/95, Ostrava, proti žalované: </w:t>
      </w:r>
      <w:r w:rsidRPr="00ED15D5">
        <w:rPr>
          <w:rFonts w:ascii="Garamond" w:eastAsia="Garamond" w:hAnsi="Garamond" w:cs="Garamond"/>
          <w:b/>
          <w:bCs/>
          <w:sz w:val="24"/>
          <w:szCs w:val="24"/>
        </w:rPr>
        <w:t>Česká obchodní inspekce,</w:t>
      </w:r>
      <w:r w:rsidRPr="00ED15D5">
        <w:rPr>
          <w:rFonts w:ascii="Garamond" w:eastAsia="Garamond" w:hAnsi="Garamond" w:cs="Garamond"/>
          <w:sz w:val="24"/>
          <w:szCs w:val="24"/>
        </w:rPr>
        <w:t xml:space="preserve"> se sídlem Štěpánská 567/15, Praha 2, proti rozhodnutí žalované ze dne 15. 8. 2014,</w:t>
      </w:r>
      <w:r w:rsidR="003C1871">
        <w:rPr>
          <w:sz w:val="20"/>
          <w:szCs w:val="20"/>
        </w:rPr>
        <w:t xml:space="preserve"> č. </w:t>
      </w:r>
      <w:r w:rsidRPr="00ED15D5">
        <w:rPr>
          <w:rFonts w:ascii="Garamond" w:eastAsia="Garamond" w:hAnsi="Garamond" w:cs="Garamond"/>
          <w:sz w:val="24"/>
          <w:szCs w:val="24"/>
        </w:rPr>
        <w:t>j. ČOI 80886/14/O100/4000/14/Hl/</w:t>
      </w:r>
      <w:proofErr w:type="spellStart"/>
      <w:r w:rsidRPr="00ED15D5">
        <w:rPr>
          <w:rFonts w:ascii="Garamond" w:eastAsia="Garamond" w:hAnsi="Garamond" w:cs="Garamond"/>
          <w:sz w:val="24"/>
          <w:szCs w:val="24"/>
        </w:rPr>
        <w:t>Št</w:t>
      </w:r>
      <w:proofErr w:type="spellEnd"/>
      <w:r w:rsidRPr="00ED15D5">
        <w:rPr>
          <w:rFonts w:ascii="Garamond" w:eastAsia="Garamond" w:hAnsi="Garamond" w:cs="Garamond"/>
          <w:sz w:val="24"/>
          <w:szCs w:val="24"/>
        </w:rPr>
        <w:t xml:space="preserve">, o kasační stížnosti </w:t>
      </w:r>
      <w:r w:rsidR="003C1871">
        <w:rPr>
          <w:rFonts w:ascii="Garamond" w:eastAsia="Garamond" w:hAnsi="Garamond" w:cs="Garamond"/>
          <w:sz w:val="24"/>
          <w:szCs w:val="24"/>
        </w:rPr>
        <w:t>žalobkyně</w:t>
      </w:r>
      <w:r w:rsidRPr="00ED15D5">
        <w:rPr>
          <w:rFonts w:ascii="Garamond" w:eastAsia="Garamond" w:hAnsi="Garamond" w:cs="Garamond"/>
          <w:sz w:val="24"/>
          <w:szCs w:val="24"/>
        </w:rPr>
        <w:t xml:space="preserve"> proti rozsudku Krajského soudu v Ostravě ze dne 17. 1. 2018, č. j. 22 A 117/2014 – 69,</w:t>
      </w:r>
    </w:p>
    <w:p w:rsidR="00F97EE8" w:rsidRPr="00ED15D5" w:rsidRDefault="00F97EE8">
      <w:pPr>
        <w:spacing w:line="200" w:lineRule="exact"/>
        <w:rPr>
          <w:sz w:val="24"/>
          <w:szCs w:val="24"/>
        </w:rPr>
      </w:pPr>
    </w:p>
    <w:p w:rsidR="00F97EE8" w:rsidRPr="00ED15D5" w:rsidRDefault="00F97EE8">
      <w:pPr>
        <w:spacing w:line="261" w:lineRule="exact"/>
        <w:rPr>
          <w:sz w:val="24"/>
          <w:szCs w:val="24"/>
        </w:rPr>
      </w:pPr>
    </w:p>
    <w:p w:rsidR="00F97EE8" w:rsidRPr="00ED15D5" w:rsidRDefault="006601E9">
      <w:pPr>
        <w:ind w:right="77"/>
        <w:jc w:val="center"/>
        <w:rPr>
          <w:rFonts w:ascii="Garamond" w:eastAsia="Garamond" w:hAnsi="Garamond" w:cs="Garamond"/>
          <w:b/>
          <w:bCs/>
          <w:sz w:val="24"/>
          <w:szCs w:val="24"/>
        </w:rPr>
      </w:pPr>
      <w:proofErr w:type="gramStart"/>
      <w:r w:rsidRPr="00ED15D5">
        <w:rPr>
          <w:rFonts w:ascii="Garamond" w:eastAsia="Garamond" w:hAnsi="Garamond" w:cs="Garamond"/>
          <w:b/>
          <w:bCs/>
          <w:sz w:val="24"/>
          <w:szCs w:val="24"/>
        </w:rPr>
        <w:t>t a k t o :</w:t>
      </w:r>
      <w:proofErr w:type="gramEnd"/>
    </w:p>
    <w:p w:rsidR="00ED15D5" w:rsidRPr="00ED15D5" w:rsidRDefault="00ED15D5" w:rsidP="00ED15D5">
      <w:pPr>
        <w:spacing w:line="480" w:lineRule="auto"/>
        <w:ind w:right="77"/>
        <w:jc w:val="center"/>
        <w:rPr>
          <w:rFonts w:ascii="Garamond" w:eastAsia="Garamond" w:hAnsi="Garamond" w:cs="Garamond"/>
          <w:b/>
          <w:bCs/>
          <w:sz w:val="23"/>
          <w:szCs w:val="23"/>
        </w:rPr>
      </w:pPr>
    </w:p>
    <w:p w:rsidR="00ED15D5" w:rsidRPr="00ED15D5" w:rsidRDefault="00ED15D5" w:rsidP="00ED15D5">
      <w:pPr>
        <w:spacing w:line="480" w:lineRule="auto"/>
        <w:ind w:right="77"/>
        <w:rPr>
          <w:rFonts w:ascii="Garamond" w:eastAsia="Garamond" w:hAnsi="Garamond" w:cs="Garamond"/>
          <w:bCs/>
          <w:sz w:val="23"/>
          <w:szCs w:val="23"/>
        </w:rPr>
      </w:pPr>
      <w:r w:rsidRPr="00ED15D5">
        <w:rPr>
          <w:rFonts w:ascii="Garamond" w:eastAsia="Garamond" w:hAnsi="Garamond" w:cs="Garamond"/>
          <w:bCs/>
          <w:sz w:val="23"/>
          <w:szCs w:val="23"/>
        </w:rPr>
        <w:t xml:space="preserve">I. </w:t>
      </w:r>
      <w:r w:rsidRPr="00ED15D5">
        <w:rPr>
          <w:rFonts w:ascii="Garamond" w:eastAsia="Garamond" w:hAnsi="Garamond" w:cs="Garamond"/>
          <w:bCs/>
          <w:sz w:val="23"/>
          <w:szCs w:val="23"/>
        </w:rPr>
        <w:tab/>
        <w:t xml:space="preserve">Kasační stížnost </w:t>
      </w:r>
      <w:r w:rsidRPr="00ED15D5">
        <w:rPr>
          <w:rFonts w:ascii="Garamond" w:eastAsia="Garamond" w:hAnsi="Garamond" w:cs="Garamond"/>
          <w:b/>
          <w:bCs/>
          <w:sz w:val="23"/>
          <w:szCs w:val="23"/>
        </w:rPr>
        <w:t>se zamítá.</w:t>
      </w:r>
    </w:p>
    <w:p w:rsidR="00ED15D5" w:rsidRPr="00ED15D5" w:rsidRDefault="00ED15D5" w:rsidP="00ED15D5">
      <w:pPr>
        <w:spacing w:line="480" w:lineRule="auto"/>
        <w:rPr>
          <w:rFonts w:ascii="Garamond" w:eastAsia="Garamond" w:hAnsi="Garamond" w:cs="Garamond"/>
          <w:sz w:val="23"/>
          <w:szCs w:val="23"/>
        </w:rPr>
      </w:pPr>
      <w:r w:rsidRPr="00ED15D5">
        <w:rPr>
          <w:rFonts w:ascii="Garamond" w:eastAsia="Garamond" w:hAnsi="Garamond" w:cs="Garamond"/>
          <w:bCs/>
          <w:sz w:val="23"/>
          <w:szCs w:val="23"/>
        </w:rPr>
        <w:t>II.</w:t>
      </w:r>
      <w:r w:rsidRPr="00ED15D5">
        <w:rPr>
          <w:rFonts w:ascii="Garamond" w:eastAsia="Garamond" w:hAnsi="Garamond" w:cs="Garamond"/>
          <w:bCs/>
          <w:sz w:val="23"/>
          <w:szCs w:val="23"/>
        </w:rPr>
        <w:tab/>
      </w:r>
      <w:r w:rsidR="003C1871">
        <w:rPr>
          <w:rFonts w:ascii="Garamond" w:eastAsia="Garamond" w:hAnsi="Garamond" w:cs="Garamond"/>
          <w:bCs/>
          <w:sz w:val="23"/>
          <w:szCs w:val="23"/>
        </w:rPr>
        <w:t>Žalobkyně</w:t>
      </w:r>
      <w:r w:rsidRPr="00ED15D5">
        <w:rPr>
          <w:rFonts w:ascii="Garamond" w:eastAsia="Garamond" w:hAnsi="Garamond" w:cs="Garamond"/>
          <w:bCs/>
          <w:sz w:val="23"/>
          <w:szCs w:val="23"/>
        </w:rPr>
        <w:t xml:space="preserve"> </w:t>
      </w:r>
      <w:r w:rsidRPr="00ED15D5">
        <w:rPr>
          <w:rFonts w:ascii="Garamond" w:eastAsia="Garamond" w:hAnsi="Garamond" w:cs="Garamond"/>
          <w:b/>
          <w:bCs/>
          <w:sz w:val="23"/>
          <w:szCs w:val="23"/>
        </w:rPr>
        <w:t>nemá</w:t>
      </w:r>
      <w:r w:rsidRPr="00ED15D5">
        <w:rPr>
          <w:rFonts w:ascii="Garamond" w:eastAsia="Garamond" w:hAnsi="Garamond" w:cs="Garamond"/>
          <w:bCs/>
          <w:sz w:val="23"/>
          <w:szCs w:val="23"/>
        </w:rPr>
        <w:t xml:space="preserve"> </w:t>
      </w:r>
      <w:r w:rsidRPr="00ED15D5">
        <w:rPr>
          <w:rFonts w:ascii="Garamond" w:eastAsia="Garamond" w:hAnsi="Garamond" w:cs="Garamond"/>
          <w:sz w:val="23"/>
          <w:szCs w:val="23"/>
        </w:rPr>
        <w:t>právo na náhradu nákladů řízení o kasační stížnosti.</w:t>
      </w:r>
    </w:p>
    <w:p w:rsidR="00ED15D5" w:rsidRPr="00ED15D5" w:rsidRDefault="00ED15D5" w:rsidP="00ED15D5">
      <w:pPr>
        <w:spacing w:line="480" w:lineRule="auto"/>
        <w:rPr>
          <w:sz w:val="23"/>
          <w:szCs w:val="23"/>
        </w:rPr>
      </w:pPr>
      <w:r w:rsidRPr="00ED15D5">
        <w:rPr>
          <w:rFonts w:ascii="Garamond" w:eastAsia="Garamond" w:hAnsi="Garamond" w:cs="Garamond"/>
          <w:bCs/>
          <w:sz w:val="23"/>
          <w:szCs w:val="23"/>
        </w:rPr>
        <w:t>III.</w:t>
      </w:r>
      <w:r w:rsidRPr="00ED15D5">
        <w:rPr>
          <w:rFonts w:ascii="Garamond" w:eastAsia="Garamond" w:hAnsi="Garamond" w:cs="Garamond"/>
          <w:bCs/>
          <w:sz w:val="23"/>
          <w:szCs w:val="23"/>
        </w:rPr>
        <w:tab/>
      </w:r>
      <w:r w:rsidR="003C1871">
        <w:rPr>
          <w:rFonts w:ascii="Garamond" w:eastAsia="Garamond" w:hAnsi="Garamond" w:cs="Garamond"/>
          <w:bCs/>
          <w:sz w:val="23"/>
          <w:szCs w:val="23"/>
        </w:rPr>
        <w:t>Žalované</w:t>
      </w:r>
      <w:r w:rsidRPr="00ED15D5">
        <w:rPr>
          <w:rFonts w:ascii="Garamond" w:eastAsia="Garamond" w:hAnsi="Garamond" w:cs="Garamond"/>
          <w:bCs/>
          <w:sz w:val="23"/>
          <w:szCs w:val="23"/>
        </w:rPr>
        <w:t xml:space="preserve"> </w:t>
      </w:r>
      <w:r w:rsidRPr="00ED15D5">
        <w:rPr>
          <w:rFonts w:ascii="Garamond" w:eastAsia="Garamond" w:hAnsi="Garamond" w:cs="Garamond"/>
          <w:b/>
          <w:bCs/>
          <w:sz w:val="23"/>
          <w:szCs w:val="23"/>
        </w:rPr>
        <w:t>se</w:t>
      </w:r>
      <w:r w:rsidRPr="00ED15D5">
        <w:rPr>
          <w:rFonts w:ascii="Garamond" w:eastAsia="Garamond" w:hAnsi="Garamond" w:cs="Garamond"/>
          <w:bCs/>
          <w:sz w:val="23"/>
          <w:szCs w:val="23"/>
        </w:rPr>
        <w:t xml:space="preserve"> </w:t>
      </w:r>
      <w:r w:rsidRPr="00ED15D5">
        <w:rPr>
          <w:rFonts w:ascii="Garamond" w:eastAsia="Garamond" w:hAnsi="Garamond" w:cs="Garamond"/>
          <w:sz w:val="23"/>
          <w:szCs w:val="23"/>
        </w:rPr>
        <w:t xml:space="preserve">náhrada nákladů řízení o kasační stížnosti </w:t>
      </w:r>
      <w:r w:rsidRPr="00ED15D5">
        <w:rPr>
          <w:rFonts w:ascii="Garamond" w:eastAsia="Garamond" w:hAnsi="Garamond" w:cs="Garamond"/>
          <w:b/>
          <w:sz w:val="23"/>
          <w:szCs w:val="23"/>
        </w:rPr>
        <w:t>nepřiznává</w:t>
      </w:r>
      <w:r w:rsidRPr="00ED15D5">
        <w:rPr>
          <w:rFonts w:ascii="Garamond" w:eastAsia="Garamond" w:hAnsi="Garamond" w:cs="Garamond"/>
          <w:sz w:val="23"/>
          <w:szCs w:val="23"/>
        </w:rPr>
        <w:t>.</w:t>
      </w:r>
    </w:p>
    <w:p w:rsidR="00ED15D5" w:rsidRPr="00ED15D5" w:rsidRDefault="00ED15D5" w:rsidP="00ED15D5">
      <w:pPr>
        <w:ind w:right="77"/>
        <w:rPr>
          <w:rFonts w:ascii="Garamond" w:eastAsia="Garamond" w:hAnsi="Garamond" w:cs="Garamond"/>
          <w:b/>
          <w:bCs/>
          <w:sz w:val="24"/>
          <w:szCs w:val="24"/>
        </w:rPr>
      </w:pPr>
    </w:p>
    <w:p w:rsidR="00F97EE8" w:rsidRPr="00ED15D5" w:rsidRDefault="00F97EE8">
      <w:pPr>
        <w:spacing w:line="335" w:lineRule="exact"/>
        <w:rPr>
          <w:sz w:val="24"/>
          <w:szCs w:val="24"/>
        </w:rPr>
      </w:pPr>
    </w:p>
    <w:p w:rsidR="00F97EE8" w:rsidRPr="00ED15D5" w:rsidRDefault="006601E9">
      <w:pPr>
        <w:ind w:right="77"/>
        <w:jc w:val="center"/>
        <w:rPr>
          <w:sz w:val="20"/>
          <w:szCs w:val="20"/>
        </w:rPr>
      </w:pPr>
      <w:proofErr w:type="gramStart"/>
      <w:r w:rsidRPr="00ED15D5">
        <w:rPr>
          <w:rFonts w:ascii="Garamond" w:eastAsia="Garamond" w:hAnsi="Garamond" w:cs="Garamond"/>
          <w:b/>
          <w:bCs/>
          <w:sz w:val="28"/>
          <w:szCs w:val="28"/>
        </w:rPr>
        <w:t>O d ů v o d n ě n í :</w:t>
      </w:r>
      <w:proofErr w:type="gramEnd"/>
    </w:p>
    <w:p w:rsidR="00F97EE8" w:rsidRPr="00ED15D5" w:rsidRDefault="00F97EE8">
      <w:pPr>
        <w:spacing w:line="200" w:lineRule="exact"/>
        <w:rPr>
          <w:sz w:val="24"/>
          <w:szCs w:val="24"/>
        </w:rPr>
      </w:pPr>
    </w:p>
    <w:p w:rsidR="00F97EE8" w:rsidRPr="00ED15D5" w:rsidRDefault="00F97EE8">
      <w:pPr>
        <w:spacing w:line="344" w:lineRule="exact"/>
        <w:rPr>
          <w:sz w:val="24"/>
          <w:szCs w:val="24"/>
        </w:rPr>
      </w:pPr>
    </w:p>
    <w:p w:rsidR="00F97EE8" w:rsidRPr="00ED15D5" w:rsidRDefault="006601E9">
      <w:pPr>
        <w:ind w:right="17"/>
        <w:jc w:val="center"/>
        <w:rPr>
          <w:sz w:val="20"/>
          <w:szCs w:val="20"/>
        </w:rPr>
      </w:pPr>
      <w:r w:rsidRPr="00ED15D5">
        <w:rPr>
          <w:rFonts w:ascii="Garamond" w:eastAsia="Garamond" w:hAnsi="Garamond" w:cs="Garamond"/>
          <w:b/>
          <w:bCs/>
          <w:sz w:val="24"/>
          <w:szCs w:val="24"/>
        </w:rPr>
        <w:t>I. Vymezení věci</w:t>
      </w:r>
    </w:p>
    <w:p w:rsidR="00F97EE8" w:rsidRPr="00ED15D5" w:rsidRDefault="00F97EE8">
      <w:pPr>
        <w:spacing w:line="272" w:lineRule="exact"/>
        <w:rPr>
          <w:sz w:val="24"/>
          <w:szCs w:val="24"/>
        </w:rPr>
      </w:pPr>
    </w:p>
    <w:p w:rsidR="00F97EE8" w:rsidRPr="00ED1AB3" w:rsidRDefault="00ED1AB3" w:rsidP="00832458">
      <w:pPr>
        <w:tabs>
          <w:tab w:val="left" w:pos="703"/>
        </w:tabs>
        <w:jc w:val="both"/>
        <w:rPr>
          <w:rFonts w:ascii="Garamond" w:eastAsia="Garamond" w:hAnsi="Garamond" w:cs="Garamond"/>
          <w:sz w:val="24"/>
          <w:szCs w:val="24"/>
        </w:rPr>
      </w:pPr>
      <w:r>
        <w:rPr>
          <w:rFonts w:ascii="Garamond" w:eastAsia="Garamond" w:hAnsi="Garamond" w:cs="Garamond"/>
          <w:sz w:val="24"/>
          <w:szCs w:val="24"/>
        </w:rPr>
        <w:t>[1]</w:t>
      </w:r>
      <w:r>
        <w:rPr>
          <w:rFonts w:ascii="Garamond" w:eastAsia="Garamond" w:hAnsi="Garamond" w:cs="Garamond"/>
          <w:sz w:val="24"/>
          <w:szCs w:val="24"/>
        </w:rPr>
        <w:tab/>
      </w:r>
      <w:r w:rsidR="006601E9" w:rsidRPr="00ED15D5">
        <w:rPr>
          <w:rFonts w:ascii="Garamond" w:eastAsia="Garamond" w:hAnsi="Garamond" w:cs="Garamond"/>
          <w:sz w:val="24"/>
          <w:szCs w:val="24"/>
        </w:rPr>
        <w:t>Inspektorka České obchodní inspekce, inspektorátu Moravskoslezského a Olomouckého</w:t>
      </w:r>
      <w:r>
        <w:rPr>
          <w:rFonts w:ascii="Garamond" w:eastAsia="Garamond" w:hAnsi="Garamond" w:cs="Garamond"/>
          <w:sz w:val="24"/>
          <w:szCs w:val="24"/>
        </w:rPr>
        <w:t xml:space="preserve"> </w:t>
      </w:r>
      <w:r w:rsidR="006601E9" w:rsidRPr="00ED1AB3">
        <w:rPr>
          <w:rFonts w:ascii="Garamond" w:eastAsia="Garamond" w:hAnsi="Garamond" w:cs="Garamond"/>
          <w:sz w:val="24"/>
          <w:szCs w:val="24"/>
        </w:rPr>
        <w:t>(dále</w:t>
      </w:r>
      <w:r>
        <w:rPr>
          <w:rFonts w:ascii="Garamond" w:eastAsia="Garamond" w:hAnsi="Garamond" w:cs="Garamond"/>
          <w:sz w:val="24"/>
          <w:szCs w:val="24"/>
        </w:rPr>
        <w:t xml:space="preserve"> </w:t>
      </w:r>
      <w:r w:rsidR="006601E9" w:rsidRPr="00ED1AB3">
        <w:rPr>
          <w:rFonts w:ascii="Garamond" w:eastAsia="Garamond" w:hAnsi="Garamond" w:cs="Garamond"/>
          <w:sz w:val="24"/>
          <w:szCs w:val="24"/>
        </w:rPr>
        <w:t>jen</w:t>
      </w:r>
      <w:r>
        <w:rPr>
          <w:rFonts w:ascii="Garamond" w:eastAsia="Garamond" w:hAnsi="Garamond" w:cs="Garamond"/>
          <w:sz w:val="24"/>
          <w:szCs w:val="24"/>
        </w:rPr>
        <w:t xml:space="preserve"> </w:t>
      </w:r>
      <w:r w:rsidR="006601E9" w:rsidRPr="00ED1AB3">
        <w:rPr>
          <w:rFonts w:ascii="Garamond" w:eastAsia="Garamond" w:hAnsi="Garamond" w:cs="Garamond"/>
          <w:sz w:val="24"/>
          <w:szCs w:val="24"/>
        </w:rPr>
        <w:t>„správní</w:t>
      </w:r>
      <w:r>
        <w:rPr>
          <w:rFonts w:ascii="Garamond" w:eastAsia="Garamond" w:hAnsi="Garamond" w:cs="Garamond"/>
          <w:sz w:val="24"/>
          <w:szCs w:val="24"/>
        </w:rPr>
        <w:t xml:space="preserve"> </w:t>
      </w:r>
      <w:r w:rsidR="006601E9" w:rsidRPr="00ED1AB3">
        <w:rPr>
          <w:rFonts w:ascii="Garamond" w:eastAsia="Garamond" w:hAnsi="Garamond" w:cs="Garamond"/>
          <w:sz w:val="24"/>
          <w:szCs w:val="24"/>
        </w:rPr>
        <w:t>orgán</w:t>
      </w:r>
      <w:r>
        <w:rPr>
          <w:rFonts w:ascii="Garamond" w:eastAsia="Garamond" w:hAnsi="Garamond" w:cs="Garamond"/>
          <w:sz w:val="24"/>
          <w:szCs w:val="24"/>
        </w:rPr>
        <w:t xml:space="preserve"> </w:t>
      </w:r>
      <w:r w:rsidR="006601E9" w:rsidRPr="00ED1AB3">
        <w:rPr>
          <w:rFonts w:ascii="Garamond" w:eastAsia="Garamond" w:hAnsi="Garamond" w:cs="Garamond"/>
          <w:sz w:val="24"/>
          <w:szCs w:val="24"/>
        </w:rPr>
        <w:t>I.</w:t>
      </w:r>
      <w:r>
        <w:rPr>
          <w:rFonts w:ascii="Garamond" w:eastAsia="Garamond" w:hAnsi="Garamond" w:cs="Garamond"/>
          <w:sz w:val="24"/>
          <w:szCs w:val="24"/>
        </w:rPr>
        <w:t xml:space="preserve"> </w:t>
      </w:r>
      <w:r w:rsidR="006601E9" w:rsidRPr="00ED1AB3">
        <w:rPr>
          <w:rFonts w:ascii="Garamond" w:eastAsia="Garamond" w:hAnsi="Garamond" w:cs="Garamond"/>
          <w:sz w:val="24"/>
          <w:szCs w:val="24"/>
        </w:rPr>
        <w:t>stupně“),</w:t>
      </w:r>
      <w:r>
        <w:rPr>
          <w:rFonts w:ascii="Garamond" w:eastAsia="Garamond" w:hAnsi="Garamond" w:cs="Garamond"/>
          <w:sz w:val="24"/>
          <w:szCs w:val="24"/>
        </w:rPr>
        <w:t xml:space="preserve"> </w:t>
      </w:r>
      <w:r w:rsidR="006601E9" w:rsidRPr="00ED1AB3">
        <w:rPr>
          <w:rFonts w:ascii="Garamond" w:eastAsia="Garamond" w:hAnsi="Garamond" w:cs="Garamond"/>
          <w:sz w:val="24"/>
          <w:szCs w:val="24"/>
        </w:rPr>
        <w:t>při</w:t>
      </w:r>
      <w:r>
        <w:rPr>
          <w:rFonts w:ascii="Garamond" w:eastAsia="Garamond" w:hAnsi="Garamond" w:cs="Garamond"/>
          <w:sz w:val="24"/>
          <w:szCs w:val="24"/>
        </w:rPr>
        <w:t xml:space="preserve"> </w:t>
      </w:r>
      <w:r w:rsidR="006601E9" w:rsidRPr="00ED1AB3">
        <w:rPr>
          <w:rFonts w:ascii="Garamond" w:eastAsia="Garamond" w:hAnsi="Garamond" w:cs="Garamond"/>
          <w:sz w:val="24"/>
          <w:szCs w:val="24"/>
        </w:rPr>
        <w:t>kontrole</w:t>
      </w:r>
      <w:r>
        <w:rPr>
          <w:rFonts w:ascii="Garamond" w:eastAsia="Garamond" w:hAnsi="Garamond" w:cs="Garamond"/>
          <w:sz w:val="24"/>
          <w:szCs w:val="24"/>
        </w:rPr>
        <w:t xml:space="preserve"> </w:t>
      </w:r>
      <w:r w:rsidR="006601E9" w:rsidRPr="00ED1AB3">
        <w:rPr>
          <w:rFonts w:ascii="Garamond" w:eastAsia="Garamond" w:hAnsi="Garamond" w:cs="Garamond"/>
          <w:sz w:val="24"/>
          <w:szCs w:val="24"/>
        </w:rPr>
        <w:t>dne</w:t>
      </w:r>
      <w:r>
        <w:rPr>
          <w:rFonts w:ascii="Garamond" w:eastAsia="Garamond" w:hAnsi="Garamond" w:cs="Garamond"/>
          <w:sz w:val="24"/>
          <w:szCs w:val="24"/>
        </w:rPr>
        <w:t xml:space="preserve"> </w:t>
      </w:r>
      <w:r w:rsidR="006601E9" w:rsidRPr="00ED1AB3">
        <w:rPr>
          <w:rFonts w:ascii="Garamond" w:eastAsia="Garamond" w:hAnsi="Garamond" w:cs="Garamond"/>
          <w:sz w:val="24"/>
          <w:szCs w:val="24"/>
        </w:rPr>
        <w:t>17. 4. 2014</w:t>
      </w:r>
      <w:r>
        <w:rPr>
          <w:rFonts w:ascii="Garamond" w:eastAsia="Garamond" w:hAnsi="Garamond" w:cs="Garamond"/>
          <w:sz w:val="24"/>
          <w:szCs w:val="24"/>
        </w:rPr>
        <w:t xml:space="preserve"> </w:t>
      </w:r>
      <w:r w:rsidR="006601E9" w:rsidRPr="00ED1AB3">
        <w:rPr>
          <w:rFonts w:ascii="Garamond" w:eastAsia="Garamond" w:hAnsi="Garamond" w:cs="Garamond"/>
          <w:sz w:val="24"/>
          <w:szCs w:val="24"/>
        </w:rPr>
        <w:t>zjistila,</w:t>
      </w:r>
      <w:r>
        <w:rPr>
          <w:rFonts w:ascii="Garamond" w:eastAsia="Garamond" w:hAnsi="Garamond" w:cs="Garamond"/>
          <w:sz w:val="24"/>
          <w:szCs w:val="24"/>
        </w:rPr>
        <w:t xml:space="preserve"> </w:t>
      </w:r>
      <w:r w:rsidR="006601E9" w:rsidRPr="00ED1AB3">
        <w:rPr>
          <w:rFonts w:ascii="Garamond" w:eastAsia="Garamond" w:hAnsi="Garamond" w:cs="Garamond"/>
          <w:sz w:val="24"/>
          <w:szCs w:val="24"/>
        </w:rPr>
        <w:t>že</w:t>
      </w:r>
      <w:r>
        <w:rPr>
          <w:rFonts w:ascii="Garamond" w:eastAsia="Garamond" w:hAnsi="Garamond" w:cs="Garamond"/>
          <w:sz w:val="24"/>
          <w:szCs w:val="24"/>
        </w:rPr>
        <w:t xml:space="preserve"> </w:t>
      </w:r>
      <w:r w:rsidR="006601E9" w:rsidRPr="00ED1AB3">
        <w:rPr>
          <w:rFonts w:ascii="Garamond" w:eastAsia="Garamond" w:hAnsi="Garamond" w:cs="Garamond"/>
          <w:sz w:val="24"/>
          <w:szCs w:val="24"/>
        </w:rPr>
        <w:t>žalobkyně</w:t>
      </w:r>
      <w:r w:rsidR="00ED15D5" w:rsidRPr="00ED1AB3">
        <w:rPr>
          <w:rFonts w:ascii="Garamond" w:eastAsia="Garamond" w:hAnsi="Garamond" w:cs="Garamond"/>
          <w:sz w:val="24"/>
          <w:szCs w:val="24"/>
        </w:rPr>
        <w:t xml:space="preserve"> </w:t>
      </w:r>
      <w:r w:rsidR="006601E9" w:rsidRPr="00ED1AB3">
        <w:rPr>
          <w:rFonts w:ascii="Garamond" w:eastAsia="Garamond" w:hAnsi="Garamond" w:cs="Garamond"/>
          <w:sz w:val="24"/>
          <w:szCs w:val="24"/>
        </w:rPr>
        <w:t xml:space="preserve">na vstupních dveřích své provozovny Hotel </w:t>
      </w:r>
      <w:proofErr w:type="spellStart"/>
      <w:r>
        <w:rPr>
          <w:rFonts w:ascii="Garamond" w:eastAsia="Garamond" w:hAnsi="Garamond" w:cs="Garamond"/>
          <w:sz w:val="24"/>
          <w:szCs w:val="24"/>
        </w:rPr>
        <w:t>Brioche</w:t>
      </w:r>
      <w:proofErr w:type="spellEnd"/>
      <w:r w:rsidR="006601E9" w:rsidRPr="00ED1AB3">
        <w:rPr>
          <w:rFonts w:ascii="Garamond" w:eastAsia="Garamond" w:hAnsi="Garamond" w:cs="Garamond"/>
          <w:sz w:val="24"/>
          <w:szCs w:val="24"/>
        </w:rPr>
        <w:t xml:space="preserve"> vyvěsila v češtině a angličtině následující informaci: „</w:t>
      </w:r>
      <w:r w:rsidR="007D3DCA">
        <w:rPr>
          <w:rFonts w:ascii="Garamond" w:eastAsia="Garamond" w:hAnsi="Garamond" w:cs="Garamond"/>
          <w:i/>
          <w:iCs/>
          <w:sz w:val="24"/>
          <w:szCs w:val="24"/>
        </w:rPr>
        <w:t>S </w:t>
      </w:r>
      <w:r w:rsidR="006601E9" w:rsidRPr="00ED1AB3">
        <w:rPr>
          <w:rFonts w:ascii="Garamond" w:eastAsia="Garamond" w:hAnsi="Garamond" w:cs="Garamond"/>
          <w:i/>
          <w:iCs/>
          <w:sz w:val="24"/>
          <w:szCs w:val="24"/>
        </w:rPr>
        <w:t>platností od 24. 3.</w:t>
      </w:r>
      <w:r w:rsidR="006601E9" w:rsidRPr="00ED1AB3">
        <w:rPr>
          <w:rFonts w:ascii="Garamond" w:eastAsia="Garamond" w:hAnsi="Garamond" w:cs="Garamond"/>
          <w:sz w:val="24"/>
          <w:szCs w:val="24"/>
        </w:rPr>
        <w:t xml:space="preserve"> </w:t>
      </w:r>
      <w:r w:rsidR="006601E9" w:rsidRPr="00ED1AB3">
        <w:rPr>
          <w:rFonts w:ascii="Garamond" w:eastAsia="Garamond" w:hAnsi="Garamond" w:cs="Garamond"/>
          <w:i/>
          <w:iCs/>
          <w:sz w:val="24"/>
          <w:szCs w:val="24"/>
        </w:rPr>
        <w:t>2014 neubytováváme občany Ruské federace. Důvodem je anexe Krymu.</w:t>
      </w:r>
      <w:r w:rsidR="006601E9" w:rsidRPr="00ED1AB3">
        <w:rPr>
          <w:rFonts w:ascii="Garamond" w:eastAsia="Garamond" w:hAnsi="Garamond" w:cs="Garamond"/>
          <w:sz w:val="24"/>
          <w:szCs w:val="24"/>
        </w:rPr>
        <w:t xml:space="preserve"> </w:t>
      </w:r>
      <w:r w:rsidR="006601E9" w:rsidRPr="00ED1AB3">
        <w:rPr>
          <w:rFonts w:ascii="Garamond" w:eastAsia="Garamond" w:hAnsi="Garamond" w:cs="Garamond"/>
          <w:i/>
          <w:iCs/>
          <w:sz w:val="24"/>
          <w:szCs w:val="24"/>
        </w:rPr>
        <w:t xml:space="preserve">Služby našeho hotelu mohou využít pouze ti občané RF, kteří se podepíší pod prohlášení, ve kterém vyjádří svůj nesouhlas s okupací Krymu, který odporuje všem normám, které by měly platit v 21. století. Váš hotel </w:t>
      </w:r>
      <w:proofErr w:type="spellStart"/>
      <w:r>
        <w:rPr>
          <w:rFonts w:ascii="Garamond" w:eastAsia="Garamond" w:hAnsi="Garamond" w:cs="Garamond"/>
          <w:i/>
          <w:iCs/>
          <w:sz w:val="24"/>
          <w:szCs w:val="24"/>
        </w:rPr>
        <w:t>Brioche</w:t>
      </w:r>
      <w:proofErr w:type="spellEnd"/>
      <w:r>
        <w:rPr>
          <w:rFonts w:ascii="Garamond" w:eastAsia="Garamond" w:hAnsi="Garamond" w:cs="Garamond"/>
          <w:sz w:val="24"/>
          <w:szCs w:val="24"/>
        </w:rPr>
        <w:t xml:space="preserve"> </w:t>
      </w:r>
      <w:proofErr w:type="spellStart"/>
      <w:r w:rsidR="006601E9" w:rsidRPr="00ED15D5">
        <w:rPr>
          <w:rFonts w:ascii="Garamond" w:eastAsia="Garamond" w:hAnsi="Garamond" w:cs="Garamond"/>
          <w:i/>
          <w:iCs/>
          <w:sz w:val="24"/>
          <w:szCs w:val="24"/>
        </w:rPr>
        <w:t>Boutique</w:t>
      </w:r>
      <w:proofErr w:type="spellEnd"/>
      <w:r w:rsidR="006601E9" w:rsidRPr="00ED15D5">
        <w:rPr>
          <w:rFonts w:ascii="Garamond" w:eastAsia="Garamond" w:hAnsi="Garamond" w:cs="Garamond"/>
          <w:sz w:val="24"/>
          <w:szCs w:val="24"/>
        </w:rPr>
        <w:t>“. Stejný text byl uveřejněn i na internetových stránkách hotelu. Inspektorka dále</w:t>
      </w:r>
      <w:r w:rsidR="006601E9" w:rsidRPr="00ED15D5">
        <w:rPr>
          <w:rFonts w:ascii="Garamond" w:eastAsia="Garamond" w:hAnsi="Garamond" w:cs="Garamond"/>
          <w:i/>
          <w:iCs/>
          <w:sz w:val="24"/>
          <w:szCs w:val="24"/>
        </w:rPr>
        <w:t xml:space="preserve"> </w:t>
      </w:r>
      <w:r>
        <w:rPr>
          <w:rFonts w:ascii="Garamond" w:eastAsia="Garamond" w:hAnsi="Garamond" w:cs="Garamond"/>
          <w:sz w:val="24"/>
          <w:szCs w:val="24"/>
        </w:rPr>
        <w:t>v </w:t>
      </w:r>
      <w:r w:rsidR="006601E9" w:rsidRPr="00ED15D5">
        <w:rPr>
          <w:rFonts w:ascii="Garamond" w:eastAsia="Garamond" w:hAnsi="Garamond" w:cs="Garamond"/>
          <w:sz w:val="24"/>
          <w:szCs w:val="24"/>
        </w:rPr>
        <w:t xml:space="preserve">postavení spotřebitelky provedla simulaci zájmu o ubytování svého přítele, </w:t>
      </w:r>
      <w:r>
        <w:rPr>
          <w:rFonts w:ascii="Garamond" w:eastAsia="Garamond" w:hAnsi="Garamond" w:cs="Garamond"/>
          <w:sz w:val="24"/>
          <w:szCs w:val="24"/>
        </w:rPr>
        <w:t>který pochází z </w:t>
      </w:r>
      <w:r w:rsidR="006601E9" w:rsidRPr="003C1871">
        <w:rPr>
          <w:rFonts w:ascii="Garamond" w:eastAsia="Garamond" w:hAnsi="Garamond" w:cs="Garamond"/>
          <w:sz w:val="24"/>
          <w:szCs w:val="24"/>
        </w:rPr>
        <w:t>R</w:t>
      </w:r>
      <w:r w:rsidR="006601E9" w:rsidRPr="00ED15D5">
        <w:rPr>
          <w:rFonts w:ascii="Garamond" w:eastAsia="Garamond" w:hAnsi="Garamond" w:cs="Garamond"/>
          <w:sz w:val="24"/>
          <w:szCs w:val="24"/>
        </w:rPr>
        <w:t>uska a přijede na návštěvu do Ostravy, v hotelu žalobkyně. Obsluhující recepční jí sdělila,</w:t>
      </w:r>
      <w:r w:rsidR="007D3DCA" w:rsidRPr="007D3DCA">
        <w:rPr>
          <w:rFonts w:ascii="Garamond" w:eastAsia="Garamond" w:hAnsi="Garamond" w:cs="Garamond"/>
          <w:sz w:val="24"/>
          <w:szCs w:val="24"/>
        </w:rPr>
        <w:t xml:space="preserve"> </w:t>
      </w:r>
      <w:r w:rsidR="007D3DCA" w:rsidRPr="00ED15D5">
        <w:rPr>
          <w:rFonts w:ascii="Garamond" w:eastAsia="Garamond" w:hAnsi="Garamond" w:cs="Garamond"/>
          <w:sz w:val="24"/>
          <w:szCs w:val="24"/>
        </w:rPr>
        <w:t>že přítele</w:t>
      </w:r>
      <w:r w:rsidR="007D3DCA" w:rsidRPr="007D3DCA">
        <w:rPr>
          <w:rFonts w:ascii="Garamond" w:eastAsia="Garamond" w:hAnsi="Garamond" w:cs="Garamond"/>
          <w:sz w:val="24"/>
          <w:szCs w:val="24"/>
        </w:rPr>
        <w:t xml:space="preserve"> </w:t>
      </w:r>
      <w:r w:rsidR="007D3DCA" w:rsidRPr="00ED15D5">
        <w:rPr>
          <w:rFonts w:ascii="Garamond" w:eastAsia="Garamond" w:hAnsi="Garamond" w:cs="Garamond"/>
          <w:sz w:val="24"/>
          <w:szCs w:val="24"/>
        </w:rPr>
        <w:t>ubytují</w:t>
      </w:r>
      <w:r w:rsidR="007D3DCA" w:rsidRPr="007D3DCA">
        <w:rPr>
          <w:rFonts w:ascii="Garamond" w:eastAsia="Garamond" w:hAnsi="Garamond" w:cs="Garamond"/>
          <w:sz w:val="24"/>
          <w:szCs w:val="24"/>
        </w:rPr>
        <w:t xml:space="preserve"> </w:t>
      </w:r>
      <w:r w:rsidR="007D3DCA" w:rsidRPr="00ED15D5">
        <w:rPr>
          <w:rFonts w:ascii="Garamond" w:eastAsia="Garamond" w:hAnsi="Garamond" w:cs="Garamond"/>
          <w:sz w:val="24"/>
          <w:szCs w:val="24"/>
        </w:rPr>
        <w:t>pod podmínkou</w:t>
      </w:r>
      <w:r w:rsidR="007D3DCA">
        <w:rPr>
          <w:rFonts w:ascii="Garamond" w:eastAsia="Garamond" w:hAnsi="Garamond" w:cs="Garamond"/>
          <w:sz w:val="24"/>
          <w:szCs w:val="24"/>
        </w:rPr>
        <w:t>,</w:t>
      </w:r>
      <w:r w:rsidR="00832458">
        <w:rPr>
          <w:rFonts w:ascii="Garamond" w:eastAsia="Garamond" w:hAnsi="Garamond" w:cs="Garamond"/>
          <w:sz w:val="24"/>
          <w:szCs w:val="24"/>
        </w:rPr>
        <w:br/>
      </w:r>
    </w:p>
    <w:p w:rsidR="00F97EE8" w:rsidRPr="00ED15D5" w:rsidRDefault="00F97EE8" w:rsidP="00832458">
      <w:pPr>
        <w:jc w:val="both"/>
        <w:sectPr w:rsidR="00F97EE8" w:rsidRPr="00ED15D5">
          <w:type w:val="continuous"/>
          <w:pgSz w:w="11900" w:h="16838"/>
          <w:pgMar w:top="677" w:right="1406" w:bottom="987" w:left="1417" w:header="0" w:footer="0" w:gutter="0"/>
          <w:cols w:space="708" w:equalWidth="0">
            <w:col w:w="9083"/>
          </w:cols>
        </w:sectPr>
      </w:pPr>
    </w:p>
    <w:p w:rsidR="00F97EE8" w:rsidRPr="00ED15D5" w:rsidRDefault="006601E9">
      <w:pPr>
        <w:ind w:left="7803"/>
        <w:rPr>
          <w:sz w:val="20"/>
          <w:szCs w:val="20"/>
        </w:rPr>
      </w:pPr>
      <w:bookmarkStart w:id="2" w:name="page2"/>
      <w:bookmarkEnd w:id="2"/>
      <w:r w:rsidRPr="00ED15D5">
        <w:rPr>
          <w:rFonts w:ascii="Garamond" w:eastAsia="Garamond" w:hAnsi="Garamond" w:cs="Garamond"/>
          <w:sz w:val="24"/>
          <w:szCs w:val="24"/>
        </w:rPr>
        <w:lastRenderedPageBreak/>
        <w:t>2 As 43/2018</w:t>
      </w:r>
    </w:p>
    <w:p w:rsidR="00F97EE8" w:rsidRPr="00ED15D5" w:rsidRDefault="00F97EE8">
      <w:pPr>
        <w:spacing w:line="200" w:lineRule="exact"/>
        <w:rPr>
          <w:sz w:val="20"/>
          <w:szCs w:val="20"/>
        </w:rPr>
      </w:pPr>
    </w:p>
    <w:p w:rsidR="00F97EE8" w:rsidRPr="00ED15D5" w:rsidRDefault="00F97EE8">
      <w:pPr>
        <w:spacing w:line="238" w:lineRule="exact"/>
        <w:rPr>
          <w:sz w:val="20"/>
          <w:szCs w:val="20"/>
        </w:rPr>
      </w:pPr>
    </w:p>
    <w:p w:rsidR="00F97EE8" w:rsidRPr="00ED15D5" w:rsidRDefault="006601E9" w:rsidP="00ED1AB3">
      <w:pPr>
        <w:spacing w:line="258" w:lineRule="auto"/>
        <w:jc w:val="both"/>
        <w:rPr>
          <w:sz w:val="20"/>
          <w:szCs w:val="20"/>
        </w:rPr>
      </w:pPr>
      <w:r w:rsidRPr="00ED15D5">
        <w:rPr>
          <w:rFonts w:ascii="Garamond" w:eastAsia="Garamond" w:hAnsi="Garamond" w:cs="Garamond"/>
          <w:sz w:val="24"/>
          <w:szCs w:val="24"/>
        </w:rPr>
        <w:t xml:space="preserve">že podepíše prohlášení ve znění: </w:t>
      </w:r>
      <w:r w:rsidRPr="00ED15D5">
        <w:rPr>
          <w:rFonts w:ascii="Garamond" w:eastAsia="Garamond" w:hAnsi="Garamond" w:cs="Garamond"/>
          <w:i/>
          <w:iCs/>
          <w:sz w:val="24"/>
          <w:szCs w:val="24"/>
        </w:rPr>
        <w:t>„Prohlašuji tímto, že nesouhlasím</w:t>
      </w:r>
      <w:r w:rsidRPr="00ED15D5">
        <w:rPr>
          <w:rFonts w:ascii="Garamond" w:eastAsia="Garamond" w:hAnsi="Garamond" w:cs="Garamond"/>
          <w:sz w:val="24"/>
          <w:szCs w:val="24"/>
        </w:rPr>
        <w:t xml:space="preserve"> </w:t>
      </w:r>
      <w:r w:rsidRPr="00ED15D5">
        <w:rPr>
          <w:rFonts w:ascii="Garamond" w:eastAsia="Garamond" w:hAnsi="Garamond" w:cs="Garamond"/>
          <w:i/>
          <w:iCs/>
          <w:sz w:val="24"/>
          <w:szCs w:val="24"/>
        </w:rPr>
        <w:t>jako občan Ruské federace s okupací Krymu, který odporuje všem normám, které by měly platit v 21. století. Jméno a příjmení, adresa a podpis.</w:t>
      </w:r>
      <w:r w:rsidRPr="00ED15D5">
        <w:rPr>
          <w:rFonts w:ascii="Garamond" w:eastAsia="Garamond" w:hAnsi="Garamond" w:cs="Garamond"/>
          <w:sz w:val="24"/>
          <w:szCs w:val="24"/>
        </w:rPr>
        <w:t>“</w:t>
      </w:r>
    </w:p>
    <w:p w:rsidR="00F97EE8" w:rsidRPr="00ED15D5" w:rsidRDefault="00F97EE8">
      <w:pPr>
        <w:spacing w:line="211" w:lineRule="exact"/>
        <w:rPr>
          <w:sz w:val="20"/>
          <w:szCs w:val="20"/>
        </w:rPr>
      </w:pPr>
    </w:p>
    <w:p w:rsidR="00F97EE8" w:rsidRPr="00ED15D5" w:rsidRDefault="00ED1AB3" w:rsidP="00ED1AB3">
      <w:pPr>
        <w:tabs>
          <w:tab w:val="left" w:pos="703"/>
        </w:tabs>
        <w:jc w:val="both"/>
        <w:rPr>
          <w:rFonts w:ascii="Garamond" w:eastAsia="Garamond" w:hAnsi="Garamond" w:cs="Garamond"/>
          <w:sz w:val="24"/>
          <w:szCs w:val="24"/>
        </w:rPr>
      </w:pPr>
      <w:r>
        <w:rPr>
          <w:rFonts w:ascii="Garamond" w:eastAsia="Garamond" w:hAnsi="Garamond" w:cs="Garamond"/>
          <w:sz w:val="24"/>
          <w:szCs w:val="24"/>
        </w:rPr>
        <w:t>[2]</w:t>
      </w:r>
      <w:r>
        <w:rPr>
          <w:rFonts w:ascii="Garamond" w:eastAsia="Garamond" w:hAnsi="Garamond" w:cs="Garamond"/>
          <w:sz w:val="24"/>
          <w:szCs w:val="24"/>
        </w:rPr>
        <w:tab/>
        <w:t>Správní o</w:t>
      </w:r>
      <w:r w:rsidR="006601E9" w:rsidRPr="00ED15D5">
        <w:rPr>
          <w:rFonts w:ascii="Garamond" w:eastAsia="Garamond" w:hAnsi="Garamond" w:cs="Garamond"/>
          <w:sz w:val="24"/>
          <w:szCs w:val="24"/>
        </w:rPr>
        <w:t xml:space="preserve">rgán I. </w:t>
      </w:r>
      <w:r>
        <w:rPr>
          <w:rFonts w:ascii="Garamond" w:eastAsia="Garamond" w:hAnsi="Garamond" w:cs="Garamond"/>
          <w:sz w:val="24"/>
          <w:szCs w:val="24"/>
        </w:rPr>
        <w:t xml:space="preserve">stupně </w:t>
      </w:r>
      <w:r w:rsidR="006601E9" w:rsidRPr="00ED15D5">
        <w:rPr>
          <w:rFonts w:ascii="Garamond" w:eastAsia="Garamond" w:hAnsi="Garamond" w:cs="Garamond"/>
          <w:sz w:val="24"/>
          <w:szCs w:val="24"/>
        </w:rPr>
        <w:t>kvalifikoval</w:t>
      </w:r>
      <w:r>
        <w:rPr>
          <w:rFonts w:ascii="Garamond" w:eastAsia="Garamond" w:hAnsi="Garamond" w:cs="Garamond"/>
          <w:sz w:val="24"/>
          <w:szCs w:val="24"/>
        </w:rPr>
        <w:t xml:space="preserve"> </w:t>
      </w:r>
      <w:r w:rsidR="006601E9" w:rsidRPr="00ED15D5">
        <w:rPr>
          <w:rFonts w:ascii="Garamond" w:eastAsia="Garamond" w:hAnsi="Garamond" w:cs="Garamond"/>
          <w:sz w:val="24"/>
          <w:szCs w:val="24"/>
        </w:rPr>
        <w:t>jednání</w:t>
      </w:r>
      <w:r>
        <w:rPr>
          <w:rFonts w:ascii="Garamond" w:eastAsia="Garamond" w:hAnsi="Garamond" w:cs="Garamond"/>
          <w:sz w:val="24"/>
          <w:szCs w:val="24"/>
        </w:rPr>
        <w:t xml:space="preserve"> </w:t>
      </w:r>
      <w:r w:rsidR="006601E9" w:rsidRPr="00ED15D5">
        <w:rPr>
          <w:rFonts w:ascii="Garamond" w:eastAsia="Garamond" w:hAnsi="Garamond" w:cs="Garamond"/>
          <w:sz w:val="24"/>
          <w:szCs w:val="24"/>
        </w:rPr>
        <w:t>žalobkyně</w:t>
      </w:r>
      <w:r>
        <w:rPr>
          <w:rFonts w:ascii="Garamond" w:eastAsia="Garamond" w:hAnsi="Garamond" w:cs="Garamond"/>
          <w:sz w:val="24"/>
          <w:szCs w:val="24"/>
        </w:rPr>
        <w:t xml:space="preserve"> </w:t>
      </w:r>
      <w:r w:rsidR="006601E9" w:rsidRPr="00ED15D5">
        <w:rPr>
          <w:rFonts w:ascii="Garamond" w:eastAsia="Garamond" w:hAnsi="Garamond" w:cs="Garamond"/>
          <w:sz w:val="24"/>
          <w:szCs w:val="24"/>
        </w:rPr>
        <w:t>jako</w:t>
      </w:r>
      <w:r>
        <w:rPr>
          <w:rFonts w:ascii="Garamond" w:eastAsia="Garamond" w:hAnsi="Garamond" w:cs="Garamond"/>
          <w:sz w:val="24"/>
          <w:szCs w:val="24"/>
        </w:rPr>
        <w:t xml:space="preserve"> </w:t>
      </w:r>
      <w:r w:rsidR="006601E9" w:rsidRPr="00ED15D5">
        <w:rPr>
          <w:rFonts w:ascii="Garamond" w:eastAsia="Garamond" w:hAnsi="Garamond" w:cs="Garamond"/>
          <w:sz w:val="24"/>
          <w:szCs w:val="24"/>
        </w:rPr>
        <w:t>porušení</w:t>
      </w:r>
      <w:r>
        <w:rPr>
          <w:rFonts w:ascii="Garamond" w:eastAsia="Garamond" w:hAnsi="Garamond" w:cs="Garamond"/>
          <w:sz w:val="24"/>
          <w:szCs w:val="24"/>
        </w:rPr>
        <w:t xml:space="preserve"> </w:t>
      </w:r>
      <w:r w:rsidR="006601E9" w:rsidRPr="00ED15D5">
        <w:rPr>
          <w:rFonts w:ascii="Garamond" w:eastAsia="Garamond" w:hAnsi="Garamond" w:cs="Garamond"/>
          <w:sz w:val="24"/>
          <w:szCs w:val="24"/>
        </w:rPr>
        <w:t>zákazu</w:t>
      </w:r>
      <w:r>
        <w:rPr>
          <w:rFonts w:ascii="Garamond" w:eastAsia="Garamond" w:hAnsi="Garamond" w:cs="Garamond"/>
          <w:sz w:val="24"/>
          <w:szCs w:val="24"/>
        </w:rPr>
        <w:t xml:space="preserve"> </w:t>
      </w:r>
      <w:r w:rsidR="006601E9" w:rsidRPr="00ED1AB3">
        <w:rPr>
          <w:rFonts w:ascii="Garamond" w:eastAsia="Garamond" w:hAnsi="Garamond" w:cs="Garamond"/>
          <w:sz w:val="24"/>
          <w:szCs w:val="24"/>
        </w:rPr>
        <w:t>diskriminace uvedeného</w:t>
      </w:r>
      <w:r>
        <w:rPr>
          <w:rFonts w:ascii="Garamond" w:eastAsia="Garamond" w:hAnsi="Garamond" w:cs="Garamond"/>
          <w:sz w:val="24"/>
          <w:szCs w:val="24"/>
        </w:rPr>
        <w:t xml:space="preserve"> </w:t>
      </w:r>
      <w:r w:rsidR="006601E9" w:rsidRPr="00ED1AB3">
        <w:rPr>
          <w:rFonts w:ascii="Garamond" w:eastAsia="Garamond" w:hAnsi="Garamond" w:cs="Garamond"/>
          <w:sz w:val="24"/>
          <w:szCs w:val="24"/>
        </w:rPr>
        <w:t>v</w:t>
      </w:r>
      <w:r>
        <w:rPr>
          <w:rFonts w:ascii="Garamond" w:eastAsia="Garamond" w:hAnsi="Garamond" w:cs="Garamond"/>
          <w:sz w:val="24"/>
          <w:szCs w:val="24"/>
        </w:rPr>
        <w:t xml:space="preserve"> </w:t>
      </w:r>
      <w:r w:rsidR="006601E9" w:rsidRPr="00ED1AB3">
        <w:rPr>
          <w:rFonts w:ascii="Garamond" w:eastAsia="Garamond" w:hAnsi="Garamond" w:cs="Garamond"/>
          <w:sz w:val="24"/>
          <w:szCs w:val="24"/>
        </w:rPr>
        <w:t>§ 6</w:t>
      </w:r>
      <w:r>
        <w:rPr>
          <w:rFonts w:ascii="Garamond" w:eastAsia="Garamond" w:hAnsi="Garamond" w:cs="Garamond"/>
          <w:sz w:val="24"/>
          <w:szCs w:val="24"/>
        </w:rPr>
        <w:t xml:space="preserve"> </w:t>
      </w:r>
      <w:r w:rsidR="006601E9" w:rsidRPr="00ED1AB3">
        <w:rPr>
          <w:rFonts w:ascii="Garamond" w:eastAsia="Garamond" w:hAnsi="Garamond" w:cs="Garamond"/>
          <w:sz w:val="24"/>
          <w:szCs w:val="24"/>
        </w:rPr>
        <w:t>zákona</w:t>
      </w:r>
      <w:r>
        <w:rPr>
          <w:rFonts w:ascii="Garamond" w:eastAsia="Garamond" w:hAnsi="Garamond" w:cs="Garamond"/>
          <w:sz w:val="24"/>
          <w:szCs w:val="24"/>
        </w:rPr>
        <w:t xml:space="preserve"> </w:t>
      </w:r>
      <w:r w:rsidR="006601E9" w:rsidRPr="00ED1AB3">
        <w:rPr>
          <w:rFonts w:ascii="Garamond" w:eastAsia="Garamond" w:hAnsi="Garamond" w:cs="Garamond"/>
          <w:sz w:val="24"/>
          <w:szCs w:val="24"/>
        </w:rPr>
        <w:t>č. 634/1992</w:t>
      </w:r>
      <w:r>
        <w:rPr>
          <w:rFonts w:ascii="Garamond" w:eastAsia="Garamond" w:hAnsi="Garamond" w:cs="Garamond"/>
          <w:sz w:val="24"/>
          <w:szCs w:val="24"/>
        </w:rPr>
        <w:t xml:space="preserve"> </w:t>
      </w:r>
      <w:r w:rsidR="006601E9" w:rsidRPr="00ED1AB3">
        <w:rPr>
          <w:rFonts w:ascii="Garamond" w:eastAsia="Garamond" w:hAnsi="Garamond" w:cs="Garamond"/>
          <w:sz w:val="24"/>
          <w:szCs w:val="24"/>
        </w:rPr>
        <w:t>Sb.,</w:t>
      </w:r>
      <w:r>
        <w:rPr>
          <w:rFonts w:ascii="Garamond" w:eastAsia="Garamond" w:hAnsi="Garamond" w:cs="Garamond"/>
          <w:sz w:val="24"/>
          <w:szCs w:val="24"/>
        </w:rPr>
        <w:t xml:space="preserve"> </w:t>
      </w:r>
      <w:r w:rsidR="006601E9" w:rsidRPr="00ED1AB3">
        <w:rPr>
          <w:rFonts w:ascii="Garamond" w:eastAsia="Garamond" w:hAnsi="Garamond" w:cs="Garamond"/>
          <w:sz w:val="24"/>
          <w:szCs w:val="24"/>
        </w:rPr>
        <w:t>o</w:t>
      </w:r>
      <w:r>
        <w:rPr>
          <w:rFonts w:ascii="Garamond" w:eastAsia="Garamond" w:hAnsi="Garamond" w:cs="Garamond"/>
          <w:sz w:val="24"/>
          <w:szCs w:val="24"/>
        </w:rPr>
        <w:t xml:space="preserve"> </w:t>
      </w:r>
      <w:r w:rsidR="006601E9" w:rsidRPr="00ED1AB3">
        <w:rPr>
          <w:rFonts w:ascii="Garamond" w:eastAsia="Garamond" w:hAnsi="Garamond" w:cs="Garamond"/>
          <w:sz w:val="24"/>
          <w:szCs w:val="24"/>
        </w:rPr>
        <w:t>ochraně</w:t>
      </w:r>
      <w:r>
        <w:rPr>
          <w:rFonts w:ascii="Garamond" w:eastAsia="Garamond" w:hAnsi="Garamond" w:cs="Garamond"/>
          <w:sz w:val="24"/>
          <w:szCs w:val="24"/>
        </w:rPr>
        <w:t xml:space="preserve"> </w:t>
      </w:r>
      <w:r w:rsidR="006601E9" w:rsidRPr="00ED1AB3">
        <w:rPr>
          <w:rFonts w:ascii="Garamond" w:eastAsia="Garamond" w:hAnsi="Garamond" w:cs="Garamond"/>
          <w:sz w:val="24"/>
          <w:szCs w:val="24"/>
        </w:rPr>
        <w:t>spotřebitele,</w:t>
      </w:r>
      <w:r>
        <w:rPr>
          <w:rFonts w:ascii="Garamond" w:eastAsia="Garamond" w:hAnsi="Garamond" w:cs="Garamond"/>
          <w:sz w:val="24"/>
          <w:szCs w:val="24"/>
        </w:rPr>
        <w:t xml:space="preserve"> </w:t>
      </w:r>
      <w:r w:rsidR="006601E9" w:rsidRPr="00ED1AB3">
        <w:rPr>
          <w:rFonts w:ascii="Garamond" w:eastAsia="Garamond" w:hAnsi="Garamond" w:cs="Garamond"/>
          <w:sz w:val="24"/>
          <w:szCs w:val="24"/>
        </w:rPr>
        <w:t>v</w:t>
      </w:r>
      <w:r w:rsidRPr="00ED1AB3">
        <w:rPr>
          <w:rFonts w:ascii="Garamond" w:eastAsia="Garamond" w:hAnsi="Garamond" w:cs="Garamond"/>
          <w:sz w:val="24"/>
          <w:szCs w:val="24"/>
        </w:rPr>
        <w:t> </w:t>
      </w:r>
      <w:r w:rsidR="006601E9" w:rsidRPr="00ED1AB3">
        <w:rPr>
          <w:rFonts w:ascii="Garamond" w:eastAsia="Garamond" w:hAnsi="Garamond" w:cs="Garamond"/>
          <w:sz w:val="24"/>
          <w:szCs w:val="24"/>
        </w:rPr>
        <w:t>tehdy</w:t>
      </w:r>
      <w:r w:rsidRPr="00ED1AB3">
        <w:rPr>
          <w:rFonts w:ascii="Garamond" w:eastAsia="Garamond" w:hAnsi="Garamond" w:cs="Garamond"/>
          <w:sz w:val="24"/>
          <w:szCs w:val="24"/>
        </w:rPr>
        <w:t xml:space="preserve"> </w:t>
      </w:r>
      <w:r w:rsidR="006601E9" w:rsidRPr="00ED1AB3">
        <w:rPr>
          <w:rFonts w:ascii="Garamond" w:eastAsia="Garamond" w:hAnsi="Garamond" w:cs="Garamond"/>
          <w:sz w:val="24"/>
          <w:szCs w:val="24"/>
        </w:rPr>
        <w:t>účinném znění (dále jen „zákon o ochraně spotřebitele“). Rozhodnutím ze dne 9. 7. 2014, č. j. ČOI 76009/14/4000, ji proto shledal vinnou ze spáchání správního deliktu podle</w:t>
      </w:r>
      <w:r>
        <w:rPr>
          <w:rFonts w:ascii="Garamond" w:eastAsia="Garamond" w:hAnsi="Garamond" w:cs="Garamond"/>
          <w:sz w:val="24"/>
          <w:szCs w:val="24"/>
        </w:rPr>
        <w:t xml:space="preserve"> § </w:t>
      </w:r>
      <w:r w:rsidR="006601E9" w:rsidRPr="00ED15D5">
        <w:rPr>
          <w:rFonts w:ascii="Garamond" w:eastAsia="Garamond" w:hAnsi="Garamond" w:cs="Garamond"/>
          <w:sz w:val="24"/>
          <w:szCs w:val="24"/>
        </w:rPr>
        <w:t>24 odst. 7 písm. c) téhož zákona, za což jí uložil pokutu ve výši 50.000 Kč. Odvolání žalobkyně proti tomuto rozhodnutí žalovaná zamítla v záhlaví označeným rozhodnutím (dále jen „napadené rozhodnutí“).</w:t>
      </w:r>
    </w:p>
    <w:p w:rsidR="00F97EE8" w:rsidRPr="00ED15D5" w:rsidRDefault="00F97EE8">
      <w:pPr>
        <w:spacing w:line="213" w:lineRule="exact"/>
        <w:rPr>
          <w:sz w:val="20"/>
          <w:szCs w:val="20"/>
        </w:rPr>
      </w:pPr>
    </w:p>
    <w:p w:rsidR="00F97EE8" w:rsidRPr="00ED15D5" w:rsidRDefault="006601E9" w:rsidP="00ED1AB3">
      <w:pPr>
        <w:tabs>
          <w:tab w:val="left" w:pos="682"/>
        </w:tabs>
        <w:ind w:left="3"/>
        <w:jc w:val="both"/>
        <w:rPr>
          <w:sz w:val="20"/>
          <w:szCs w:val="20"/>
        </w:rPr>
      </w:pPr>
      <w:r w:rsidRPr="00ED15D5">
        <w:rPr>
          <w:rFonts w:ascii="Garamond" w:eastAsia="Garamond" w:hAnsi="Garamond" w:cs="Garamond"/>
          <w:sz w:val="24"/>
          <w:szCs w:val="24"/>
        </w:rPr>
        <w:t>[3]</w:t>
      </w:r>
      <w:r w:rsidRPr="00ED15D5">
        <w:rPr>
          <w:sz w:val="20"/>
          <w:szCs w:val="20"/>
        </w:rPr>
        <w:tab/>
      </w:r>
      <w:r w:rsidRPr="00ED15D5">
        <w:rPr>
          <w:rFonts w:ascii="Garamond" w:eastAsia="Garamond" w:hAnsi="Garamond" w:cs="Garamond"/>
          <w:sz w:val="24"/>
          <w:szCs w:val="24"/>
        </w:rPr>
        <w:t>Krajský</w:t>
      </w:r>
      <w:r w:rsidR="00ED1AB3">
        <w:rPr>
          <w:rFonts w:ascii="Garamond" w:eastAsia="Garamond" w:hAnsi="Garamond" w:cs="Garamond"/>
          <w:sz w:val="24"/>
          <w:szCs w:val="24"/>
        </w:rPr>
        <w:t xml:space="preserve"> </w:t>
      </w:r>
      <w:r w:rsidRPr="00ED15D5">
        <w:rPr>
          <w:rFonts w:ascii="Garamond" w:eastAsia="Garamond" w:hAnsi="Garamond" w:cs="Garamond"/>
          <w:sz w:val="24"/>
          <w:szCs w:val="24"/>
        </w:rPr>
        <w:t>soud</w:t>
      </w:r>
      <w:r w:rsidR="00ED1AB3">
        <w:rPr>
          <w:rFonts w:ascii="Garamond" w:eastAsia="Garamond" w:hAnsi="Garamond" w:cs="Garamond"/>
          <w:sz w:val="24"/>
          <w:szCs w:val="24"/>
        </w:rPr>
        <w:t xml:space="preserve"> </w:t>
      </w:r>
      <w:r w:rsidRPr="00ED15D5">
        <w:rPr>
          <w:rFonts w:ascii="Garamond" w:eastAsia="Garamond" w:hAnsi="Garamond" w:cs="Garamond"/>
          <w:sz w:val="24"/>
          <w:szCs w:val="24"/>
        </w:rPr>
        <w:t>v Ostravě</w:t>
      </w:r>
      <w:r w:rsidR="00ED1AB3">
        <w:rPr>
          <w:rFonts w:ascii="Garamond" w:eastAsia="Garamond" w:hAnsi="Garamond" w:cs="Garamond"/>
          <w:sz w:val="24"/>
          <w:szCs w:val="24"/>
        </w:rPr>
        <w:t xml:space="preserve"> </w:t>
      </w:r>
      <w:r w:rsidRPr="00ED15D5">
        <w:rPr>
          <w:rFonts w:ascii="Garamond" w:eastAsia="Garamond" w:hAnsi="Garamond" w:cs="Garamond"/>
          <w:sz w:val="24"/>
          <w:szCs w:val="24"/>
        </w:rPr>
        <w:t>(dále</w:t>
      </w:r>
      <w:r w:rsidR="00ED1AB3">
        <w:rPr>
          <w:rFonts w:ascii="Garamond" w:eastAsia="Garamond" w:hAnsi="Garamond" w:cs="Garamond"/>
          <w:sz w:val="24"/>
          <w:szCs w:val="24"/>
        </w:rPr>
        <w:t xml:space="preserve"> </w:t>
      </w:r>
      <w:r w:rsidRPr="00ED15D5">
        <w:rPr>
          <w:rFonts w:ascii="Garamond" w:eastAsia="Garamond" w:hAnsi="Garamond" w:cs="Garamond"/>
          <w:sz w:val="24"/>
          <w:szCs w:val="24"/>
        </w:rPr>
        <w:t>jen</w:t>
      </w:r>
      <w:r w:rsidR="00ED1AB3">
        <w:rPr>
          <w:rFonts w:ascii="Garamond" w:eastAsia="Garamond" w:hAnsi="Garamond" w:cs="Garamond"/>
          <w:sz w:val="24"/>
          <w:szCs w:val="24"/>
        </w:rPr>
        <w:t xml:space="preserve"> </w:t>
      </w:r>
      <w:r w:rsidRPr="00ED15D5">
        <w:rPr>
          <w:rFonts w:ascii="Garamond" w:eastAsia="Garamond" w:hAnsi="Garamond" w:cs="Garamond"/>
          <w:sz w:val="24"/>
          <w:szCs w:val="24"/>
        </w:rPr>
        <w:t>„krajský</w:t>
      </w:r>
      <w:r w:rsidR="00ED1AB3">
        <w:rPr>
          <w:rFonts w:ascii="Garamond" w:eastAsia="Garamond" w:hAnsi="Garamond" w:cs="Garamond"/>
          <w:sz w:val="24"/>
          <w:szCs w:val="24"/>
        </w:rPr>
        <w:t xml:space="preserve"> </w:t>
      </w:r>
      <w:r w:rsidRPr="00ED15D5">
        <w:rPr>
          <w:rFonts w:ascii="Garamond" w:eastAsia="Garamond" w:hAnsi="Garamond" w:cs="Garamond"/>
          <w:sz w:val="24"/>
          <w:szCs w:val="24"/>
        </w:rPr>
        <w:t>soud“)</w:t>
      </w:r>
      <w:r w:rsidR="00ED1AB3">
        <w:rPr>
          <w:rFonts w:ascii="Garamond" w:eastAsia="Garamond" w:hAnsi="Garamond" w:cs="Garamond"/>
          <w:sz w:val="24"/>
          <w:szCs w:val="24"/>
        </w:rPr>
        <w:t xml:space="preserve"> </w:t>
      </w:r>
      <w:r w:rsidRPr="00ED15D5">
        <w:rPr>
          <w:rFonts w:ascii="Garamond" w:eastAsia="Garamond" w:hAnsi="Garamond" w:cs="Garamond"/>
          <w:sz w:val="24"/>
          <w:szCs w:val="24"/>
        </w:rPr>
        <w:t>rozsudkem</w:t>
      </w:r>
      <w:r w:rsidR="00ED1AB3">
        <w:rPr>
          <w:rFonts w:ascii="Garamond" w:eastAsia="Garamond" w:hAnsi="Garamond" w:cs="Garamond"/>
          <w:sz w:val="24"/>
          <w:szCs w:val="24"/>
        </w:rPr>
        <w:t xml:space="preserve"> </w:t>
      </w:r>
      <w:r w:rsidRPr="00ED15D5">
        <w:rPr>
          <w:rFonts w:ascii="Garamond" w:eastAsia="Garamond" w:hAnsi="Garamond" w:cs="Garamond"/>
          <w:sz w:val="24"/>
          <w:szCs w:val="24"/>
        </w:rPr>
        <w:t>ze</w:t>
      </w:r>
      <w:r w:rsidR="00ED1AB3">
        <w:rPr>
          <w:rFonts w:ascii="Garamond" w:eastAsia="Garamond" w:hAnsi="Garamond" w:cs="Garamond"/>
          <w:sz w:val="24"/>
          <w:szCs w:val="24"/>
        </w:rPr>
        <w:t xml:space="preserve"> </w:t>
      </w:r>
      <w:r w:rsidRPr="00ED15D5">
        <w:rPr>
          <w:rFonts w:ascii="Garamond" w:eastAsia="Garamond" w:hAnsi="Garamond" w:cs="Garamond"/>
          <w:sz w:val="24"/>
          <w:szCs w:val="24"/>
        </w:rPr>
        <w:t>dne</w:t>
      </w:r>
      <w:r w:rsidR="00ED1AB3">
        <w:rPr>
          <w:rFonts w:ascii="Garamond" w:eastAsia="Garamond" w:hAnsi="Garamond" w:cs="Garamond"/>
          <w:sz w:val="24"/>
          <w:szCs w:val="24"/>
        </w:rPr>
        <w:t xml:space="preserve"> </w:t>
      </w:r>
      <w:r w:rsidRPr="00ED15D5">
        <w:rPr>
          <w:rFonts w:ascii="Garamond" w:eastAsia="Garamond" w:hAnsi="Garamond" w:cs="Garamond"/>
          <w:sz w:val="24"/>
          <w:szCs w:val="24"/>
        </w:rPr>
        <w:t>1. 11. 2016,</w:t>
      </w:r>
      <w:r w:rsidR="00ED1AB3">
        <w:rPr>
          <w:sz w:val="20"/>
          <w:szCs w:val="20"/>
        </w:rPr>
        <w:t xml:space="preserve"> č. </w:t>
      </w:r>
      <w:r w:rsidRPr="00ED15D5">
        <w:rPr>
          <w:rFonts w:ascii="Garamond" w:eastAsia="Garamond" w:hAnsi="Garamond" w:cs="Garamond"/>
          <w:sz w:val="24"/>
          <w:szCs w:val="24"/>
        </w:rPr>
        <w:t>j. 22 A 117/2014 – 36, zrušil napadené rozhodnutí a věc vrátil ž</w:t>
      </w:r>
      <w:r w:rsidR="00ED1AB3">
        <w:rPr>
          <w:rFonts w:ascii="Garamond" w:eastAsia="Garamond" w:hAnsi="Garamond" w:cs="Garamond"/>
          <w:sz w:val="24"/>
          <w:szCs w:val="24"/>
        </w:rPr>
        <w:t xml:space="preserve">alované k dalšímu řízení, neboť </w:t>
      </w:r>
      <w:r w:rsidRPr="00ED15D5">
        <w:rPr>
          <w:rFonts w:ascii="Garamond" w:eastAsia="Garamond" w:hAnsi="Garamond" w:cs="Garamond"/>
          <w:sz w:val="24"/>
          <w:szCs w:val="24"/>
        </w:rPr>
        <w:t>dovodil, že správní orgány byly při posuzování zákazu diskriminace dle zákona o ochraně</w:t>
      </w:r>
      <w:r w:rsidR="00ED1AB3">
        <w:rPr>
          <w:sz w:val="20"/>
          <w:szCs w:val="20"/>
        </w:rPr>
        <w:t xml:space="preserve"> </w:t>
      </w:r>
      <w:r w:rsidRPr="00ED15D5">
        <w:rPr>
          <w:rFonts w:ascii="Garamond" w:eastAsia="Garamond" w:hAnsi="Garamond" w:cs="Garamond"/>
          <w:sz w:val="24"/>
          <w:szCs w:val="24"/>
        </w:rPr>
        <w:t>spotřebitele vázány jen diskriminačními důvody vyjmenovanými v zákoně č. 198/2009 Sb., o rovném zacházení a o právních prostředcích ochrany před diskriminací a o změně některých zákonů (antidiskriminační zákon), v tehdy účinném znění (dále jen „antidiskriminační zákon“), a proto nemohlo rozdílné zacházení na základě státní příslušnosti vést k porušení § 6 zákona o ochraně spotřebitele. Tento rozsudek Nejvyšší správní soud na základě kasační stížnosti žalované zrušil rozsudkem ze dne 16. 8. 2017, č. j. 2 As 338/2016 – 27, a věc vrátil krajskému soudu k dalšímu řízení se závazným právním názorem, že ustanovení § 6 zákona o ochraně spotřebitele zakazuje diskriminaci spotřebitele při prodeji výrobků a poskytování služeb i z jiných důvodů než pouze těch, které jsou vyjmenovány v antidiskriminačním zákoně.</w:t>
      </w:r>
      <w:r w:rsidR="00671622">
        <w:rPr>
          <w:rFonts w:ascii="Garamond" w:eastAsia="Garamond" w:hAnsi="Garamond" w:cs="Garamond"/>
          <w:sz w:val="24"/>
          <w:szCs w:val="24"/>
        </w:rPr>
        <w:t xml:space="preserve"> Nejvyšší správní soud rovněž zavázal krajský soud k významnému snížení udělené pokuty s ohledem na existenci legitimního cíle jednání žalobkyně (tj. výkon svobody projevu)</w:t>
      </w:r>
      <w:r w:rsidR="00901B3F">
        <w:rPr>
          <w:rFonts w:ascii="Garamond" w:eastAsia="Garamond" w:hAnsi="Garamond" w:cs="Garamond"/>
          <w:sz w:val="24"/>
          <w:szCs w:val="24"/>
        </w:rPr>
        <w:t>, a to alespoň o polovinu.</w:t>
      </w:r>
    </w:p>
    <w:p w:rsidR="00F97EE8" w:rsidRPr="00ED15D5" w:rsidRDefault="00F97EE8">
      <w:pPr>
        <w:spacing w:line="230" w:lineRule="exact"/>
        <w:rPr>
          <w:sz w:val="20"/>
          <w:szCs w:val="20"/>
        </w:rPr>
      </w:pPr>
    </w:p>
    <w:p w:rsidR="003C1871" w:rsidRPr="00ED15D5" w:rsidRDefault="00ED1AB3" w:rsidP="003C1871">
      <w:pPr>
        <w:jc w:val="both"/>
        <w:rPr>
          <w:sz w:val="20"/>
          <w:szCs w:val="20"/>
        </w:rPr>
      </w:pPr>
      <w:r>
        <w:rPr>
          <w:rFonts w:ascii="Garamond" w:eastAsia="Garamond" w:hAnsi="Garamond" w:cs="Garamond"/>
          <w:sz w:val="24"/>
          <w:szCs w:val="24"/>
        </w:rPr>
        <w:t>[4]</w:t>
      </w:r>
      <w:r>
        <w:rPr>
          <w:rFonts w:ascii="Garamond" w:eastAsia="Garamond" w:hAnsi="Garamond" w:cs="Garamond"/>
          <w:sz w:val="24"/>
          <w:szCs w:val="24"/>
        </w:rPr>
        <w:tab/>
      </w:r>
      <w:r w:rsidR="006601E9" w:rsidRPr="00ED15D5">
        <w:rPr>
          <w:rFonts w:ascii="Garamond" w:eastAsia="Garamond" w:hAnsi="Garamond" w:cs="Garamond"/>
          <w:sz w:val="24"/>
          <w:szCs w:val="24"/>
        </w:rPr>
        <w:t>Krajský soud následně v záhlaví uvedeným rozsudkem (dále jen „napadený rozsudek“)</w:t>
      </w:r>
      <w:r w:rsidR="00671622">
        <w:rPr>
          <w:rFonts w:ascii="Garamond" w:eastAsia="Garamond" w:hAnsi="Garamond" w:cs="Garamond"/>
          <w:sz w:val="24"/>
          <w:szCs w:val="24"/>
        </w:rPr>
        <w:t xml:space="preserve"> snížil výši pokuty uložené žalobkyni na částku 49.900 Kč a ve zbytku žalobu zamítl. V </w:t>
      </w:r>
      <w:r w:rsidR="003C1871" w:rsidRPr="00ED1AB3">
        <w:rPr>
          <w:rFonts w:ascii="Garamond" w:eastAsia="Garamond" w:hAnsi="Garamond" w:cs="Garamond"/>
          <w:sz w:val="24"/>
          <w:szCs w:val="24"/>
        </w:rPr>
        <w:t xml:space="preserve">odůvodnění napadeného rozsudku použil test diskriminace </w:t>
      </w:r>
      <w:r w:rsidR="00671622">
        <w:rPr>
          <w:rFonts w:ascii="Garamond" w:eastAsia="Garamond" w:hAnsi="Garamond" w:cs="Garamond"/>
          <w:sz w:val="24"/>
          <w:szCs w:val="24"/>
        </w:rPr>
        <w:t>vycházející z </w:t>
      </w:r>
      <w:r w:rsidR="003C1871" w:rsidRPr="00ED1AB3">
        <w:rPr>
          <w:rFonts w:ascii="Garamond" w:eastAsia="Garamond" w:hAnsi="Garamond" w:cs="Garamond"/>
          <w:sz w:val="24"/>
          <w:szCs w:val="24"/>
        </w:rPr>
        <w:t>judikatury Ústavního soudu a Evropského soudu pro lidská práva a modifikoval jej pro situaci porušení zákazu diskriminace spotřebitele při poskytování služe</w:t>
      </w:r>
      <w:r w:rsidR="00671622">
        <w:rPr>
          <w:rFonts w:ascii="Garamond" w:eastAsia="Garamond" w:hAnsi="Garamond" w:cs="Garamond"/>
          <w:sz w:val="24"/>
          <w:szCs w:val="24"/>
        </w:rPr>
        <w:t>b. Krajský soud tak zkoumal, 1) </w:t>
      </w:r>
      <w:r w:rsidR="003C1871" w:rsidRPr="00ED1AB3">
        <w:rPr>
          <w:rFonts w:ascii="Garamond" w:eastAsia="Garamond" w:hAnsi="Garamond" w:cs="Garamond"/>
          <w:sz w:val="24"/>
          <w:szCs w:val="24"/>
        </w:rPr>
        <w:t>zda došlo ke zvýhodnění určité skupiny spotřebitelů před jinou skupinou spotřebitelů, 2) zda se spotřebitelé nacházeli ve srovnatelné situaci, 3) zda zvýhodnění bylo důvodné a naplnilo kritéria rozumnosti a důvodnosti, tedy sledovalo legitimní cíl a použité prostředk</w:t>
      </w:r>
      <w:r w:rsidR="00901B3F">
        <w:rPr>
          <w:rFonts w:ascii="Garamond" w:eastAsia="Garamond" w:hAnsi="Garamond" w:cs="Garamond"/>
          <w:sz w:val="24"/>
          <w:szCs w:val="24"/>
        </w:rPr>
        <w:t>y byly přiměřené danému cíli. V </w:t>
      </w:r>
      <w:r w:rsidR="003C1871" w:rsidRPr="00ED1AB3">
        <w:rPr>
          <w:rFonts w:ascii="Garamond" w:eastAsia="Garamond" w:hAnsi="Garamond" w:cs="Garamond"/>
          <w:sz w:val="24"/>
          <w:szCs w:val="24"/>
        </w:rPr>
        <w:t>prvním kroku tohoto testu dospěl k závěru, že došlo ke zvýhodněn</w:t>
      </w:r>
      <w:r w:rsidR="00901B3F">
        <w:rPr>
          <w:rFonts w:ascii="Garamond" w:eastAsia="Garamond" w:hAnsi="Garamond" w:cs="Garamond"/>
          <w:sz w:val="24"/>
          <w:szCs w:val="24"/>
        </w:rPr>
        <w:t>í určité skupiny spotřebitelů v </w:t>
      </w:r>
      <w:r w:rsidR="003C1871" w:rsidRPr="00ED1AB3">
        <w:rPr>
          <w:rFonts w:ascii="Garamond" w:eastAsia="Garamond" w:hAnsi="Garamond" w:cs="Garamond"/>
          <w:sz w:val="24"/>
          <w:szCs w:val="24"/>
        </w:rPr>
        <w:t>podobě snadnějšího přístupu k nabízené službě, jelikož části spotřebitelů (tj. státním příslušníkům Ruské federace) bylo poskytnuto ubytování až po splnění podmínky podepsání prohlášení o nesouhlasu s anexí Krymu. Ve druhém kro</w:t>
      </w:r>
      <w:r w:rsidR="00671622">
        <w:rPr>
          <w:rFonts w:ascii="Garamond" w:eastAsia="Garamond" w:hAnsi="Garamond" w:cs="Garamond"/>
          <w:sz w:val="24"/>
          <w:szCs w:val="24"/>
        </w:rPr>
        <w:t>ku konstatoval, že se jednalo o </w:t>
      </w:r>
      <w:r w:rsidR="003C1871" w:rsidRPr="00ED1AB3">
        <w:rPr>
          <w:rFonts w:ascii="Garamond" w:eastAsia="Garamond" w:hAnsi="Garamond" w:cs="Garamond"/>
          <w:sz w:val="24"/>
          <w:szCs w:val="24"/>
        </w:rPr>
        <w:t>zvýhodnění spotřebitelů ve srovnatelném postavení, tedy zájemců o ubytování v hotelu žalobkyně. V posledním kroku testu shledal, že jednání žalobkyně sledovalo legitimní cíl,</w:t>
      </w:r>
      <w:r w:rsidR="003C1871">
        <w:rPr>
          <w:rFonts w:ascii="Garamond" w:eastAsia="Garamond" w:hAnsi="Garamond" w:cs="Garamond"/>
          <w:sz w:val="24"/>
          <w:szCs w:val="24"/>
        </w:rPr>
        <w:t xml:space="preserve"> a </w:t>
      </w:r>
      <w:r w:rsidR="003C1871" w:rsidRPr="00ED15D5">
        <w:rPr>
          <w:rFonts w:ascii="Garamond" w:eastAsia="Garamond" w:hAnsi="Garamond" w:cs="Garamond"/>
          <w:sz w:val="24"/>
          <w:szCs w:val="24"/>
        </w:rPr>
        <w:t>to výkon svobody projevu chráněné čl. 17 Listiny základních práv a svobod (dále jen „Listina“). Prostředky zvolené žalobkyní však nebyly přiměřené, neboť daného cíle šlo dosáhnout i jinými způsoby než požadavkem aktivního jednání spotřebitelů z Ruské federace v podobě podepsání dotčeného prohlášení. Krajský soud tedy jednání žalobkyně kvalifikoval jako diskriminaci. Následně využil moderačního oprávnění a snížil uloženou pokutu</w:t>
      </w:r>
      <w:r w:rsidR="00671622">
        <w:rPr>
          <w:rFonts w:ascii="Garamond" w:eastAsia="Garamond" w:hAnsi="Garamond" w:cs="Garamond"/>
          <w:sz w:val="24"/>
          <w:szCs w:val="24"/>
        </w:rPr>
        <w:t xml:space="preserve"> o 100 Kč</w:t>
      </w:r>
      <w:r w:rsidR="003C1871" w:rsidRPr="00ED15D5">
        <w:rPr>
          <w:rFonts w:ascii="Garamond" w:eastAsia="Garamond" w:hAnsi="Garamond" w:cs="Garamond"/>
          <w:sz w:val="24"/>
          <w:szCs w:val="24"/>
        </w:rPr>
        <w:t>, protože správní orgány sice pokutu dostatečně odůvodnily, avšak při posuzování způsobu spáchání správního deliktu nevzaly</w:t>
      </w:r>
      <w:r w:rsidR="003C1871">
        <w:rPr>
          <w:rFonts w:ascii="Garamond" w:eastAsia="Garamond" w:hAnsi="Garamond" w:cs="Garamond"/>
          <w:sz w:val="24"/>
          <w:szCs w:val="24"/>
        </w:rPr>
        <w:t xml:space="preserve"> </w:t>
      </w:r>
      <w:r w:rsidR="003C1871" w:rsidRPr="00ED15D5">
        <w:rPr>
          <w:rFonts w:ascii="Garamond" w:eastAsia="Garamond" w:hAnsi="Garamond" w:cs="Garamond"/>
          <w:sz w:val="24"/>
          <w:szCs w:val="24"/>
        </w:rPr>
        <w:t>v potaz existenci legitimního cíle jednání žalobkyně (tj. výkon svobody projevu) a v rozporu se zákazem dvojího přičítání přičetly žalobkyni postavení silnější smluvní strany jako přitěžující okolnost. Při stanovení výše pokuty krajský soud rovněž zohlednil to, že žalobkyně porušila zákon poprvé a ihned po vytknutí od závadného jednání upustila.</w:t>
      </w:r>
    </w:p>
    <w:p w:rsidR="00671622" w:rsidRDefault="00671622">
      <w:pPr>
        <w:rPr>
          <w:rFonts w:ascii="Garamond" w:eastAsia="Garamond" w:hAnsi="Garamond" w:cs="Garamond"/>
          <w:sz w:val="24"/>
          <w:szCs w:val="24"/>
        </w:rPr>
      </w:pPr>
      <w:r>
        <w:rPr>
          <w:rFonts w:ascii="Garamond" w:eastAsia="Garamond" w:hAnsi="Garamond" w:cs="Garamond"/>
          <w:sz w:val="24"/>
          <w:szCs w:val="24"/>
        </w:rPr>
        <w:br w:type="page"/>
      </w:r>
    </w:p>
    <w:p w:rsidR="00832458" w:rsidRPr="00ED15D5" w:rsidRDefault="00832458" w:rsidP="00832458">
      <w:pPr>
        <w:ind w:left="7803"/>
        <w:rPr>
          <w:sz w:val="20"/>
          <w:szCs w:val="20"/>
        </w:rPr>
      </w:pPr>
      <w:r w:rsidRPr="00ED15D5">
        <w:rPr>
          <w:rFonts w:ascii="Garamond" w:eastAsia="Garamond" w:hAnsi="Garamond" w:cs="Garamond"/>
          <w:sz w:val="24"/>
          <w:szCs w:val="24"/>
        </w:rPr>
        <w:lastRenderedPageBreak/>
        <w:t>2 As 43/2018</w:t>
      </w:r>
    </w:p>
    <w:p w:rsidR="00671622" w:rsidRPr="00ED15D5" w:rsidRDefault="00671622" w:rsidP="00671622">
      <w:pPr>
        <w:spacing w:line="234" w:lineRule="exact"/>
        <w:rPr>
          <w:sz w:val="20"/>
          <w:szCs w:val="20"/>
        </w:rPr>
      </w:pPr>
    </w:p>
    <w:p w:rsidR="006601E9" w:rsidRPr="00ED15D5" w:rsidRDefault="006601E9" w:rsidP="006601E9">
      <w:pPr>
        <w:numPr>
          <w:ilvl w:val="1"/>
          <w:numId w:val="8"/>
        </w:numPr>
        <w:tabs>
          <w:tab w:val="left" w:pos="3483"/>
        </w:tabs>
        <w:ind w:left="3483" w:hanging="311"/>
        <w:rPr>
          <w:rFonts w:ascii="Garamond" w:eastAsia="Garamond" w:hAnsi="Garamond" w:cs="Garamond"/>
          <w:b/>
          <w:bCs/>
          <w:sz w:val="24"/>
          <w:szCs w:val="24"/>
        </w:rPr>
      </w:pPr>
      <w:r w:rsidRPr="00ED15D5">
        <w:rPr>
          <w:rFonts w:ascii="Garamond" w:eastAsia="Garamond" w:hAnsi="Garamond" w:cs="Garamond"/>
          <w:b/>
          <w:bCs/>
          <w:sz w:val="24"/>
          <w:szCs w:val="24"/>
        </w:rPr>
        <w:t>Obsah kasační stížnosti</w:t>
      </w:r>
    </w:p>
    <w:p w:rsidR="006601E9" w:rsidRPr="00ED15D5" w:rsidRDefault="006601E9" w:rsidP="006601E9">
      <w:pPr>
        <w:spacing w:line="272" w:lineRule="exact"/>
        <w:rPr>
          <w:rFonts w:ascii="Garamond" w:eastAsia="Garamond" w:hAnsi="Garamond" w:cs="Garamond"/>
          <w:b/>
          <w:bCs/>
          <w:sz w:val="24"/>
          <w:szCs w:val="24"/>
        </w:rPr>
      </w:pPr>
    </w:p>
    <w:p w:rsidR="006601E9" w:rsidRDefault="006601E9" w:rsidP="006601E9">
      <w:pPr>
        <w:numPr>
          <w:ilvl w:val="0"/>
          <w:numId w:val="9"/>
        </w:numPr>
        <w:tabs>
          <w:tab w:val="left" w:pos="711"/>
        </w:tabs>
        <w:spacing w:line="251" w:lineRule="auto"/>
        <w:ind w:left="3" w:hanging="3"/>
        <w:jc w:val="both"/>
        <w:rPr>
          <w:rFonts w:ascii="Garamond" w:eastAsia="Garamond" w:hAnsi="Garamond" w:cs="Garamond"/>
          <w:sz w:val="24"/>
          <w:szCs w:val="24"/>
        </w:rPr>
      </w:pPr>
      <w:r w:rsidRPr="00ED15D5">
        <w:rPr>
          <w:rFonts w:ascii="Garamond" w:eastAsia="Garamond" w:hAnsi="Garamond" w:cs="Garamond"/>
          <w:sz w:val="24"/>
          <w:szCs w:val="24"/>
        </w:rPr>
        <w:t xml:space="preserve">Proti napadenému rozsudku podala </w:t>
      </w:r>
      <w:r w:rsidR="00901B3F">
        <w:rPr>
          <w:rFonts w:ascii="Garamond" w:eastAsia="Garamond" w:hAnsi="Garamond" w:cs="Garamond"/>
          <w:sz w:val="24"/>
          <w:szCs w:val="24"/>
        </w:rPr>
        <w:t>žalobkyně</w:t>
      </w:r>
      <w:r w:rsidRPr="00ED15D5">
        <w:rPr>
          <w:rFonts w:ascii="Garamond" w:eastAsia="Garamond" w:hAnsi="Garamond" w:cs="Garamond"/>
          <w:sz w:val="24"/>
          <w:szCs w:val="24"/>
        </w:rPr>
        <w:t xml:space="preserve"> (dále jen „stěžovatelka“) kasační stížnost, kterou opírá o důvod dle § 103 odst. 1 písm. a) zákona č. 150/2002 Sb., soudní řád správní, ve znění pozdějších předpisů (dále jen „s. ř. s.“), spočívající v nesprávném posouzení právní otázky krajským soudem.</w:t>
      </w:r>
    </w:p>
    <w:p w:rsidR="006601E9" w:rsidRDefault="006601E9" w:rsidP="006601E9">
      <w:pPr>
        <w:tabs>
          <w:tab w:val="left" w:pos="711"/>
        </w:tabs>
        <w:spacing w:line="251" w:lineRule="auto"/>
        <w:jc w:val="both"/>
        <w:rPr>
          <w:rFonts w:ascii="Garamond" w:eastAsia="Garamond" w:hAnsi="Garamond" w:cs="Garamond"/>
          <w:sz w:val="24"/>
          <w:szCs w:val="24"/>
        </w:rPr>
      </w:pPr>
    </w:p>
    <w:p w:rsidR="00901B3F" w:rsidRDefault="006601E9" w:rsidP="00901B3F">
      <w:pPr>
        <w:spacing w:line="244" w:lineRule="auto"/>
        <w:ind w:right="20"/>
        <w:jc w:val="both"/>
        <w:rPr>
          <w:rFonts w:ascii="Garamond" w:eastAsia="Garamond" w:hAnsi="Garamond" w:cs="Garamond"/>
          <w:sz w:val="24"/>
          <w:szCs w:val="24"/>
        </w:rPr>
      </w:pPr>
      <w:r w:rsidRPr="006601E9">
        <w:rPr>
          <w:rFonts w:ascii="Garamond" w:eastAsia="Garamond" w:hAnsi="Garamond" w:cs="Garamond"/>
          <w:sz w:val="24"/>
          <w:szCs w:val="24"/>
        </w:rPr>
        <w:t>[6]</w:t>
      </w:r>
      <w:r w:rsidR="008055FE">
        <w:rPr>
          <w:rFonts w:ascii="Garamond" w:eastAsia="Garamond" w:hAnsi="Garamond" w:cs="Garamond"/>
          <w:sz w:val="24"/>
          <w:szCs w:val="24"/>
        </w:rPr>
        <w:tab/>
      </w:r>
      <w:r w:rsidRPr="006601E9">
        <w:rPr>
          <w:rFonts w:ascii="Garamond" w:eastAsia="Garamond" w:hAnsi="Garamond" w:cs="Garamond"/>
          <w:sz w:val="24"/>
          <w:szCs w:val="24"/>
        </w:rPr>
        <w:t xml:space="preserve">Krajskému soudu stěžovatelka vytýká, že nesprávně vyhodnotil </w:t>
      </w:r>
      <w:r w:rsidR="00901B3F">
        <w:rPr>
          <w:rFonts w:ascii="Garamond" w:eastAsia="Garamond" w:hAnsi="Garamond" w:cs="Garamond"/>
          <w:sz w:val="24"/>
          <w:szCs w:val="24"/>
        </w:rPr>
        <w:t xml:space="preserve">její jednání jako diskriminaci. Ačkoli v obecné rovině s použitým testem diskriminace souhlasí, má za to, </w:t>
      </w:r>
      <w:r w:rsidR="00901B3F" w:rsidRPr="006601E9">
        <w:rPr>
          <w:rFonts w:ascii="Garamond" w:eastAsia="Garamond" w:hAnsi="Garamond" w:cs="Garamond"/>
          <w:sz w:val="24"/>
          <w:szCs w:val="24"/>
        </w:rPr>
        <w:t xml:space="preserve">že nebyl proveden správně. V dané věci totiž nedošlo ke zvýhodnění jedné skupiny spotřebitelů před jinou skupinou, a to ani v potenciální možnosti takového zvýhodnění. Vyjma fingovaného zájmu inspektorky žalované nedošlo k uzavření (příp. k odmítnutí </w:t>
      </w:r>
      <w:r w:rsidR="00901B3F">
        <w:rPr>
          <w:rFonts w:ascii="Garamond" w:eastAsia="Garamond" w:hAnsi="Garamond" w:cs="Garamond"/>
          <w:sz w:val="24"/>
          <w:szCs w:val="24"/>
        </w:rPr>
        <w:t>uzavření) smlouvy o ubytování s </w:t>
      </w:r>
      <w:r w:rsidR="00901B3F" w:rsidRPr="006601E9">
        <w:rPr>
          <w:rFonts w:ascii="Garamond" w:eastAsia="Garamond" w:hAnsi="Garamond" w:cs="Garamond"/>
          <w:sz w:val="24"/>
          <w:szCs w:val="24"/>
        </w:rPr>
        <w:t>osobou, která by mohla být diskriminována, a žádný občan Ruské federace nebyl odmítnut jen proto, že by nepodepsal prohlášení o nesouhlasu s anexí Krymu. Krajský soud se rovněž nezabýval zjištěním, zda a do jaké míry došlo k faktickému omezení určité skupiny spotřebitelů tím, že by se měli vymezit proti porušení mezinárodního práva. Jeden ze znaků diskriminace proto nebyl naplněn.</w:t>
      </w:r>
      <w:r w:rsidR="00901B3F">
        <w:rPr>
          <w:sz w:val="20"/>
          <w:szCs w:val="20"/>
        </w:rPr>
        <w:t xml:space="preserve"> </w:t>
      </w:r>
      <w:r w:rsidR="00901B3F">
        <w:rPr>
          <w:rFonts w:ascii="Garamond" w:eastAsia="Garamond" w:hAnsi="Garamond" w:cs="Garamond"/>
          <w:sz w:val="24"/>
          <w:szCs w:val="24"/>
        </w:rPr>
        <w:t xml:space="preserve">Stěžovatelka zároveň nesouhlasí se snížením pokuty o pouhých 100 Kč, jelikož to považuje za hrubě rozporné s předcházejícím rozhodnutím Nejvyššího správního soudu v téže věci. </w:t>
      </w:r>
    </w:p>
    <w:p w:rsidR="00901B3F" w:rsidRDefault="00901B3F" w:rsidP="00901B3F">
      <w:pPr>
        <w:spacing w:line="244" w:lineRule="auto"/>
        <w:ind w:right="20"/>
        <w:jc w:val="both"/>
        <w:rPr>
          <w:rFonts w:ascii="Garamond" w:eastAsia="Garamond" w:hAnsi="Garamond" w:cs="Garamond"/>
          <w:sz w:val="24"/>
          <w:szCs w:val="24"/>
        </w:rPr>
      </w:pPr>
    </w:p>
    <w:p w:rsidR="008055FE" w:rsidRDefault="00901B3F" w:rsidP="008055FE">
      <w:pPr>
        <w:ind w:left="3" w:right="20"/>
        <w:jc w:val="both"/>
        <w:rPr>
          <w:rFonts w:ascii="Garamond" w:eastAsia="Garamond" w:hAnsi="Garamond" w:cs="Garamond"/>
          <w:sz w:val="24"/>
          <w:szCs w:val="24"/>
        </w:rPr>
      </w:pPr>
      <w:r w:rsidRPr="00901B3F">
        <w:rPr>
          <w:rFonts w:ascii="Garamond" w:eastAsia="Garamond" w:hAnsi="Garamond" w:cs="Garamond"/>
          <w:sz w:val="24"/>
          <w:szCs w:val="24"/>
        </w:rPr>
        <w:t xml:space="preserve">[7] </w:t>
      </w:r>
      <w:r w:rsidR="008055FE">
        <w:rPr>
          <w:rFonts w:ascii="Garamond" w:eastAsia="Garamond" w:hAnsi="Garamond" w:cs="Garamond"/>
          <w:sz w:val="24"/>
          <w:szCs w:val="24"/>
        </w:rPr>
        <w:tab/>
      </w:r>
      <w:r w:rsidRPr="00901B3F">
        <w:rPr>
          <w:rFonts w:ascii="Garamond" w:eastAsia="Garamond" w:hAnsi="Garamond" w:cs="Garamond"/>
          <w:sz w:val="24"/>
          <w:szCs w:val="24"/>
        </w:rPr>
        <w:t>Stěžovatelka má dále za to, že krajský soud nesprávně posoudil vztah dvou práv, a to ústavně zaručené svobody projevu a zákonného práva spotřebitelů na ochranu</w:t>
      </w:r>
      <w:r w:rsidRPr="00901B3F">
        <w:rPr>
          <w:rFonts w:ascii="Garamond" w:hAnsi="Garamond"/>
          <w:sz w:val="24"/>
          <w:szCs w:val="24"/>
        </w:rPr>
        <w:t xml:space="preserve"> </w:t>
      </w:r>
      <w:r w:rsidRPr="00901B3F">
        <w:rPr>
          <w:rFonts w:ascii="Garamond" w:eastAsia="Garamond" w:hAnsi="Garamond" w:cs="Garamond"/>
          <w:sz w:val="24"/>
          <w:szCs w:val="24"/>
        </w:rPr>
        <w:t>před diskriminací. Jestliže krajský soud dovodil, že stěžovatelka realizovala své ústavně zaručené právo, avšak nepřiměřenými prostředky, nadřadil obecný zákon Listině jakožto ústavnímu zákonu. Svobodu projevu lze přitom dle čl. 17 odst. 4 Listiny omezit jen na zákl</w:t>
      </w:r>
      <w:r>
        <w:rPr>
          <w:rFonts w:ascii="Garamond" w:eastAsia="Garamond" w:hAnsi="Garamond" w:cs="Garamond"/>
          <w:sz w:val="24"/>
          <w:szCs w:val="24"/>
        </w:rPr>
        <w:t>adě zákona, jde-li o opatření v </w:t>
      </w:r>
      <w:r w:rsidRPr="00901B3F">
        <w:rPr>
          <w:rFonts w:ascii="Garamond" w:eastAsia="Garamond" w:hAnsi="Garamond" w:cs="Garamond"/>
          <w:sz w:val="24"/>
          <w:szCs w:val="24"/>
        </w:rPr>
        <w:t>demokratické společnosti nezbytná pro ochranu práv a svobod druhých, bezpečnost státu, veřejnou bezpečnost, ochranu veřejného zdraví a mravnosti. Stěžovatelce je známo, že ochrana před diskriminací je upravena v čl. 3 Listiny jako jedno ze základních práv, nicméně se domnívá, že jej neporušila. Její jednání se týkalo občanů Ruské federace, přičemž tato skupina nespadá do okruhu osob chráněných čl. 3 Listiny. Proto by v projednávané věci měl mít přednost ústavní zákon chránící svobodu projevu před obecným zákonem na ochranu spotřebitele. Navíc žádný předpis neupravuje diskriminaci je</w:t>
      </w:r>
      <w:r w:rsidR="00832458">
        <w:rPr>
          <w:rFonts w:ascii="Garamond" w:eastAsia="Garamond" w:hAnsi="Garamond" w:cs="Garamond"/>
          <w:sz w:val="24"/>
          <w:szCs w:val="24"/>
        </w:rPr>
        <w:t xml:space="preserve">n na základě státního občanství, </w:t>
      </w:r>
      <w:r w:rsidRPr="00ED15D5">
        <w:rPr>
          <w:rFonts w:ascii="Garamond" w:eastAsia="Garamond" w:hAnsi="Garamond" w:cs="Garamond"/>
          <w:sz w:val="24"/>
          <w:szCs w:val="24"/>
        </w:rPr>
        <w:t>na rozdíl například od národnosti. I ve správním soudnictví jsou soudy povinny při výkladu a posuzování jednání aplikovat přímo ústavní normy. Zákon o ochraně spotřebitele je pak s ohledem na jeho charakter třeba vykládat restriktivně.</w:t>
      </w:r>
      <w:r w:rsidR="008055FE">
        <w:rPr>
          <w:rFonts w:ascii="Garamond" w:eastAsia="Garamond" w:hAnsi="Garamond" w:cs="Garamond"/>
          <w:sz w:val="24"/>
          <w:szCs w:val="24"/>
        </w:rPr>
        <w:t xml:space="preserve"> </w:t>
      </w:r>
    </w:p>
    <w:p w:rsidR="008055FE" w:rsidRDefault="008055FE" w:rsidP="008055FE">
      <w:pPr>
        <w:ind w:left="3" w:right="20"/>
        <w:jc w:val="both"/>
        <w:rPr>
          <w:rFonts w:ascii="Garamond" w:eastAsia="Garamond" w:hAnsi="Garamond" w:cs="Garamond"/>
          <w:sz w:val="24"/>
          <w:szCs w:val="24"/>
        </w:rPr>
      </w:pPr>
    </w:p>
    <w:p w:rsidR="00671622" w:rsidRPr="008055FE" w:rsidRDefault="008055FE" w:rsidP="008055FE">
      <w:pPr>
        <w:ind w:left="3" w:right="20"/>
        <w:jc w:val="both"/>
        <w:rPr>
          <w:sz w:val="20"/>
          <w:szCs w:val="20"/>
        </w:rPr>
      </w:pPr>
      <w:r>
        <w:rPr>
          <w:rFonts w:ascii="Garamond" w:eastAsia="Garamond" w:hAnsi="Garamond" w:cs="Garamond"/>
          <w:sz w:val="24"/>
          <w:szCs w:val="24"/>
        </w:rPr>
        <w:t xml:space="preserve">[8] </w:t>
      </w:r>
      <w:r>
        <w:rPr>
          <w:rFonts w:ascii="Garamond" w:eastAsia="Garamond" w:hAnsi="Garamond" w:cs="Garamond"/>
          <w:sz w:val="24"/>
          <w:szCs w:val="24"/>
        </w:rPr>
        <w:tab/>
        <w:t xml:space="preserve">V tomto kontextu stěžovatelka dodává, že antidiskriminační zákon je věrnou </w:t>
      </w:r>
      <w:r w:rsidR="006601E9">
        <w:rPr>
          <w:rFonts w:ascii="Garamond" w:eastAsia="Garamond" w:hAnsi="Garamond" w:cs="Garamond"/>
          <w:sz w:val="24"/>
          <w:szCs w:val="24"/>
        </w:rPr>
        <w:t xml:space="preserve">implementací práva Evropské unie, </w:t>
      </w:r>
      <w:r>
        <w:rPr>
          <w:rFonts w:ascii="Garamond" w:eastAsia="Garamond" w:hAnsi="Garamond" w:cs="Garamond"/>
          <w:sz w:val="24"/>
          <w:szCs w:val="24"/>
        </w:rPr>
        <w:t>a proto žádá Nejvyšší správní soud</w:t>
      </w:r>
      <w:r w:rsidR="006601E9">
        <w:rPr>
          <w:rFonts w:ascii="Garamond" w:eastAsia="Garamond" w:hAnsi="Garamond" w:cs="Garamond"/>
          <w:sz w:val="24"/>
          <w:szCs w:val="24"/>
        </w:rPr>
        <w:t xml:space="preserve">, aby se v případě pochybností obrátil s otázkou na </w:t>
      </w:r>
      <w:r>
        <w:rPr>
          <w:rFonts w:ascii="Garamond" w:eastAsia="Garamond" w:hAnsi="Garamond" w:cs="Garamond"/>
          <w:sz w:val="24"/>
          <w:szCs w:val="24"/>
        </w:rPr>
        <w:t xml:space="preserve">Soudní dvůr Evropské unie (dále jen „SDEU“). Stěžovatelka konkrétně žádá, aby Nejvyšší správní soud požádal SDEU o potvrzení právního názoru, že </w:t>
      </w:r>
      <w:r>
        <w:rPr>
          <w:rFonts w:ascii="Garamond" w:eastAsia="Garamond" w:hAnsi="Garamond" w:cs="Garamond"/>
          <w:sz w:val="24"/>
          <w:szCs w:val="24"/>
        </w:rPr>
        <w:t>v rámci poskytování zboží a služeb</w:t>
      </w:r>
      <w:r>
        <w:rPr>
          <w:rFonts w:ascii="Garamond" w:eastAsia="Garamond" w:hAnsi="Garamond" w:cs="Garamond"/>
          <w:sz w:val="24"/>
          <w:szCs w:val="24"/>
        </w:rPr>
        <w:t xml:space="preserve"> z unijního práva v žádném případě neplyne zákaz odlišného zacházení s občany nečlenských zemí Evropské unie. Stěžovatelka upozorňuje, že Nejvyšší správní soud je soudem poslední instance, proto má nejen právo, ale i povinnost </w:t>
      </w:r>
      <w:r>
        <w:rPr>
          <w:rFonts w:ascii="Garamond" w:eastAsia="Garamond" w:hAnsi="Garamond" w:cs="Garamond"/>
          <w:sz w:val="24"/>
          <w:szCs w:val="24"/>
        </w:rPr>
        <w:t>obrátit</w:t>
      </w:r>
      <w:r>
        <w:rPr>
          <w:rFonts w:ascii="Garamond" w:eastAsia="Garamond" w:hAnsi="Garamond" w:cs="Garamond"/>
          <w:sz w:val="24"/>
          <w:szCs w:val="24"/>
        </w:rPr>
        <w:t xml:space="preserve"> se v pochybnostech na SDEU s předběžnou otázkou.</w:t>
      </w:r>
    </w:p>
    <w:p w:rsidR="006601E9" w:rsidRDefault="006601E9" w:rsidP="00ED1AB3">
      <w:pPr>
        <w:tabs>
          <w:tab w:val="left" w:pos="703"/>
        </w:tabs>
        <w:jc w:val="both"/>
        <w:rPr>
          <w:rFonts w:ascii="Garamond" w:eastAsia="Garamond" w:hAnsi="Garamond" w:cs="Garamond"/>
          <w:sz w:val="24"/>
          <w:szCs w:val="24"/>
        </w:rPr>
      </w:pPr>
    </w:p>
    <w:p w:rsidR="00F97EE8" w:rsidRPr="00ED15D5" w:rsidRDefault="006601E9">
      <w:pPr>
        <w:ind w:left="3203"/>
        <w:rPr>
          <w:sz w:val="20"/>
          <w:szCs w:val="20"/>
        </w:rPr>
      </w:pPr>
      <w:bookmarkStart w:id="3" w:name="page3"/>
      <w:bookmarkEnd w:id="3"/>
      <w:r w:rsidRPr="00ED15D5">
        <w:rPr>
          <w:rFonts w:ascii="Garamond" w:eastAsia="Garamond" w:hAnsi="Garamond" w:cs="Garamond"/>
          <w:b/>
          <w:bCs/>
          <w:sz w:val="24"/>
          <w:szCs w:val="24"/>
        </w:rPr>
        <w:t>III. Obsah vyjádření žalované</w:t>
      </w:r>
    </w:p>
    <w:p w:rsidR="00F97EE8" w:rsidRPr="00ED15D5" w:rsidRDefault="00F97EE8">
      <w:pPr>
        <w:spacing w:line="272" w:lineRule="exact"/>
        <w:rPr>
          <w:sz w:val="20"/>
          <w:szCs w:val="20"/>
        </w:rPr>
      </w:pPr>
    </w:p>
    <w:p w:rsidR="00F97EE8" w:rsidRPr="00ED15D5" w:rsidRDefault="008055FE" w:rsidP="008055FE">
      <w:pPr>
        <w:tabs>
          <w:tab w:val="left" w:pos="711"/>
        </w:tabs>
        <w:spacing w:line="246" w:lineRule="auto"/>
        <w:jc w:val="both"/>
        <w:rPr>
          <w:sz w:val="20"/>
          <w:szCs w:val="20"/>
        </w:rPr>
      </w:pPr>
      <w:r>
        <w:rPr>
          <w:rFonts w:ascii="Garamond" w:eastAsia="Garamond" w:hAnsi="Garamond" w:cs="Garamond"/>
          <w:sz w:val="24"/>
          <w:szCs w:val="24"/>
        </w:rPr>
        <w:t>[9]</w:t>
      </w:r>
      <w:r>
        <w:rPr>
          <w:rFonts w:ascii="Garamond" w:eastAsia="Garamond" w:hAnsi="Garamond" w:cs="Garamond"/>
          <w:sz w:val="24"/>
          <w:szCs w:val="24"/>
        </w:rPr>
        <w:tab/>
      </w:r>
      <w:r w:rsidR="006601E9" w:rsidRPr="00ED15D5">
        <w:rPr>
          <w:rFonts w:ascii="Garamond" w:eastAsia="Garamond" w:hAnsi="Garamond" w:cs="Garamond"/>
          <w:sz w:val="24"/>
          <w:szCs w:val="24"/>
        </w:rPr>
        <w:t>Žalovaná považuje kasační stížnost za nedůvodnou a navrhuje její zamítnutí. Odkázala na svá dřívější vyjádření k projednávané věci, zejména na kasační stížnost ze dne 13. 12. 2016. Podle žalované posoudil krajský soud otázku naplnění znaků diskriminace zcela správně. Nadto mohlo být zasaženo do důstojnosti občanů Ruské federace, když byli jako spotřebitelé nuceni vyjádřit svůj pohled na politiku státu, ze kterého pocházejí, čímž mohli být odrazeni od zájmu ub</w:t>
      </w:r>
      <w:r w:rsidR="007D3DCA">
        <w:rPr>
          <w:rFonts w:ascii="Garamond" w:eastAsia="Garamond" w:hAnsi="Garamond" w:cs="Garamond"/>
          <w:sz w:val="24"/>
          <w:szCs w:val="24"/>
        </w:rPr>
        <w:t>ytovat se v </w:t>
      </w:r>
      <w:r w:rsidR="00832458">
        <w:rPr>
          <w:rFonts w:ascii="Garamond" w:eastAsia="Garamond" w:hAnsi="Garamond" w:cs="Garamond"/>
          <w:sz w:val="24"/>
          <w:szCs w:val="24"/>
        </w:rPr>
        <w:t>hotelu stěžovatelky</w:t>
      </w:r>
      <w:r w:rsidR="006601E9" w:rsidRPr="00ED15D5">
        <w:rPr>
          <w:rFonts w:ascii="Garamond" w:eastAsia="Garamond" w:hAnsi="Garamond" w:cs="Garamond"/>
          <w:sz w:val="24"/>
          <w:szCs w:val="24"/>
        </w:rPr>
        <w:t>.</w:t>
      </w:r>
    </w:p>
    <w:p w:rsidR="00F97EE8" w:rsidRPr="00ED15D5" w:rsidRDefault="00F97EE8">
      <w:pPr>
        <w:sectPr w:rsidR="00F97EE8" w:rsidRPr="00ED15D5">
          <w:pgSz w:w="11900" w:h="16838"/>
          <w:pgMar w:top="677" w:right="1406" w:bottom="1067" w:left="1417" w:header="0" w:footer="0" w:gutter="0"/>
          <w:cols w:space="708" w:equalWidth="0">
            <w:col w:w="9083"/>
          </w:cols>
        </w:sectPr>
      </w:pPr>
    </w:p>
    <w:p w:rsidR="00F97EE8" w:rsidRPr="00ED15D5" w:rsidRDefault="006601E9">
      <w:pPr>
        <w:ind w:left="7803"/>
        <w:rPr>
          <w:sz w:val="20"/>
          <w:szCs w:val="20"/>
        </w:rPr>
      </w:pPr>
      <w:bookmarkStart w:id="4" w:name="page4"/>
      <w:bookmarkEnd w:id="4"/>
      <w:r w:rsidRPr="00ED15D5">
        <w:rPr>
          <w:rFonts w:ascii="Garamond" w:eastAsia="Garamond" w:hAnsi="Garamond" w:cs="Garamond"/>
          <w:sz w:val="24"/>
          <w:szCs w:val="24"/>
        </w:rPr>
        <w:lastRenderedPageBreak/>
        <w:t>2 As 43/2018</w:t>
      </w:r>
    </w:p>
    <w:p w:rsidR="00832458" w:rsidRDefault="00832458">
      <w:pPr>
        <w:spacing w:line="248" w:lineRule="auto"/>
        <w:ind w:left="3"/>
        <w:jc w:val="both"/>
        <w:rPr>
          <w:rFonts w:ascii="Garamond" w:eastAsia="Garamond" w:hAnsi="Garamond" w:cs="Garamond"/>
          <w:sz w:val="24"/>
          <w:szCs w:val="24"/>
        </w:rPr>
      </w:pPr>
    </w:p>
    <w:p w:rsidR="00F97EE8" w:rsidRPr="00ED15D5" w:rsidRDefault="006601E9">
      <w:pPr>
        <w:spacing w:line="248" w:lineRule="auto"/>
        <w:ind w:left="3"/>
        <w:jc w:val="both"/>
        <w:rPr>
          <w:sz w:val="20"/>
          <w:szCs w:val="20"/>
        </w:rPr>
      </w:pPr>
      <w:r w:rsidRPr="00ED15D5">
        <w:rPr>
          <w:rFonts w:ascii="Garamond" w:eastAsia="Garamond" w:hAnsi="Garamond" w:cs="Garamond"/>
          <w:sz w:val="24"/>
          <w:szCs w:val="24"/>
        </w:rPr>
        <w:t>[10] Žalovaná má za to, že škodlivý následek stěžovatelčina jednání spočívá již v tom, že spotřebitelé mohli být odrazeni od ubytování v hotelu stěžovatelky. Občané Ruské federace byli znevýhodněni tím, že na rozdíl od spotřebitelů z jiných stá</w:t>
      </w:r>
      <w:r w:rsidR="003F3690">
        <w:rPr>
          <w:rFonts w:ascii="Garamond" w:eastAsia="Garamond" w:hAnsi="Garamond" w:cs="Garamond"/>
          <w:sz w:val="24"/>
          <w:szCs w:val="24"/>
        </w:rPr>
        <w:t>tů museli podepsat prohlášení o </w:t>
      </w:r>
      <w:r w:rsidRPr="00ED15D5">
        <w:rPr>
          <w:rFonts w:ascii="Garamond" w:eastAsia="Garamond" w:hAnsi="Garamond" w:cs="Garamond"/>
          <w:sz w:val="24"/>
          <w:szCs w:val="24"/>
        </w:rPr>
        <w:t>nesouhlasu s anexí Krymu. Při kontrole dne 17. 4. 2014 navíc bylo prokázáno, že stěžovatelka by po občanu Ruské federace podpis tohoto prohlášení skutečně požadovala.</w:t>
      </w:r>
    </w:p>
    <w:p w:rsidR="00F97EE8" w:rsidRPr="00ED15D5" w:rsidRDefault="00F97EE8">
      <w:pPr>
        <w:spacing w:line="225" w:lineRule="exact"/>
        <w:rPr>
          <w:sz w:val="20"/>
          <w:szCs w:val="20"/>
        </w:rPr>
      </w:pPr>
    </w:p>
    <w:p w:rsidR="00F97EE8" w:rsidRPr="003F3690" w:rsidRDefault="006601E9" w:rsidP="003F3690">
      <w:pPr>
        <w:numPr>
          <w:ilvl w:val="0"/>
          <w:numId w:val="11"/>
        </w:numPr>
        <w:tabs>
          <w:tab w:val="left" w:pos="711"/>
        </w:tabs>
        <w:ind w:left="3" w:right="20" w:hanging="3"/>
        <w:jc w:val="both"/>
        <w:rPr>
          <w:rFonts w:ascii="Garamond" w:eastAsia="Garamond" w:hAnsi="Garamond" w:cs="Garamond"/>
          <w:sz w:val="24"/>
          <w:szCs w:val="24"/>
        </w:rPr>
      </w:pPr>
      <w:r w:rsidRPr="00ED15D5">
        <w:rPr>
          <w:rFonts w:ascii="Garamond" w:eastAsia="Garamond" w:hAnsi="Garamond" w:cs="Garamond"/>
          <w:sz w:val="24"/>
          <w:szCs w:val="24"/>
        </w:rPr>
        <w:t>K diskriminačním důvodům žalovaná uvádí, že je za ně možné označit i jiné skutečnosti, než jsou důvody vyjmenované v některých právních předpisech. Poukazuje na to, že výčet</w:t>
      </w:r>
      <w:r w:rsidR="003F3690">
        <w:rPr>
          <w:rFonts w:ascii="Garamond" w:eastAsia="Garamond" w:hAnsi="Garamond" w:cs="Garamond"/>
          <w:sz w:val="24"/>
          <w:szCs w:val="24"/>
        </w:rPr>
        <w:t xml:space="preserve"> </w:t>
      </w:r>
      <w:r w:rsidRPr="003F3690">
        <w:rPr>
          <w:rFonts w:ascii="Garamond" w:eastAsia="Garamond" w:hAnsi="Garamond" w:cs="Garamond"/>
          <w:sz w:val="24"/>
          <w:szCs w:val="24"/>
        </w:rPr>
        <w:t>důvodů v Listině není taxativní a například § 4 zákona č. 435/2004 Sb., o zaměstnanosti,</w:t>
      </w:r>
      <w:r w:rsidR="003F3690">
        <w:rPr>
          <w:rFonts w:ascii="Garamond" w:eastAsia="Garamond" w:hAnsi="Garamond" w:cs="Garamond"/>
          <w:sz w:val="24"/>
          <w:szCs w:val="24"/>
        </w:rPr>
        <w:t xml:space="preserve"> </w:t>
      </w:r>
      <w:r w:rsidRPr="003F3690">
        <w:rPr>
          <w:rFonts w:ascii="Garamond" w:eastAsia="Garamond" w:hAnsi="Garamond" w:cs="Garamond"/>
          <w:sz w:val="24"/>
          <w:szCs w:val="24"/>
        </w:rPr>
        <w:t>jako diskriminační důvod uvádí též státní občanství. Žalovaná</w:t>
      </w:r>
      <w:r w:rsidR="003F3690">
        <w:rPr>
          <w:rFonts w:ascii="Garamond" w:eastAsia="Garamond" w:hAnsi="Garamond" w:cs="Garamond"/>
          <w:sz w:val="24"/>
          <w:szCs w:val="24"/>
        </w:rPr>
        <w:t xml:space="preserve"> i krajský soud již v souladu s </w:t>
      </w:r>
      <w:r w:rsidRPr="003F3690">
        <w:rPr>
          <w:rFonts w:ascii="Garamond" w:eastAsia="Garamond" w:hAnsi="Garamond" w:cs="Garamond"/>
          <w:sz w:val="24"/>
          <w:szCs w:val="24"/>
        </w:rPr>
        <w:t>rozsudkem Nejvyššího správního soudu č. j. 2 As 3</w:t>
      </w:r>
      <w:r w:rsidR="003F3690">
        <w:rPr>
          <w:rFonts w:ascii="Garamond" w:eastAsia="Garamond" w:hAnsi="Garamond" w:cs="Garamond"/>
          <w:sz w:val="24"/>
          <w:szCs w:val="24"/>
        </w:rPr>
        <w:t>38/2016 – 27 odůvodnily, proč v </w:t>
      </w:r>
      <w:r w:rsidRPr="003F3690">
        <w:rPr>
          <w:rFonts w:ascii="Garamond" w:eastAsia="Garamond" w:hAnsi="Garamond" w:cs="Garamond"/>
          <w:sz w:val="24"/>
          <w:szCs w:val="24"/>
        </w:rPr>
        <w:t>projednávané věci považují státní občanství za možný diskriminační důvod.</w:t>
      </w:r>
    </w:p>
    <w:p w:rsidR="00F97EE8" w:rsidRPr="00ED15D5" w:rsidRDefault="00F97EE8">
      <w:pPr>
        <w:spacing w:line="210" w:lineRule="exact"/>
        <w:rPr>
          <w:sz w:val="20"/>
          <w:szCs w:val="20"/>
        </w:rPr>
      </w:pPr>
    </w:p>
    <w:p w:rsidR="00F97EE8" w:rsidRPr="00ED15D5" w:rsidRDefault="006601E9">
      <w:pPr>
        <w:ind w:right="17"/>
        <w:jc w:val="center"/>
        <w:rPr>
          <w:sz w:val="20"/>
          <w:szCs w:val="20"/>
        </w:rPr>
      </w:pPr>
      <w:r w:rsidRPr="00ED15D5">
        <w:rPr>
          <w:rFonts w:ascii="Garamond" w:eastAsia="Garamond" w:hAnsi="Garamond" w:cs="Garamond"/>
          <w:b/>
          <w:bCs/>
          <w:sz w:val="24"/>
          <w:szCs w:val="24"/>
        </w:rPr>
        <w:t>IV. Posouzení kasační stížnosti Nejvyšším správním soudem</w:t>
      </w:r>
    </w:p>
    <w:p w:rsidR="00F97EE8" w:rsidRPr="00ED15D5" w:rsidRDefault="00F97EE8">
      <w:pPr>
        <w:spacing w:line="272" w:lineRule="exact"/>
        <w:rPr>
          <w:sz w:val="20"/>
          <w:szCs w:val="20"/>
        </w:rPr>
      </w:pPr>
    </w:p>
    <w:p w:rsidR="00F97EE8" w:rsidRPr="003F3690" w:rsidRDefault="003F3690" w:rsidP="003F3690">
      <w:pPr>
        <w:tabs>
          <w:tab w:val="left" w:pos="703"/>
        </w:tabs>
        <w:jc w:val="both"/>
        <w:rPr>
          <w:rFonts w:ascii="Garamond" w:eastAsia="Garamond" w:hAnsi="Garamond" w:cs="Garamond"/>
          <w:sz w:val="24"/>
          <w:szCs w:val="24"/>
        </w:rPr>
      </w:pPr>
      <w:r>
        <w:rPr>
          <w:rFonts w:ascii="Garamond" w:eastAsia="Garamond" w:hAnsi="Garamond" w:cs="Garamond"/>
          <w:sz w:val="24"/>
          <w:szCs w:val="24"/>
        </w:rPr>
        <w:t>[12]</w:t>
      </w:r>
      <w:r>
        <w:rPr>
          <w:rFonts w:ascii="Garamond" w:eastAsia="Garamond" w:hAnsi="Garamond" w:cs="Garamond"/>
          <w:sz w:val="24"/>
          <w:szCs w:val="24"/>
        </w:rPr>
        <w:tab/>
      </w:r>
      <w:r w:rsidR="006601E9" w:rsidRPr="00ED15D5">
        <w:rPr>
          <w:rFonts w:ascii="Garamond" w:eastAsia="Garamond" w:hAnsi="Garamond" w:cs="Garamond"/>
          <w:sz w:val="24"/>
          <w:szCs w:val="24"/>
        </w:rPr>
        <w:t>Poté, co Nejvyšší správní soud shledal, že kasační stížnost má požadované formální</w:t>
      </w:r>
      <w:r>
        <w:rPr>
          <w:rFonts w:ascii="Garamond" w:eastAsia="Garamond" w:hAnsi="Garamond" w:cs="Garamond"/>
          <w:sz w:val="24"/>
          <w:szCs w:val="24"/>
        </w:rPr>
        <w:t xml:space="preserve"> </w:t>
      </w:r>
      <w:r w:rsidR="006601E9" w:rsidRPr="003F3690">
        <w:rPr>
          <w:rFonts w:ascii="Garamond" w:eastAsia="Garamond" w:hAnsi="Garamond" w:cs="Garamond"/>
          <w:sz w:val="24"/>
          <w:szCs w:val="24"/>
        </w:rPr>
        <w:t>náležitosti, byla podána včas (§ 106 odst. 2 s. ř. s.), osobou k tomu oprávněnou (§ 102 s. ř. s.) a řádně zastoupenou advokátem (§ 105 odst. 2 s. ř. s.), přistoupil k posouzení přípustnosti kasační stížnosti i s ohledem na § 104 odst. 3 písm. a) s. ř. s., neboť krajský soud ve věci rozhodoval znovu po zrušení jeho původního rozsudku Nejvyšším správním soudem.</w:t>
      </w:r>
    </w:p>
    <w:p w:rsidR="00F97EE8" w:rsidRPr="00ED15D5" w:rsidRDefault="00F97EE8">
      <w:pPr>
        <w:spacing w:line="221" w:lineRule="exact"/>
        <w:rPr>
          <w:sz w:val="20"/>
          <w:szCs w:val="20"/>
        </w:rPr>
      </w:pPr>
    </w:p>
    <w:p w:rsidR="00F97EE8" w:rsidRDefault="006601E9" w:rsidP="003F3690">
      <w:pPr>
        <w:numPr>
          <w:ilvl w:val="0"/>
          <w:numId w:val="13"/>
        </w:numPr>
        <w:tabs>
          <w:tab w:val="left" w:pos="711"/>
        </w:tabs>
        <w:ind w:left="3" w:hanging="3"/>
        <w:jc w:val="both"/>
        <w:rPr>
          <w:rFonts w:ascii="Garamond" w:eastAsia="Garamond" w:hAnsi="Garamond" w:cs="Garamond"/>
          <w:sz w:val="24"/>
          <w:szCs w:val="24"/>
        </w:rPr>
      </w:pPr>
      <w:r w:rsidRPr="00ED15D5">
        <w:rPr>
          <w:rFonts w:ascii="Garamond" w:eastAsia="Garamond" w:hAnsi="Garamond" w:cs="Garamond"/>
          <w:sz w:val="24"/>
          <w:szCs w:val="24"/>
        </w:rPr>
        <w:t>Kasační stížnost je podle § 104 odst. 3 písm. a) s. ř. s. nepřípustná proti rozhodnutí, jímž soud znovu rozhodl poté, kdy jeho původní rozhodnutí bylo zrušeno Nejvyšším správním soudem; to neplatí, je-li jako důvod kasační stížnosti namítáno, že se soud neřídil závazným právním názorem Nejvyššího správního soudu. Není přitom rozhodující, že nyní projednávaná kasační stížnost byla podána jiným stěžovatelem, než kasační stížnost předchozí. Jak již Nejvyšší správní soud konstatoval dříve ve své rozhodovací praxi (viz např. rozsudek Nejvyššího správního soudu ze dne 10. 5. 2010, č. j. 2 As 6/2010 - 163, dostupný tak jako ostatní zde uvedená rozhodnutí Nejvyššího správního soudu na www.nssoud.cz), smyslem a účelem zákazu opakovaného posuzování téže věci je vyloučení situace, kdy by se Nejvyšší správní soud znovu zabýval věcí, u které již jedenkrát vyslovil svůj závazný právní názor a tento názor byl nižším</w:t>
      </w:r>
      <w:r w:rsidR="003F3690">
        <w:rPr>
          <w:rFonts w:ascii="Garamond" w:eastAsia="Garamond" w:hAnsi="Garamond" w:cs="Garamond"/>
          <w:sz w:val="24"/>
          <w:szCs w:val="24"/>
        </w:rPr>
        <w:t xml:space="preserve"> </w:t>
      </w:r>
      <w:r w:rsidRPr="003F3690">
        <w:rPr>
          <w:rFonts w:ascii="Garamond" w:eastAsia="Garamond" w:hAnsi="Garamond" w:cs="Garamond"/>
          <w:sz w:val="24"/>
          <w:szCs w:val="24"/>
        </w:rPr>
        <w:t>soudem respektován [k tomu srovnej nález Ústavního soudu sp. zn. IV. ÚS 136/05 ze dne</w:t>
      </w:r>
      <w:r w:rsidR="003F3690">
        <w:rPr>
          <w:rFonts w:ascii="Garamond" w:eastAsia="Garamond" w:hAnsi="Garamond" w:cs="Garamond"/>
          <w:sz w:val="24"/>
          <w:szCs w:val="24"/>
        </w:rPr>
        <w:t xml:space="preserve"> 8. </w:t>
      </w:r>
      <w:r w:rsidRPr="003F3690">
        <w:rPr>
          <w:rFonts w:ascii="Garamond" w:eastAsia="Garamond" w:hAnsi="Garamond" w:cs="Garamond"/>
          <w:sz w:val="24"/>
          <w:szCs w:val="24"/>
        </w:rPr>
        <w:t>6. 2005; všechna rozhodnutí Ústavního soudu dostupná na nalus.usoud.cz]. Podle výše citovaného rozsudku Nejvyššího správního soudu č. j. 2 As 6/2010 - 163 „[s]</w:t>
      </w:r>
      <w:proofErr w:type="spellStart"/>
      <w:r w:rsidRPr="003F3690">
        <w:rPr>
          <w:rFonts w:ascii="Garamond" w:eastAsia="Garamond" w:hAnsi="Garamond" w:cs="Garamond"/>
          <w:i/>
          <w:iCs/>
          <w:sz w:val="24"/>
          <w:szCs w:val="24"/>
        </w:rPr>
        <w:t>měřuje-li</w:t>
      </w:r>
      <w:proofErr w:type="spellEnd"/>
      <w:r w:rsidRPr="003F3690">
        <w:rPr>
          <w:rFonts w:ascii="Garamond" w:eastAsia="Garamond" w:hAnsi="Garamond" w:cs="Garamond"/>
          <w:i/>
          <w:iCs/>
          <w:sz w:val="24"/>
          <w:szCs w:val="24"/>
        </w:rPr>
        <w:t xml:space="preserve"> tedy kasační</w:t>
      </w:r>
      <w:r w:rsidRPr="003F3690">
        <w:rPr>
          <w:rFonts w:ascii="Garamond" w:eastAsia="Garamond" w:hAnsi="Garamond" w:cs="Garamond"/>
          <w:sz w:val="24"/>
          <w:szCs w:val="24"/>
        </w:rPr>
        <w:t xml:space="preserve"> </w:t>
      </w:r>
      <w:r w:rsidRPr="003F3690">
        <w:rPr>
          <w:rFonts w:ascii="Garamond" w:eastAsia="Garamond" w:hAnsi="Garamond" w:cs="Garamond"/>
          <w:i/>
          <w:iCs/>
          <w:sz w:val="24"/>
          <w:szCs w:val="24"/>
        </w:rPr>
        <w:t>stížnost proti rozhodnutí krajského soudu, jímž tento rozhodl poté, kdy byl jeho předchozí rozsudek Nejvyšším</w:t>
      </w:r>
      <w:r w:rsidR="003F3690">
        <w:rPr>
          <w:rFonts w:ascii="Garamond" w:eastAsia="Garamond" w:hAnsi="Garamond" w:cs="Garamond"/>
          <w:sz w:val="24"/>
          <w:szCs w:val="24"/>
        </w:rPr>
        <w:t xml:space="preserve"> </w:t>
      </w:r>
      <w:r w:rsidRPr="003F3690">
        <w:rPr>
          <w:rFonts w:ascii="Garamond" w:eastAsia="Garamond" w:hAnsi="Garamond" w:cs="Garamond"/>
          <w:i/>
          <w:iCs/>
          <w:sz w:val="24"/>
          <w:szCs w:val="24"/>
        </w:rPr>
        <w:t>správním soudem zrušen, je kasační stížnost přípustná stran právní otázky, jíž se Nejvyšší správní soud v kasačním rozsudku nezabýval, nebo stran otázky, že se krajský soud závazným právním názorem neřídil</w:t>
      </w:r>
      <w:r w:rsidRPr="003F3690">
        <w:rPr>
          <w:rFonts w:ascii="Garamond" w:eastAsia="Garamond" w:hAnsi="Garamond" w:cs="Garamond"/>
          <w:sz w:val="24"/>
          <w:szCs w:val="24"/>
        </w:rPr>
        <w:t>.“</w:t>
      </w:r>
    </w:p>
    <w:p w:rsidR="003F3690" w:rsidRDefault="003F3690" w:rsidP="003F3690">
      <w:pPr>
        <w:tabs>
          <w:tab w:val="left" w:pos="711"/>
        </w:tabs>
        <w:jc w:val="both"/>
        <w:rPr>
          <w:rFonts w:ascii="Garamond" w:eastAsia="Garamond" w:hAnsi="Garamond" w:cs="Garamond"/>
          <w:sz w:val="24"/>
          <w:szCs w:val="24"/>
        </w:rPr>
      </w:pPr>
    </w:p>
    <w:p w:rsidR="00F97EE8" w:rsidRPr="003F3690" w:rsidRDefault="003F3690" w:rsidP="003F3690">
      <w:pPr>
        <w:numPr>
          <w:ilvl w:val="0"/>
          <w:numId w:val="13"/>
        </w:numPr>
        <w:tabs>
          <w:tab w:val="left" w:pos="711"/>
        </w:tabs>
        <w:ind w:left="3" w:hanging="3"/>
        <w:jc w:val="both"/>
        <w:rPr>
          <w:rFonts w:ascii="Garamond" w:eastAsia="Garamond" w:hAnsi="Garamond" w:cs="Garamond"/>
          <w:sz w:val="24"/>
          <w:szCs w:val="24"/>
        </w:rPr>
      </w:pPr>
      <w:r>
        <w:rPr>
          <w:rFonts w:ascii="Garamond" w:eastAsia="Garamond" w:hAnsi="Garamond" w:cs="Garamond"/>
          <w:sz w:val="24"/>
          <w:szCs w:val="24"/>
        </w:rPr>
        <w:t xml:space="preserve">Nejvyšší správní soud ve svém předchozím rozsudku ze dne 16. 8. 2017, č. j. 2 As 338/2016-27 vyslovil, že právní názor krajského soudu, že správní orgány byly při posuzování porušení zákazu diskriminace dle zákona o ochraně spotřebitele vázány </w:t>
      </w:r>
      <w:r w:rsidR="006601E9" w:rsidRPr="003F3690">
        <w:rPr>
          <w:rFonts w:ascii="Garamond" w:eastAsia="Garamond" w:hAnsi="Garamond" w:cs="Garamond"/>
          <w:sz w:val="24"/>
          <w:szCs w:val="24"/>
        </w:rPr>
        <w:t>jen diskriminačními důvody vyjmenovanými v antidiskriminačním zákoně, a proto nemohlo rozdílné zacházení na základě státní příslušnosti vést k porušení § 6 zákona o ochraně</w:t>
      </w:r>
      <w:r>
        <w:rPr>
          <w:rFonts w:ascii="Garamond" w:eastAsia="Garamond" w:hAnsi="Garamond" w:cs="Garamond"/>
          <w:sz w:val="24"/>
          <w:szCs w:val="24"/>
        </w:rPr>
        <w:t xml:space="preserve"> spotřebitele, byl nesprávný. V </w:t>
      </w:r>
      <w:r w:rsidR="006601E9" w:rsidRPr="003F3690">
        <w:rPr>
          <w:rFonts w:ascii="Garamond" w:eastAsia="Garamond" w:hAnsi="Garamond" w:cs="Garamond"/>
          <w:sz w:val="24"/>
          <w:szCs w:val="24"/>
        </w:rPr>
        <w:t>nyní posuzované kasační stížnosti stěžovatelka vznáší otázky, kterými se Nejvyšší správní soud ve svém předchozím rozsudku nezabýval. Kasační stížnost je tedy přípustná.</w:t>
      </w:r>
    </w:p>
    <w:p w:rsidR="00F97EE8" w:rsidRPr="00ED15D5" w:rsidRDefault="00F97EE8">
      <w:pPr>
        <w:spacing w:line="225" w:lineRule="exact"/>
        <w:rPr>
          <w:sz w:val="20"/>
          <w:szCs w:val="20"/>
        </w:rPr>
      </w:pPr>
    </w:p>
    <w:p w:rsidR="00F97EE8" w:rsidRPr="00ED15D5" w:rsidRDefault="006601E9" w:rsidP="00832458">
      <w:pPr>
        <w:ind w:left="3" w:right="20"/>
        <w:jc w:val="both"/>
        <w:rPr>
          <w:sz w:val="20"/>
          <w:szCs w:val="20"/>
        </w:rPr>
      </w:pPr>
      <w:r w:rsidRPr="00ED15D5">
        <w:rPr>
          <w:rFonts w:ascii="Garamond" w:eastAsia="Garamond" w:hAnsi="Garamond" w:cs="Garamond"/>
          <w:sz w:val="24"/>
          <w:szCs w:val="24"/>
        </w:rPr>
        <w:t>[15] Důvodnost kasační stížnosti vážil Nejvyšší správní soud v mezích jejího rozsahu a uplatněných důvodů a zkoumal přitom, zda napadený rozsudek netrpí vadami, k nimž by musel</w:t>
      </w:r>
      <w:r w:rsidR="00832458">
        <w:rPr>
          <w:rFonts w:ascii="Garamond" w:eastAsia="Garamond" w:hAnsi="Garamond" w:cs="Garamond"/>
          <w:sz w:val="24"/>
          <w:szCs w:val="24"/>
        </w:rPr>
        <w:t xml:space="preserve"> </w:t>
      </w:r>
      <w:r w:rsidR="00832458" w:rsidRPr="00ED15D5">
        <w:rPr>
          <w:rFonts w:ascii="Garamond" w:eastAsia="Garamond" w:hAnsi="Garamond" w:cs="Garamond"/>
          <w:sz w:val="24"/>
          <w:szCs w:val="24"/>
        </w:rPr>
        <w:t>při</w:t>
      </w:r>
      <w:r w:rsidR="007D3DCA">
        <w:rPr>
          <w:rFonts w:ascii="Garamond" w:eastAsia="Garamond" w:hAnsi="Garamond" w:cs="Garamond"/>
          <w:sz w:val="24"/>
          <w:szCs w:val="24"/>
        </w:rPr>
        <w:t>hlédnout z </w:t>
      </w:r>
      <w:r w:rsidR="00832458">
        <w:rPr>
          <w:rFonts w:ascii="Garamond" w:eastAsia="Garamond" w:hAnsi="Garamond" w:cs="Garamond"/>
          <w:sz w:val="24"/>
          <w:szCs w:val="24"/>
        </w:rPr>
        <w:t>úřední povinnosti (§ </w:t>
      </w:r>
      <w:r w:rsidR="00832458" w:rsidRPr="00ED15D5">
        <w:rPr>
          <w:rFonts w:ascii="Garamond" w:eastAsia="Garamond" w:hAnsi="Garamond" w:cs="Garamond"/>
          <w:sz w:val="24"/>
          <w:szCs w:val="24"/>
        </w:rPr>
        <w:t xml:space="preserve">109 odst. 3 a 4 </w:t>
      </w:r>
      <w:proofErr w:type="spellStart"/>
      <w:proofErr w:type="gramStart"/>
      <w:r w:rsidR="00832458" w:rsidRPr="00ED15D5">
        <w:rPr>
          <w:rFonts w:ascii="Garamond" w:eastAsia="Garamond" w:hAnsi="Garamond" w:cs="Garamond"/>
          <w:sz w:val="24"/>
          <w:szCs w:val="24"/>
        </w:rPr>
        <w:t>s.ř.</w:t>
      </w:r>
      <w:proofErr w:type="gramEnd"/>
      <w:r w:rsidR="00832458" w:rsidRPr="00ED15D5">
        <w:rPr>
          <w:rFonts w:ascii="Garamond" w:eastAsia="Garamond" w:hAnsi="Garamond" w:cs="Garamond"/>
          <w:sz w:val="24"/>
          <w:szCs w:val="24"/>
        </w:rPr>
        <w:t>s</w:t>
      </w:r>
      <w:proofErr w:type="spellEnd"/>
      <w:r w:rsidR="00832458" w:rsidRPr="00ED15D5">
        <w:rPr>
          <w:rFonts w:ascii="Garamond" w:eastAsia="Garamond" w:hAnsi="Garamond" w:cs="Garamond"/>
          <w:sz w:val="24"/>
          <w:szCs w:val="24"/>
        </w:rPr>
        <w:t>.), přičemž žádnou takovou vadu neshledal.</w:t>
      </w:r>
    </w:p>
    <w:p w:rsidR="00F97EE8" w:rsidRPr="00ED15D5" w:rsidRDefault="00F97EE8">
      <w:pPr>
        <w:sectPr w:rsidR="00F97EE8" w:rsidRPr="00ED15D5">
          <w:pgSz w:w="11900" w:h="16838"/>
          <w:pgMar w:top="677" w:right="1406" w:bottom="1440" w:left="1417" w:header="0" w:footer="0" w:gutter="0"/>
          <w:cols w:space="708" w:equalWidth="0">
            <w:col w:w="9083"/>
          </w:cols>
        </w:sectPr>
      </w:pPr>
    </w:p>
    <w:p w:rsidR="00F97EE8" w:rsidRPr="00ED15D5" w:rsidRDefault="006601E9">
      <w:pPr>
        <w:ind w:left="7383"/>
        <w:rPr>
          <w:sz w:val="20"/>
          <w:szCs w:val="20"/>
        </w:rPr>
      </w:pPr>
      <w:bookmarkStart w:id="5" w:name="page5"/>
      <w:bookmarkEnd w:id="5"/>
      <w:r w:rsidRPr="00ED15D5">
        <w:rPr>
          <w:rFonts w:ascii="Garamond" w:eastAsia="Garamond" w:hAnsi="Garamond" w:cs="Garamond"/>
          <w:sz w:val="24"/>
          <w:szCs w:val="24"/>
        </w:rPr>
        <w:lastRenderedPageBreak/>
        <w:t>2 As 43/2018 - 29</w:t>
      </w:r>
    </w:p>
    <w:p w:rsidR="00F97EE8" w:rsidRPr="00ED15D5" w:rsidRDefault="00F97EE8">
      <w:pPr>
        <w:spacing w:line="169" w:lineRule="exact"/>
        <w:rPr>
          <w:sz w:val="20"/>
          <w:szCs w:val="20"/>
        </w:rPr>
      </w:pPr>
    </w:p>
    <w:p w:rsidR="00F97EE8" w:rsidRPr="00ED15D5" w:rsidRDefault="00F97EE8" w:rsidP="003F3690">
      <w:pPr>
        <w:spacing w:line="274" w:lineRule="auto"/>
        <w:ind w:left="3" w:right="20"/>
        <w:jc w:val="both"/>
        <w:rPr>
          <w:sz w:val="20"/>
          <w:szCs w:val="20"/>
        </w:rPr>
      </w:pPr>
    </w:p>
    <w:p w:rsidR="00F97EE8" w:rsidRPr="00ED15D5" w:rsidRDefault="006601E9" w:rsidP="003F3690">
      <w:pPr>
        <w:spacing w:line="277" w:lineRule="auto"/>
        <w:ind w:left="3" w:right="20"/>
        <w:jc w:val="both"/>
        <w:rPr>
          <w:sz w:val="20"/>
          <w:szCs w:val="20"/>
        </w:rPr>
      </w:pPr>
      <w:r w:rsidRPr="00ED15D5">
        <w:rPr>
          <w:rFonts w:ascii="Garamond" w:eastAsia="Garamond" w:hAnsi="Garamond" w:cs="Garamond"/>
          <w:sz w:val="24"/>
          <w:szCs w:val="24"/>
        </w:rPr>
        <w:t>[16] Podle § 6 zákona o ochraně spotřebitele „[p]</w:t>
      </w:r>
      <w:proofErr w:type="spellStart"/>
      <w:r w:rsidRPr="00ED15D5">
        <w:rPr>
          <w:rFonts w:ascii="Garamond" w:eastAsia="Garamond" w:hAnsi="Garamond" w:cs="Garamond"/>
          <w:i/>
          <w:iCs/>
          <w:sz w:val="24"/>
          <w:szCs w:val="24"/>
        </w:rPr>
        <w:t>rodávající</w:t>
      </w:r>
      <w:proofErr w:type="spellEnd"/>
      <w:r w:rsidRPr="00ED15D5">
        <w:rPr>
          <w:rFonts w:ascii="Garamond" w:eastAsia="Garamond" w:hAnsi="Garamond" w:cs="Garamond"/>
          <w:i/>
          <w:iCs/>
          <w:sz w:val="24"/>
          <w:szCs w:val="24"/>
        </w:rPr>
        <w:t xml:space="preserve"> nesmí při prodeji výrobků</w:t>
      </w:r>
      <w:r w:rsidRPr="00ED15D5">
        <w:rPr>
          <w:rFonts w:ascii="Garamond" w:eastAsia="Garamond" w:hAnsi="Garamond" w:cs="Garamond"/>
          <w:sz w:val="24"/>
          <w:szCs w:val="24"/>
        </w:rPr>
        <w:t xml:space="preserve"> </w:t>
      </w:r>
      <w:r w:rsidRPr="00ED15D5">
        <w:rPr>
          <w:rFonts w:ascii="Garamond" w:eastAsia="Garamond" w:hAnsi="Garamond" w:cs="Garamond"/>
          <w:i/>
          <w:iCs/>
          <w:sz w:val="24"/>
          <w:szCs w:val="24"/>
        </w:rPr>
        <w:t>nebo poskytování služeb spotřebitele diskriminovat</w:t>
      </w:r>
      <w:r w:rsidRPr="00ED15D5">
        <w:rPr>
          <w:rFonts w:ascii="Garamond" w:eastAsia="Garamond" w:hAnsi="Garamond" w:cs="Garamond"/>
          <w:sz w:val="24"/>
          <w:szCs w:val="24"/>
        </w:rPr>
        <w:t>“.</w:t>
      </w:r>
    </w:p>
    <w:p w:rsidR="00F97EE8" w:rsidRPr="00ED15D5" w:rsidRDefault="00F97EE8">
      <w:pPr>
        <w:spacing w:line="188" w:lineRule="exact"/>
        <w:rPr>
          <w:sz w:val="20"/>
          <w:szCs w:val="20"/>
        </w:rPr>
      </w:pPr>
    </w:p>
    <w:p w:rsidR="00F97EE8" w:rsidRPr="003F3690" w:rsidRDefault="006601E9" w:rsidP="003F3690">
      <w:pPr>
        <w:numPr>
          <w:ilvl w:val="0"/>
          <w:numId w:val="15"/>
        </w:numPr>
        <w:tabs>
          <w:tab w:val="left" w:pos="711"/>
        </w:tabs>
        <w:ind w:left="3" w:hanging="3"/>
        <w:jc w:val="both"/>
        <w:rPr>
          <w:rFonts w:ascii="Garamond" w:eastAsia="Garamond" w:hAnsi="Garamond" w:cs="Garamond"/>
          <w:sz w:val="24"/>
          <w:szCs w:val="24"/>
        </w:rPr>
      </w:pPr>
      <w:r w:rsidRPr="00ED15D5">
        <w:rPr>
          <w:rFonts w:ascii="Garamond" w:eastAsia="Garamond" w:hAnsi="Garamond" w:cs="Garamond"/>
          <w:sz w:val="24"/>
          <w:szCs w:val="24"/>
        </w:rPr>
        <w:t>Předně má Nejvyšší správní soud za to, že testu diskrimina</w:t>
      </w:r>
      <w:r w:rsidR="003F3690">
        <w:rPr>
          <w:rFonts w:ascii="Garamond" w:eastAsia="Garamond" w:hAnsi="Garamond" w:cs="Garamond"/>
          <w:sz w:val="24"/>
          <w:szCs w:val="24"/>
        </w:rPr>
        <w:t>ce, který krajský soud využil v </w:t>
      </w:r>
      <w:r w:rsidRPr="00ED15D5">
        <w:rPr>
          <w:rFonts w:ascii="Garamond" w:eastAsia="Garamond" w:hAnsi="Garamond" w:cs="Garamond"/>
          <w:sz w:val="24"/>
          <w:szCs w:val="24"/>
        </w:rPr>
        <w:t>odůvodnění napadeného rozsudku, nelze nic vytknout. Za podstatné východisko je třeba považovat judikaturu Ústavního soudu, podle níž k porušení principu rovnosti dochází, jestliže se s různými subjekty, které se nacházejí ve stejné nebo srovnatelné situaci, zachází rozdílným způsobem, aniž by existovaly objektivní a rozumné důvody pro odlišný přístup, tj. pokud odlišnost v zacházení nesleduje legitimní cíl a pokud nejsou použité prostředky přiměřené sledovanému cíli (srov. např. nález Ústavního soudu ze dne 6. 6. 2006, sp. zn. Pl. ÚS 42/04, či nález Ústavního soudu ze dne 1. 12. 2009, sp. zn. Pl. ÚS 4/07). Z tohoto pojetí diskriminace Nejvyšší správní soud opakovaně vycházel při výkladu § 6 zákona o ochraně spotřebitele (srov. rozsudek Nejvyššího správního soudu ze dne 16. 3. 2007, č. j. 4 As 63/2005 – 69,</w:t>
      </w:r>
      <w:r w:rsidR="003F3690">
        <w:rPr>
          <w:rFonts w:ascii="Garamond" w:eastAsia="Garamond" w:hAnsi="Garamond" w:cs="Garamond"/>
          <w:sz w:val="24"/>
          <w:szCs w:val="24"/>
        </w:rPr>
        <w:t xml:space="preserve"> </w:t>
      </w:r>
      <w:proofErr w:type="spellStart"/>
      <w:r w:rsidR="003F3690">
        <w:rPr>
          <w:rFonts w:ascii="Garamond" w:eastAsia="Garamond" w:hAnsi="Garamond" w:cs="Garamond"/>
          <w:sz w:val="24"/>
          <w:szCs w:val="24"/>
        </w:rPr>
        <w:t>publ</w:t>
      </w:r>
      <w:proofErr w:type="spellEnd"/>
      <w:r w:rsidR="003F3690">
        <w:rPr>
          <w:rFonts w:ascii="Garamond" w:eastAsia="Garamond" w:hAnsi="Garamond" w:cs="Garamond"/>
          <w:sz w:val="24"/>
          <w:szCs w:val="24"/>
        </w:rPr>
        <w:t xml:space="preserve">. </w:t>
      </w:r>
      <w:proofErr w:type="gramStart"/>
      <w:r w:rsidR="003F3690">
        <w:rPr>
          <w:rFonts w:ascii="Garamond" w:eastAsia="Garamond" w:hAnsi="Garamond" w:cs="Garamond"/>
          <w:sz w:val="24"/>
          <w:szCs w:val="24"/>
        </w:rPr>
        <w:t>pod</w:t>
      </w:r>
      <w:proofErr w:type="gramEnd"/>
      <w:r w:rsidR="003F3690">
        <w:rPr>
          <w:rFonts w:ascii="Garamond" w:eastAsia="Garamond" w:hAnsi="Garamond" w:cs="Garamond"/>
          <w:sz w:val="24"/>
          <w:szCs w:val="24"/>
        </w:rPr>
        <w:t xml:space="preserve"> č. </w:t>
      </w:r>
      <w:r w:rsidRPr="003F3690">
        <w:rPr>
          <w:rFonts w:ascii="Garamond" w:eastAsia="Garamond" w:hAnsi="Garamond" w:cs="Garamond"/>
          <w:sz w:val="24"/>
          <w:szCs w:val="24"/>
        </w:rPr>
        <w:t xml:space="preserve">1238/2007 Sb. NSS, rozsudek Nejvyššího správního soudu ze dne 20. 12. 2006, č. j. </w:t>
      </w:r>
      <w:r w:rsidR="007D3DCA">
        <w:rPr>
          <w:rFonts w:ascii="Garamond" w:eastAsia="Garamond" w:hAnsi="Garamond" w:cs="Garamond"/>
          <w:sz w:val="24"/>
          <w:szCs w:val="24"/>
        </w:rPr>
        <w:t xml:space="preserve">1 As 14/2006 – 68, </w:t>
      </w:r>
      <w:proofErr w:type="spellStart"/>
      <w:r w:rsidR="007D3DCA">
        <w:rPr>
          <w:rFonts w:ascii="Garamond" w:eastAsia="Garamond" w:hAnsi="Garamond" w:cs="Garamond"/>
          <w:sz w:val="24"/>
          <w:szCs w:val="24"/>
        </w:rPr>
        <w:t>publ</w:t>
      </w:r>
      <w:proofErr w:type="spellEnd"/>
      <w:r w:rsidR="007D3DCA">
        <w:rPr>
          <w:rFonts w:ascii="Garamond" w:eastAsia="Garamond" w:hAnsi="Garamond" w:cs="Garamond"/>
          <w:sz w:val="24"/>
          <w:szCs w:val="24"/>
        </w:rPr>
        <w:t xml:space="preserve">. </w:t>
      </w:r>
      <w:proofErr w:type="gramStart"/>
      <w:r w:rsidR="007D3DCA">
        <w:rPr>
          <w:rFonts w:ascii="Garamond" w:eastAsia="Garamond" w:hAnsi="Garamond" w:cs="Garamond"/>
          <w:sz w:val="24"/>
          <w:szCs w:val="24"/>
        </w:rPr>
        <w:t>pod</w:t>
      </w:r>
      <w:proofErr w:type="gramEnd"/>
      <w:r w:rsidR="007D3DCA">
        <w:rPr>
          <w:rFonts w:ascii="Garamond" w:eastAsia="Garamond" w:hAnsi="Garamond" w:cs="Garamond"/>
          <w:sz w:val="24"/>
          <w:szCs w:val="24"/>
        </w:rPr>
        <w:t xml:space="preserve"> č. </w:t>
      </w:r>
      <w:r w:rsidRPr="003F3690">
        <w:rPr>
          <w:rFonts w:ascii="Garamond" w:eastAsia="Garamond" w:hAnsi="Garamond" w:cs="Garamond"/>
          <w:sz w:val="24"/>
          <w:szCs w:val="24"/>
        </w:rPr>
        <w:t>1162/2007 Sb. NSS, či rozsudek Nejvyššího správního soudu ze dne 6. 2. 2008, č. j. 3 As 67/2007 – 54) a vedle toho v rozsudku ze dne 11. 4. 2006,</w:t>
      </w:r>
      <w:r w:rsidR="003F3690">
        <w:rPr>
          <w:rFonts w:ascii="Garamond" w:eastAsia="Garamond" w:hAnsi="Garamond" w:cs="Garamond"/>
          <w:sz w:val="24"/>
          <w:szCs w:val="24"/>
        </w:rPr>
        <w:t xml:space="preserve"> č. j. 8 As 35/2005 </w:t>
      </w:r>
      <w:r w:rsidRPr="003F3690">
        <w:rPr>
          <w:rFonts w:ascii="Garamond" w:eastAsia="Garamond" w:hAnsi="Garamond" w:cs="Garamond"/>
          <w:sz w:val="24"/>
          <w:szCs w:val="24"/>
        </w:rPr>
        <w:t xml:space="preserve">– 51, </w:t>
      </w:r>
      <w:proofErr w:type="spellStart"/>
      <w:r w:rsidRPr="003F3690">
        <w:rPr>
          <w:rFonts w:ascii="Garamond" w:eastAsia="Garamond" w:hAnsi="Garamond" w:cs="Garamond"/>
          <w:sz w:val="24"/>
          <w:szCs w:val="24"/>
        </w:rPr>
        <w:t>publ</w:t>
      </w:r>
      <w:proofErr w:type="spellEnd"/>
      <w:r w:rsidRPr="003F3690">
        <w:rPr>
          <w:rFonts w:ascii="Garamond" w:eastAsia="Garamond" w:hAnsi="Garamond" w:cs="Garamond"/>
          <w:sz w:val="24"/>
          <w:szCs w:val="24"/>
        </w:rPr>
        <w:t xml:space="preserve">. </w:t>
      </w:r>
      <w:proofErr w:type="gramStart"/>
      <w:r w:rsidRPr="003F3690">
        <w:rPr>
          <w:rFonts w:ascii="Garamond" w:eastAsia="Garamond" w:hAnsi="Garamond" w:cs="Garamond"/>
          <w:sz w:val="24"/>
          <w:szCs w:val="24"/>
        </w:rPr>
        <w:t>pod</w:t>
      </w:r>
      <w:proofErr w:type="gramEnd"/>
      <w:r w:rsidRPr="003F3690">
        <w:rPr>
          <w:rFonts w:ascii="Garamond" w:eastAsia="Garamond" w:hAnsi="Garamond" w:cs="Garamond"/>
          <w:sz w:val="24"/>
          <w:szCs w:val="24"/>
        </w:rPr>
        <w:t xml:space="preserve"> č. 956/2006 Sb. NSS, dovodil, že diskriminaci spotřebitele představují </w:t>
      </w:r>
      <w:r w:rsidRPr="003F3690">
        <w:rPr>
          <w:rFonts w:ascii="Garamond" w:eastAsia="Garamond" w:hAnsi="Garamond" w:cs="Garamond"/>
          <w:i/>
          <w:iCs/>
          <w:sz w:val="24"/>
          <w:szCs w:val="24"/>
        </w:rPr>
        <w:t>„obchodní praktiky, které při srovnatelných transakcích nedůvodně zvýhodňují některé</w:t>
      </w:r>
      <w:r w:rsidRPr="003F3690">
        <w:rPr>
          <w:rFonts w:ascii="Garamond" w:eastAsia="Garamond" w:hAnsi="Garamond" w:cs="Garamond"/>
          <w:sz w:val="24"/>
          <w:szCs w:val="24"/>
        </w:rPr>
        <w:t xml:space="preserve"> </w:t>
      </w:r>
      <w:r w:rsidRPr="003F3690">
        <w:rPr>
          <w:rFonts w:ascii="Garamond" w:eastAsia="Garamond" w:hAnsi="Garamond" w:cs="Garamond"/>
          <w:i/>
          <w:iCs/>
          <w:sz w:val="24"/>
          <w:szCs w:val="24"/>
        </w:rPr>
        <w:t xml:space="preserve">spotřebitele před jinými“ </w:t>
      </w:r>
      <w:r w:rsidRPr="003F3690">
        <w:rPr>
          <w:rFonts w:ascii="Garamond" w:eastAsia="Garamond" w:hAnsi="Garamond" w:cs="Garamond"/>
          <w:sz w:val="24"/>
          <w:szCs w:val="24"/>
        </w:rPr>
        <w:t>(shodně srov. také rozsudek Nejvyššího správního soudu ze dne 8. 11.</w:t>
      </w:r>
      <w:r w:rsidRPr="003F3690">
        <w:rPr>
          <w:rFonts w:ascii="Garamond" w:eastAsia="Garamond" w:hAnsi="Garamond" w:cs="Garamond"/>
          <w:i/>
          <w:iCs/>
          <w:sz w:val="24"/>
          <w:szCs w:val="24"/>
        </w:rPr>
        <w:t xml:space="preserve"> </w:t>
      </w:r>
      <w:r w:rsidRPr="003F3690">
        <w:rPr>
          <w:rFonts w:ascii="Garamond" w:eastAsia="Garamond" w:hAnsi="Garamond" w:cs="Garamond"/>
          <w:sz w:val="24"/>
          <w:szCs w:val="24"/>
        </w:rPr>
        <w:t>2007,</w:t>
      </w:r>
      <w:r w:rsidR="003F3690">
        <w:rPr>
          <w:rFonts w:ascii="Garamond" w:eastAsia="Garamond" w:hAnsi="Garamond" w:cs="Garamond"/>
          <w:sz w:val="24"/>
          <w:szCs w:val="24"/>
        </w:rPr>
        <w:t xml:space="preserve"> č. </w:t>
      </w:r>
      <w:r w:rsidRPr="003F3690">
        <w:rPr>
          <w:rFonts w:ascii="Garamond" w:eastAsia="Garamond" w:hAnsi="Garamond" w:cs="Garamond"/>
          <w:sz w:val="24"/>
          <w:szCs w:val="24"/>
        </w:rPr>
        <w:t xml:space="preserve">j. 3 As 49/2007 – 43, </w:t>
      </w:r>
      <w:proofErr w:type="spellStart"/>
      <w:r w:rsidRPr="003F3690">
        <w:rPr>
          <w:rFonts w:ascii="Garamond" w:eastAsia="Garamond" w:hAnsi="Garamond" w:cs="Garamond"/>
          <w:sz w:val="24"/>
          <w:szCs w:val="24"/>
        </w:rPr>
        <w:t>publ</w:t>
      </w:r>
      <w:proofErr w:type="spellEnd"/>
      <w:r w:rsidRPr="003F3690">
        <w:rPr>
          <w:rFonts w:ascii="Garamond" w:eastAsia="Garamond" w:hAnsi="Garamond" w:cs="Garamond"/>
          <w:sz w:val="24"/>
          <w:szCs w:val="24"/>
        </w:rPr>
        <w:t xml:space="preserve">. </w:t>
      </w:r>
      <w:proofErr w:type="gramStart"/>
      <w:r w:rsidRPr="003F3690">
        <w:rPr>
          <w:rFonts w:ascii="Garamond" w:eastAsia="Garamond" w:hAnsi="Garamond" w:cs="Garamond"/>
          <w:sz w:val="24"/>
          <w:szCs w:val="24"/>
        </w:rPr>
        <w:t>pod</w:t>
      </w:r>
      <w:proofErr w:type="gramEnd"/>
      <w:r w:rsidRPr="003F3690">
        <w:rPr>
          <w:rFonts w:ascii="Garamond" w:eastAsia="Garamond" w:hAnsi="Garamond" w:cs="Garamond"/>
          <w:sz w:val="24"/>
          <w:szCs w:val="24"/>
        </w:rPr>
        <w:t xml:space="preserve"> č. 1467/2008 Sb. NSS).</w:t>
      </w:r>
    </w:p>
    <w:p w:rsidR="00F97EE8" w:rsidRPr="00ED15D5" w:rsidRDefault="00F97EE8">
      <w:pPr>
        <w:spacing w:line="270" w:lineRule="exact"/>
        <w:rPr>
          <w:sz w:val="20"/>
          <w:szCs w:val="20"/>
        </w:rPr>
      </w:pPr>
    </w:p>
    <w:p w:rsidR="00F97EE8" w:rsidRDefault="006601E9">
      <w:pPr>
        <w:numPr>
          <w:ilvl w:val="0"/>
          <w:numId w:val="17"/>
        </w:numPr>
        <w:tabs>
          <w:tab w:val="left" w:pos="711"/>
        </w:tabs>
        <w:spacing w:line="239" w:lineRule="auto"/>
        <w:ind w:left="3" w:hanging="3"/>
        <w:jc w:val="both"/>
        <w:rPr>
          <w:rFonts w:ascii="Garamond" w:eastAsia="Garamond" w:hAnsi="Garamond" w:cs="Garamond"/>
          <w:sz w:val="24"/>
          <w:szCs w:val="24"/>
        </w:rPr>
      </w:pPr>
      <w:r w:rsidRPr="00ED15D5">
        <w:rPr>
          <w:rFonts w:ascii="Garamond" w:eastAsia="Garamond" w:hAnsi="Garamond" w:cs="Garamond"/>
          <w:sz w:val="24"/>
          <w:szCs w:val="24"/>
        </w:rPr>
        <w:t>Doplňkově lze na tomto místě poukázat rovněž na novějš</w:t>
      </w:r>
      <w:r w:rsidR="003F3690">
        <w:rPr>
          <w:rFonts w:ascii="Garamond" w:eastAsia="Garamond" w:hAnsi="Garamond" w:cs="Garamond"/>
          <w:sz w:val="24"/>
          <w:szCs w:val="24"/>
        </w:rPr>
        <w:t>í judikaturu Ústavního soudu, v </w:t>
      </w:r>
      <w:r w:rsidRPr="00ED15D5">
        <w:rPr>
          <w:rFonts w:ascii="Garamond" w:eastAsia="Garamond" w:hAnsi="Garamond" w:cs="Garamond"/>
          <w:sz w:val="24"/>
          <w:szCs w:val="24"/>
        </w:rPr>
        <w:t xml:space="preserve">níž jsou výše uvedené znaky diskriminace zformulovány do podoby přehledného testu sestávajícího z následujících otázek: </w:t>
      </w:r>
      <w:r w:rsidRPr="00ED15D5">
        <w:rPr>
          <w:rFonts w:ascii="Garamond" w:eastAsia="Garamond" w:hAnsi="Garamond" w:cs="Garamond"/>
          <w:i/>
          <w:iCs/>
          <w:sz w:val="24"/>
          <w:szCs w:val="24"/>
        </w:rPr>
        <w:t>„1. Jde o srovnatelného jednotlivce nebo skupiny?; 2. Je s nimi</w:t>
      </w:r>
      <w:r w:rsidRPr="00ED15D5">
        <w:rPr>
          <w:rFonts w:ascii="Garamond" w:eastAsia="Garamond" w:hAnsi="Garamond" w:cs="Garamond"/>
          <w:sz w:val="24"/>
          <w:szCs w:val="24"/>
        </w:rPr>
        <w:t xml:space="preserve"> </w:t>
      </w:r>
      <w:r w:rsidRPr="00ED15D5">
        <w:rPr>
          <w:rFonts w:ascii="Garamond" w:eastAsia="Garamond" w:hAnsi="Garamond" w:cs="Garamond"/>
          <w:i/>
          <w:iCs/>
          <w:sz w:val="24"/>
          <w:szCs w:val="24"/>
        </w:rPr>
        <w:t>nakládáno odlišně na základě některého ze zakázaných důvodů?; 3. Je odlišné za</w:t>
      </w:r>
      <w:r w:rsidR="003F3690">
        <w:rPr>
          <w:rFonts w:ascii="Garamond" w:eastAsia="Garamond" w:hAnsi="Garamond" w:cs="Garamond"/>
          <w:i/>
          <w:iCs/>
          <w:sz w:val="24"/>
          <w:szCs w:val="24"/>
        </w:rPr>
        <w:t>cházení dotčenému jednotlivci k </w:t>
      </w:r>
      <w:r w:rsidRPr="00ED15D5">
        <w:rPr>
          <w:rFonts w:ascii="Garamond" w:eastAsia="Garamond" w:hAnsi="Garamond" w:cs="Garamond"/>
          <w:i/>
          <w:iCs/>
          <w:sz w:val="24"/>
          <w:szCs w:val="24"/>
        </w:rPr>
        <w:t>tíži (uložením břemene nebo odepřením dobra)?; 4. Je toto odlišné zacházení ospravedlnitelné, tj. a) sleduje</w:t>
      </w:r>
      <w:r w:rsidR="00832458">
        <w:rPr>
          <w:rFonts w:ascii="Garamond" w:eastAsia="Garamond" w:hAnsi="Garamond" w:cs="Garamond"/>
          <w:i/>
          <w:iCs/>
          <w:sz w:val="24"/>
          <w:szCs w:val="24"/>
        </w:rPr>
        <w:t xml:space="preserve"> legitimní zájem a b) je přiměřené?“</w:t>
      </w:r>
      <w:r w:rsidR="00832458">
        <w:rPr>
          <w:rFonts w:ascii="Garamond" w:eastAsia="Garamond" w:hAnsi="Garamond" w:cs="Garamond"/>
          <w:iCs/>
          <w:sz w:val="24"/>
          <w:szCs w:val="24"/>
        </w:rPr>
        <w:t xml:space="preserve"> (srov. nález Ústavního soudu ze dne 28. 1. 2014, sp. zn. Pl. ÚS 49/10, nebo nález Ústavního soudu ze dne </w:t>
      </w:r>
      <w:r w:rsidR="00832458" w:rsidRPr="00ED15D5">
        <w:rPr>
          <w:rFonts w:ascii="Garamond" w:eastAsia="Garamond" w:hAnsi="Garamond" w:cs="Garamond"/>
          <w:sz w:val="24"/>
          <w:szCs w:val="24"/>
        </w:rPr>
        <w:t>10. 7. 2014,</w:t>
      </w:r>
      <w:r w:rsidR="00832458">
        <w:rPr>
          <w:rFonts w:ascii="Garamond" w:eastAsia="Garamond" w:hAnsi="Garamond" w:cs="Garamond"/>
          <w:sz w:val="24"/>
          <w:szCs w:val="24"/>
        </w:rPr>
        <w:t xml:space="preserve"> </w:t>
      </w:r>
      <w:r w:rsidR="00832458" w:rsidRPr="00ED15D5">
        <w:rPr>
          <w:rFonts w:ascii="Garamond" w:eastAsia="Garamond" w:hAnsi="Garamond" w:cs="Garamond"/>
          <w:sz w:val="24"/>
          <w:szCs w:val="24"/>
        </w:rPr>
        <w:t>sp. zn. Pl. ÚS 31/13)</w:t>
      </w:r>
      <w:r w:rsidR="00832458">
        <w:rPr>
          <w:rFonts w:ascii="Garamond" w:eastAsia="Garamond" w:hAnsi="Garamond" w:cs="Garamond"/>
          <w:sz w:val="24"/>
          <w:szCs w:val="24"/>
        </w:rPr>
        <w:t xml:space="preserve">. Tento test již převzal Nejvyšší správní soud např. v rozsudku ze dne 19. 9. 2014, </w:t>
      </w:r>
      <w:r w:rsidR="00832458" w:rsidRPr="00ED15D5">
        <w:rPr>
          <w:rFonts w:ascii="Garamond" w:eastAsia="Garamond" w:hAnsi="Garamond" w:cs="Garamond"/>
          <w:sz w:val="24"/>
          <w:szCs w:val="24"/>
        </w:rPr>
        <w:t>č. j. 6 As 33/2013 – 50,</w:t>
      </w:r>
      <w:r w:rsidR="00832458">
        <w:rPr>
          <w:rFonts w:ascii="Garamond" w:eastAsia="Garamond" w:hAnsi="Garamond" w:cs="Garamond"/>
          <w:sz w:val="24"/>
          <w:szCs w:val="24"/>
        </w:rPr>
        <w:t xml:space="preserve"> </w:t>
      </w:r>
      <w:r w:rsidR="00832458" w:rsidRPr="00ED15D5">
        <w:rPr>
          <w:rFonts w:ascii="Garamond" w:eastAsia="Garamond" w:hAnsi="Garamond" w:cs="Garamond"/>
          <w:sz w:val="24"/>
          <w:szCs w:val="24"/>
        </w:rPr>
        <w:t>ve</w:t>
      </w:r>
      <w:r w:rsidR="00832458" w:rsidRPr="00832458">
        <w:rPr>
          <w:rFonts w:ascii="Garamond" w:eastAsia="Garamond" w:hAnsi="Garamond" w:cs="Garamond"/>
          <w:sz w:val="24"/>
          <w:szCs w:val="24"/>
        </w:rPr>
        <w:t xml:space="preserve"> </w:t>
      </w:r>
      <w:r w:rsidR="00832458" w:rsidRPr="00ED15D5">
        <w:rPr>
          <w:rFonts w:ascii="Garamond" w:eastAsia="Garamond" w:hAnsi="Garamond" w:cs="Garamond"/>
          <w:sz w:val="24"/>
          <w:szCs w:val="24"/>
        </w:rPr>
        <w:t>věci</w:t>
      </w:r>
      <w:r w:rsidR="00832458" w:rsidRPr="00832458">
        <w:rPr>
          <w:rFonts w:ascii="Garamond" w:eastAsia="Garamond" w:hAnsi="Garamond" w:cs="Garamond"/>
          <w:sz w:val="24"/>
          <w:szCs w:val="24"/>
        </w:rPr>
        <w:t xml:space="preserve"> </w:t>
      </w:r>
      <w:r w:rsidR="00832458" w:rsidRPr="00ED15D5">
        <w:rPr>
          <w:rFonts w:ascii="Garamond" w:eastAsia="Garamond" w:hAnsi="Garamond" w:cs="Garamond"/>
          <w:sz w:val="24"/>
          <w:szCs w:val="24"/>
        </w:rPr>
        <w:t>týkající se státních maturit a není důvod,</w:t>
      </w:r>
      <w:r w:rsidR="00832458">
        <w:rPr>
          <w:rFonts w:ascii="Garamond" w:eastAsia="Garamond" w:hAnsi="Garamond" w:cs="Garamond"/>
          <w:sz w:val="24"/>
          <w:szCs w:val="24"/>
        </w:rPr>
        <w:t xml:space="preserve"> proč by nemohl </w:t>
      </w:r>
      <w:r w:rsidR="00832458" w:rsidRPr="00ED15D5">
        <w:rPr>
          <w:rFonts w:ascii="Garamond" w:eastAsia="Garamond" w:hAnsi="Garamond" w:cs="Garamond"/>
          <w:sz w:val="24"/>
          <w:szCs w:val="24"/>
        </w:rPr>
        <w:t>být využitelný i v oblasti ochrany spotřebitele.</w:t>
      </w:r>
    </w:p>
    <w:p w:rsidR="00832458" w:rsidRDefault="00832458" w:rsidP="00832458">
      <w:pPr>
        <w:tabs>
          <w:tab w:val="left" w:pos="711"/>
        </w:tabs>
        <w:spacing w:line="239" w:lineRule="auto"/>
        <w:jc w:val="both"/>
        <w:rPr>
          <w:rFonts w:ascii="Garamond" w:eastAsia="Garamond" w:hAnsi="Garamond" w:cs="Garamond"/>
          <w:sz w:val="24"/>
          <w:szCs w:val="24"/>
        </w:rPr>
      </w:pPr>
    </w:p>
    <w:p w:rsidR="00832458" w:rsidRDefault="00832458">
      <w:pPr>
        <w:numPr>
          <w:ilvl w:val="0"/>
          <w:numId w:val="17"/>
        </w:numPr>
        <w:tabs>
          <w:tab w:val="left" w:pos="711"/>
        </w:tabs>
        <w:spacing w:line="239" w:lineRule="auto"/>
        <w:ind w:left="3" w:hanging="3"/>
        <w:jc w:val="both"/>
        <w:rPr>
          <w:rFonts w:ascii="Garamond" w:eastAsia="Garamond" w:hAnsi="Garamond" w:cs="Garamond"/>
          <w:sz w:val="24"/>
          <w:szCs w:val="24"/>
        </w:rPr>
      </w:pPr>
      <w:r>
        <w:rPr>
          <w:rFonts w:ascii="Garamond" w:eastAsia="Garamond" w:hAnsi="Garamond" w:cs="Garamond"/>
          <w:sz w:val="24"/>
          <w:szCs w:val="24"/>
        </w:rPr>
        <w:t xml:space="preserve">Krajský soud tedy v napadeném rozsudku postupoval zcela správně, když na projednávanou věc aplikoval test diskriminace, který obsahově odpovídal judikatuře Ústavního soudu i Nejvyššího správního soudu. Ostatně ani stěžovatelka proti formulaci tohoto testu nevznesla žádné výhrady a své kasační námitky zaměřila </w:t>
      </w:r>
      <w:r w:rsidRPr="00ED15D5">
        <w:rPr>
          <w:rFonts w:ascii="Garamond" w:eastAsia="Garamond" w:hAnsi="Garamond" w:cs="Garamond"/>
          <w:sz w:val="24"/>
          <w:szCs w:val="24"/>
        </w:rPr>
        <w:t>jen na způsob jeho užití v daném případě.</w:t>
      </w:r>
    </w:p>
    <w:p w:rsidR="00832458" w:rsidRDefault="00832458" w:rsidP="00832458">
      <w:pPr>
        <w:pStyle w:val="Odstavecseseznamem"/>
        <w:rPr>
          <w:rFonts w:ascii="Garamond" w:eastAsia="Garamond" w:hAnsi="Garamond" w:cs="Garamond"/>
          <w:sz w:val="24"/>
          <w:szCs w:val="24"/>
        </w:rPr>
      </w:pPr>
    </w:p>
    <w:p w:rsidR="00F97EE8" w:rsidRPr="00832458" w:rsidRDefault="00832458" w:rsidP="00832458">
      <w:pPr>
        <w:numPr>
          <w:ilvl w:val="0"/>
          <w:numId w:val="17"/>
        </w:numPr>
        <w:tabs>
          <w:tab w:val="left" w:pos="711"/>
        </w:tabs>
        <w:spacing w:line="244" w:lineRule="auto"/>
        <w:ind w:left="3" w:right="20" w:hanging="3"/>
        <w:jc w:val="both"/>
        <w:rPr>
          <w:sz w:val="20"/>
          <w:szCs w:val="20"/>
        </w:rPr>
      </w:pPr>
      <w:r w:rsidRPr="00832458">
        <w:rPr>
          <w:rFonts w:ascii="Garamond" w:eastAsia="Garamond" w:hAnsi="Garamond" w:cs="Garamond"/>
          <w:sz w:val="24"/>
          <w:szCs w:val="24"/>
        </w:rPr>
        <w:t xml:space="preserve">Stěžovatelka namítala, že její jednání nelze posoudit jako diskriminační, protože </w:t>
      </w:r>
      <w:r w:rsidR="006601E9" w:rsidRPr="00832458">
        <w:rPr>
          <w:rFonts w:ascii="Garamond" w:eastAsia="Garamond" w:hAnsi="Garamond" w:cs="Garamond"/>
          <w:sz w:val="24"/>
          <w:szCs w:val="24"/>
        </w:rPr>
        <w:t>jím ve skutečnosti nedošlo ke zvýhodnění či znevýhodnění žádné konkrétní osoby. To</w:t>
      </w:r>
      <w:r>
        <w:rPr>
          <w:rFonts w:ascii="Garamond" w:eastAsia="Garamond" w:hAnsi="Garamond" w:cs="Garamond"/>
          <w:sz w:val="24"/>
          <w:szCs w:val="24"/>
        </w:rPr>
        <w:t xml:space="preserve"> však není v </w:t>
      </w:r>
      <w:r w:rsidR="006601E9" w:rsidRPr="00832458">
        <w:rPr>
          <w:rFonts w:ascii="Garamond" w:eastAsia="Garamond" w:hAnsi="Garamond" w:cs="Garamond"/>
          <w:sz w:val="24"/>
          <w:szCs w:val="24"/>
        </w:rPr>
        <w:t>projednávané věci rozhodující. Stěžovatelka prokazatelně zacházela s občany Ruské federace odlišně, když u nich ubytování ve svém hotelu podmínila pod</w:t>
      </w:r>
      <w:r w:rsidR="003F3690" w:rsidRPr="00832458">
        <w:rPr>
          <w:rFonts w:ascii="Garamond" w:eastAsia="Garamond" w:hAnsi="Garamond" w:cs="Garamond"/>
          <w:sz w:val="24"/>
          <w:szCs w:val="24"/>
        </w:rPr>
        <w:t>pisem prohlášení o nesouhlasu s </w:t>
      </w:r>
      <w:r w:rsidR="006601E9" w:rsidRPr="00832458">
        <w:rPr>
          <w:rFonts w:ascii="Garamond" w:eastAsia="Garamond" w:hAnsi="Garamond" w:cs="Garamond"/>
          <w:sz w:val="24"/>
          <w:szCs w:val="24"/>
        </w:rPr>
        <w:t>anexí Krymu, což se potvrdilo i v rámci kontroly při simulova</w:t>
      </w:r>
      <w:r w:rsidR="003F3690" w:rsidRPr="00832458">
        <w:rPr>
          <w:rFonts w:ascii="Garamond" w:eastAsia="Garamond" w:hAnsi="Garamond" w:cs="Garamond"/>
          <w:sz w:val="24"/>
          <w:szCs w:val="24"/>
        </w:rPr>
        <w:t>ném zájmu inspektorky o </w:t>
      </w:r>
      <w:r w:rsidR="006601E9" w:rsidRPr="00832458">
        <w:rPr>
          <w:rFonts w:ascii="Garamond" w:eastAsia="Garamond" w:hAnsi="Garamond" w:cs="Garamond"/>
          <w:sz w:val="24"/>
          <w:szCs w:val="24"/>
        </w:rPr>
        <w:t>ubytování. Takové jednání bylo pro občany Ruské federace zjevně omezující, neboť pro ně mohlo představovat překážku v přístupu k ubytování, která byla způsobilá je odradit od uzavření smlouvy se stěžovatelkou. Pro zájemce o ubytování jiné než ruské st</w:t>
      </w:r>
      <w:r w:rsidR="003F3690" w:rsidRPr="00832458">
        <w:rPr>
          <w:rFonts w:ascii="Garamond" w:eastAsia="Garamond" w:hAnsi="Garamond" w:cs="Garamond"/>
          <w:sz w:val="24"/>
          <w:szCs w:val="24"/>
        </w:rPr>
        <w:t>átní příslušnosti byl přístup k </w:t>
      </w:r>
      <w:r w:rsidR="006601E9" w:rsidRPr="00832458">
        <w:rPr>
          <w:rFonts w:ascii="Garamond" w:eastAsia="Garamond" w:hAnsi="Garamond" w:cs="Garamond"/>
          <w:sz w:val="24"/>
          <w:szCs w:val="24"/>
        </w:rPr>
        <w:t>ubytovacím službám nepodmíněný, tedy snadnější. Není přitom třeba zkoumat a prokazovat, zda znevýhodňující jednání poškodilo nějakého konkrétního spotřebitele</w:t>
      </w:r>
    </w:p>
    <w:p w:rsidR="00F97EE8" w:rsidRPr="00ED15D5" w:rsidRDefault="00F97EE8">
      <w:pPr>
        <w:sectPr w:rsidR="00F97EE8" w:rsidRPr="00ED15D5">
          <w:pgSz w:w="11900" w:h="16838"/>
          <w:pgMar w:top="677" w:right="1406" w:bottom="1076" w:left="1417" w:header="0" w:footer="0" w:gutter="0"/>
          <w:cols w:space="708" w:equalWidth="0">
            <w:col w:w="9083"/>
          </w:cols>
        </w:sectPr>
      </w:pPr>
    </w:p>
    <w:p w:rsidR="00F97EE8" w:rsidRPr="00ED15D5" w:rsidRDefault="006601E9">
      <w:pPr>
        <w:ind w:left="7803"/>
        <w:rPr>
          <w:sz w:val="20"/>
          <w:szCs w:val="20"/>
        </w:rPr>
      </w:pPr>
      <w:bookmarkStart w:id="6" w:name="page6"/>
      <w:bookmarkEnd w:id="6"/>
      <w:r w:rsidRPr="00ED15D5">
        <w:rPr>
          <w:rFonts w:ascii="Garamond" w:eastAsia="Garamond" w:hAnsi="Garamond" w:cs="Garamond"/>
          <w:sz w:val="24"/>
          <w:szCs w:val="24"/>
        </w:rPr>
        <w:lastRenderedPageBreak/>
        <w:t>2 As 43/2018</w:t>
      </w:r>
    </w:p>
    <w:p w:rsidR="00F97EE8" w:rsidRPr="00ED15D5" w:rsidRDefault="00F97EE8">
      <w:pPr>
        <w:spacing w:line="200" w:lineRule="exact"/>
        <w:rPr>
          <w:sz w:val="20"/>
          <w:szCs w:val="20"/>
        </w:rPr>
      </w:pPr>
    </w:p>
    <w:p w:rsidR="00F97EE8" w:rsidRPr="00ED15D5" w:rsidRDefault="00F97EE8">
      <w:pPr>
        <w:spacing w:line="239" w:lineRule="exact"/>
        <w:rPr>
          <w:sz w:val="20"/>
          <w:szCs w:val="20"/>
        </w:rPr>
      </w:pPr>
    </w:p>
    <w:p w:rsidR="00F97EE8" w:rsidRPr="00ED15D5" w:rsidRDefault="006601E9">
      <w:pPr>
        <w:spacing w:line="242" w:lineRule="auto"/>
        <w:ind w:left="3"/>
        <w:jc w:val="both"/>
        <w:rPr>
          <w:sz w:val="20"/>
          <w:szCs w:val="20"/>
        </w:rPr>
      </w:pPr>
      <w:r w:rsidRPr="00ED15D5">
        <w:rPr>
          <w:rFonts w:ascii="Garamond" w:eastAsia="Garamond" w:hAnsi="Garamond" w:cs="Garamond"/>
          <w:sz w:val="24"/>
          <w:szCs w:val="24"/>
        </w:rPr>
        <w:t>ruské státní příslušnosti. Podstatným znakem diskriminace dle § 6 zákona o ochraně spotřebitele je samotné rozdílné zacházení s určitou skupinou spotřebitelů, nikoli jeho následky pro některou individuálně vymezenou osobu. Ani v žádném z výše citovaných rozhodnutí týkajících se diskriminace v oblasti ochrany spotřebitele se Nejvyšší správní soud nezabýval tím, zda byly diskriminačním jednáním dotčeny konkrétní osoby (např. v již zmiňovaných rozsudcích č. j. 4 As 63/2005 – 69, č. j. 1 As 14/2006 – 68 a č. j. 3 As 67/2007 – 54 shodně vedla ke konstatování porušení zákazu diskriminace samotná existence dvojích cen dopravy na základě trvalého pobytu, aniž by byly identifikovány jednotlivé osoby, na něž dané opatření reálně negativně dopadlo). To odpovídá rovněž smyslu veřejnoprávní regulace ochrany spotřebitele, v jejímž rámci není primárním úkolem příslušných správních orgánů chránit před diskriminací konkrétní jednotlivce, ale spíše zajišťovat celkovou regulérnost prostředí kontrolou dodržování právních norem sledujících ochranu spotřebitele a postihováním jejich případného porušení. Právní prostředky ochrany před diskriminací určené přímo dotčeným jednotlivcům naopak nabízí soukromé právo, zejména antidiskriminační zákon. Námitka stěžovatelky směřující proti posouzení rozdílného zacházení krajským soudem tedy není důvodná.</w:t>
      </w:r>
    </w:p>
    <w:p w:rsidR="00F97EE8" w:rsidRPr="00ED15D5" w:rsidRDefault="00F97EE8">
      <w:pPr>
        <w:spacing w:line="236" w:lineRule="exact"/>
        <w:rPr>
          <w:sz w:val="20"/>
          <w:szCs w:val="20"/>
        </w:rPr>
      </w:pPr>
    </w:p>
    <w:p w:rsidR="00F97EE8" w:rsidRPr="00ED15D5" w:rsidRDefault="006601E9">
      <w:pPr>
        <w:numPr>
          <w:ilvl w:val="0"/>
          <w:numId w:val="18"/>
        </w:numPr>
        <w:tabs>
          <w:tab w:val="left" w:pos="711"/>
        </w:tabs>
        <w:spacing w:line="246" w:lineRule="auto"/>
        <w:ind w:left="3" w:right="20" w:hanging="3"/>
        <w:jc w:val="both"/>
        <w:rPr>
          <w:rFonts w:ascii="Garamond" w:eastAsia="Garamond" w:hAnsi="Garamond" w:cs="Garamond"/>
          <w:sz w:val="24"/>
          <w:szCs w:val="24"/>
        </w:rPr>
      </w:pPr>
      <w:r w:rsidRPr="00ED15D5">
        <w:rPr>
          <w:rFonts w:ascii="Garamond" w:eastAsia="Garamond" w:hAnsi="Garamond" w:cs="Garamond"/>
          <w:sz w:val="24"/>
          <w:szCs w:val="24"/>
        </w:rPr>
        <w:t>Na negativním dopadu jednání stěžovatelky na občany Ruské federace nic nemění ani to, že dotčené prohlášení spočívalo ve vymezení se vůči událostem, které stěžovatelka vnímá jako porušení mezinárodního práva. Mezinárodní právo na projednávanou věc nedopadá ani nemá žádnou spojitost s poskytováním ubytovacích služeb. Občané Ruské federace tak byli znevýhodněni oproti ostatním spotřebitelům, pro něž byl přístup k ubytování v hotelu stěžovatelky snadnější.</w:t>
      </w:r>
    </w:p>
    <w:p w:rsidR="00F97EE8" w:rsidRPr="00ED15D5" w:rsidRDefault="00F97EE8">
      <w:pPr>
        <w:spacing w:line="229" w:lineRule="exact"/>
        <w:rPr>
          <w:rFonts w:ascii="Garamond" w:eastAsia="Garamond" w:hAnsi="Garamond" w:cs="Garamond"/>
          <w:sz w:val="24"/>
          <w:szCs w:val="24"/>
        </w:rPr>
      </w:pPr>
    </w:p>
    <w:p w:rsidR="00F97EE8" w:rsidRPr="00ED15D5" w:rsidRDefault="006601E9">
      <w:pPr>
        <w:numPr>
          <w:ilvl w:val="0"/>
          <w:numId w:val="18"/>
        </w:numPr>
        <w:tabs>
          <w:tab w:val="left" w:pos="711"/>
        </w:tabs>
        <w:ind w:left="3" w:right="20" w:hanging="3"/>
        <w:jc w:val="both"/>
        <w:rPr>
          <w:rFonts w:ascii="Garamond" w:eastAsia="Garamond" w:hAnsi="Garamond" w:cs="Garamond"/>
          <w:sz w:val="24"/>
          <w:szCs w:val="24"/>
        </w:rPr>
      </w:pPr>
      <w:r w:rsidRPr="00ED15D5">
        <w:rPr>
          <w:rFonts w:ascii="Garamond" w:eastAsia="Garamond" w:hAnsi="Garamond" w:cs="Garamond"/>
          <w:sz w:val="24"/>
          <w:szCs w:val="24"/>
        </w:rPr>
        <w:t>Z kasační stížnosti dále vyplývá nesouhlas stěžovatelky s posouzením státní příslušnosti jako diskriminačního důvodu, ačkoli v tomto směru nepředložila nikterak rozsáhlou argumentaci a pouze uvedla, že žádný předpis neupravuje diskriminaci na základě státní příslušnosti. Možnými</w:t>
      </w:r>
    </w:p>
    <w:p w:rsidR="00F97EE8" w:rsidRPr="00ED15D5" w:rsidRDefault="006601E9">
      <w:pPr>
        <w:spacing w:line="244" w:lineRule="auto"/>
        <w:ind w:left="3"/>
        <w:jc w:val="both"/>
        <w:rPr>
          <w:sz w:val="20"/>
          <w:szCs w:val="20"/>
        </w:rPr>
      </w:pPr>
      <w:r w:rsidRPr="00ED15D5">
        <w:rPr>
          <w:rFonts w:ascii="Garamond" w:eastAsia="Garamond" w:hAnsi="Garamond" w:cs="Garamond"/>
          <w:sz w:val="24"/>
          <w:szCs w:val="24"/>
        </w:rPr>
        <w:t>diskriminačními důvody se již Nejvyšší správní soud za</w:t>
      </w:r>
      <w:r w:rsidR="007D6A45">
        <w:rPr>
          <w:rFonts w:ascii="Garamond" w:eastAsia="Garamond" w:hAnsi="Garamond" w:cs="Garamond"/>
          <w:sz w:val="24"/>
          <w:szCs w:val="24"/>
        </w:rPr>
        <w:t>býval v předchozím rozhodnutí v </w:t>
      </w:r>
      <w:r w:rsidRPr="00ED15D5">
        <w:rPr>
          <w:rFonts w:ascii="Garamond" w:eastAsia="Garamond" w:hAnsi="Garamond" w:cs="Garamond"/>
          <w:sz w:val="24"/>
          <w:szCs w:val="24"/>
        </w:rPr>
        <w:t>projednávané věci, tj. v rozsudku ze dne 16. 8. 2017, č. j. 2 As 338/2016 – 27. V něm vyslovil právní názor (jímž je nyní sám také vázán), že k diskriminaci podle zákona o ochraně spotřebitele může docházet i z jiných důvodů než těch uvedených v antid</w:t>
      </w:r>
      <w:r w:rsidR="007D6A45">
        <w:rPr>
          <w:rFonts w:ascii="Garamond" w:eastAsia="Garamond" w:hAnsi="Garamond" w:cs="Garamond"/>
          <w:sz w:val="24"/>
          <w:szCs w:val="24"/>
        </w:rPr>
        <w:t>iskriminačním zákoně. Při inter</w:t>
      </w:r>
      <w:r w:rsidRPr="00ED15D5">
        <w:rPr>
          <w:rFonts w:ascii="Garamond" w:eastAsia="Garamond" w:hAnsi="Garamond" w:cs="Garamond"/>
          <w:sz w:val="24"/>
          <w:szCs w:val="24"/>
        </w:rPr>
        <w:t>pretaci a aplikaci § 6 zákona o ochraně spotřebitele je tak třeba vycházet jak z obecného chápání zákazu diskriminace, tak z regulace zákazu diskriminace napříč celým právním řádem, a zároveň mít na paměti smysl a účel daného ustanovení. Nejvyšší správní soud navíc v tomto rozsudku výslovně připustil, že ve věcech přístupu ke službám si lze dobře představit, že může docházet k diskriminaci mimo jiné i z důvodu státní příslušnosti.</w:t>
      </w:r>
    </w:p>
    <w:p w:rsidR="00F97EE8" w:rsidRPr="00ED15D5" w:rsidRDefault="00F97EE8">
      <w:pPr>
        <w:spacing w:line="230" w:lineRule="exact"/>
        <w:rPr>
          <w:sz w:val="20"/>
          <w:szCs w:val="20"/>
        </w:rPr>
      </w:pPr>
    </w:p>
    <w:p w:rsidR="00F97EE8" w:rsidRPr="007D6A45" w:rsidRDefault="006601E9" w:rsidP="007D6A45">
      <w:pPr>
        <w:numPr>
          <w:ilvl w:val="0"/>
          <w:numId w:val="19"/>
        </w:numPr>
        <w:tabs>
          <w:tab w:val="left" w:pos="711"/>
        </w:tabs>
        <w:ind w:left="3" w:right="20" w:hanging="3"/>
        <w:jc w:val="both"/>
        <w:rPr>
          <w:rFonts w:ascii="Garamond" w:eastAsia="Garamond" w:hAnsi="Garamond" w:cs="Garamond"/>
          <w:sz w:val="24"/>
          <w:szCs w:val="24"/>
        </w:rPr>
      </w:pPr>
      <w:r w:rsidRPr="00ED15D5">
        <w:rPr>
          <w:rFonts w:ascii="Garamond" w:eastAsia="Garamond" w:hAnsi="Garamond" w:cs="Garamond"/>
          <w:sz w:val="24"/>
          <w:szCs w:val="24"/>
        </w:rPr>
        <w:t>Nejvyšší správní soud v rozsudku č. j. 2 As 338/2016 – 27 poukázal na předpisy, které státní příslušnost jako diskriminační důvod upravují (zákon č. 262/2006 Sb., zákoník práce,</w:t>
      </w:r>
      <w:r w:rsidR="007D6A45">
        <w:rPr>
          <w:rFonts w:ascii="Garamond" w:eastAsia="Garamond" w:hAnsi="Garamond" w:cs="Garamond"/>
          <w:sz w:val="24"/>
          <w:szCs w:val="24"/>
        </w:rPr>
        <w:t xml:space="preserve"> </w:t>
      </w:r>
      <w:r w:rsidRPr="007D6A45">
        <w:rPr>
          <w:rFonts w:ascii="Garamond" w:eastAsia="Garamond" w:hAnsi="Garamond" w:cs="Garamond"/>
          <w:sz w:val="24"/>
          <w:szCs w:val="24"/>
        </w:rPr>
        <w:t>ve znění od 29. 7. 2017, a zákon č. 435/2004 Sb., o zaměstnanosti, ve znění od 29. 7. 2017),</w:t>
      </w:r>
      <w:r w:rsidR="007D6A45">
        <w:rPr>
          <w:rFonts w:ascii="Garamond" w:eastAsia="Garamond" w:hAnsi="Garamond" w:cs="Garamond"/>
          <w:sz w:val="24"/>
          <w:szCs w:val="24"/>
        </w:rPr>
        <w:t xml:space="preserve"> a </w:t>
      </w:r>
      <w:r w:rsidRPr="007D6A45">
        <w:rPr>
          <w:rFonts w:ascii="Garamond" w:eastAsia="Garamond" w:hAnsi="Garamond" w:cs="Garamond"/>
          <w:sz w:val="24"/>
          <w:szCs w:val="24"/>
        </w:rPr>
        <w:t>to přestože v době rozhodné pro projednávanou věc ještě tento diskriminační důvod neobsahovaly. Na tomto místě lze doplnit, že v současné době je státní příslušnost</w:t>
      </w:r>
      <w:r w:rsidR="007D6A45">
        <w:rPr>
          <w:rFonts w:ascii="Garamond" w:eastAsia="Garamond" w:hAnsi="Garamond" w:cs="Garamond"/>
          <w:sz w:val="24"/>
          <w:szCs w:val="24"/>
        </w:rPr>
        <w:t xml:space="preserve"> diskriminačním důvodem také podle antidiskriminačního zákona. Státní příslušnost jako diskriminační důvod by dále mohla připadat v úvahu i v případě čl. 3 odst. 1 Listiny a čl. 14 Úmluvy o ochraně lidských práv a základních svobod (dále jen „Úmluva“), neboť ani v jednom z těchto dokumentů nejsou diskriminační důvody vyjmenovány taxativně. Nápomocná může být zejména judikatura Evropského soudu pro lidská práva, </w:t>
      </w:r>
      <w:r w:rsidRPr="007D6A45">
        <w:rPr>
          <w:rFonts w:ascii="Garamond" w:eastAsia="Garamond" w:hAnsi="Garamond" w:cs="Garamond"/>
          <w:sz w:val="24"/>
          <w:szCs w:val="24"/>
        </w:rPr>
        <w:t xml:space="preserve">který již několikrát shledal porušení zákazu diskriminace dle čl. 14 Úmluvy na základě státní příslušnosti (srov. např. rozsudek ze dne 16. 9. 1996 ve věci </w:t>
      </w:r>
      <w:proofErr w:type="spellStart"/>
      <w:r w:rsidRPr="007D6A45">
        <w:rPr>
          <w:rFonts w:ascii="Garamond" w:eastAsia="Garamond" w:hAnsi="Garamond" w:cs="Garamond"/>
          <w:i/>
          <w:iCs/>
          <w:sz w:val="24"/>
          <w:szCs w:val="24"/>
        </w:rPr>
        <w:t>Gaygusuz</w:t>
      </w:r>
      <w:proofErr w:type="spellEnd"/>
      <w:r w:rsidRPr="007D6A45">
        <w:rPr>
          <w:rFonts w:ascii="Garamond" w:eastAsia="Garamond" w:hAnsi="Garamond" w:cs="Garamond"/>
          <w:i/>
          <w:iCs/>
          <w:sz w:val="24"/>
          <w:szCs w:val="24"/>
        </w:rPr>
        <w:t xml:space="preserve"> proti Rakousku</w:t>
      </w:r>
      <w:r w:rsidRPr="007D6A45">
        <w:rPr>
          <w:rFonts w:ascii="Garamond" w:eastAsia="Garamond" w:hAnsi="Garamond" w:cs="Garamond"/>
          <w:sz w:val="24"/>
          <w:szCs w:val="24"/>
        </w:rPr>
        <w:t xml:space="preserve">, č. 17371/90, rozsudek ze dne 18. 2. 2009 ve věci </w:t>
      </w:r>
      <w:proofErr w:type="spellStart"/>
      <w:r w:rsidRPr="007D6A45">
        <w:rPr>
          <w:rFonts w:ascii="Garamond" w:eastAsia="Garamond" w:hAnsi="Garamond" w:cs="Garamond"/>
          <w:i/>
          <w:iCs/>
          <w:sz w:val="24"/>
          <w:szCs w:val="24"/>
        </w:rPr>
        <w:t>Andrejeva</w:t>
      </w:r>
      <w:proofErr w:type="spellEnd"/>
      <w:r w:rsidRPr="007D6A45">
        <w:rPr>
          <w:rFonts w:ascii="Garamond" w:eastAsia="Garamond" w:hAnsi="Garamond" w:cs="Garamond"/>
          <w:sz w:val="24"/>
          <w:szCs w:val="24"/>
        </w:rPr>
        <w:t xml:space="preserve"> </w:t>
      </w:r>
      <w:r w:rsidRPr="007D6A45">
        <w:rPr>
          <w:rFonts w:ascii="Garamond" w:eastAsia="Garamond" w:hAnsi="Garamond" w:cs="Garamond"/>
          <w:i/>
          <w:iCs/>
          <w:sz w:val="24"/>
          <w:szCs w:val="24"/>
        </w:rPr>
        <w:t>proti Lotyšsku</w:t>
      </w:r>
      <w:r w:rsidRPr="007D6A45">
        <w:rPr>
          <w:rFonts w:ascii="Garamond" w:eastAsia="Garamond" w:hAnsi="Garamond" w:cs="Garamond"/>
          <w:sz w:val="24"/>
          <w:szCs w:val="24"/>
        </w:rPr>
        <w:t xml:space="preserve">, č. 55707/00, či rozsudek ze dne 30. 9. 2003 ve věci </w:t>
      </w:r>
      <w:proofErr w:type="spellStart"/>
      <w:r w:rsidRPr="007D6A45">
        <w:rPr>
          <w:rFonts w:ascii="Garamond" w:eastAsia="Garamond" w:hAnsi="Garamond" w:cs="Garamond"/>
          <w:i/>
          <w:iCs/>
          <w:sz w:val="24"/>
          <w:szCs w:val="24"/>
        </w:rPr>
        <w:t>Koua</w:t>
      </w:r>
      <w:proofErr w:type="spellEnd"/>
      <w:r w:rsidRPr="007D6A45">
        <w:rPr>
          <w:rFonts w:ascii="Garamond" w:eastAsia="Garamond" w:hAnsi="Garamond" w:cs="Garamond"/>
          <w:i/>
          <w:iCs/>
          <w:sz w:val="24"/>
          <w:szCs w:val="24"/>
        </w:rPr>
        <w:t xml:space="preserve"> </w:t>
      </w:r>
      <w:proofErr w:type="spellStart"/>
      <w:r w:rsidRPr="007D6A45">
        <w:rPr>
          <w:rFonts w:ascii="Garamond" w:eastAsia="Garamond" w:hAnsi="Garamond" w:cs="Garamond"/>
          <w:i/>
          <w:iCs/>
          <w:sz w:val="24"/>
          <w:szCs w:val="24"/>
        </w:rPr>
        <w:t>Poirrez</w:t>
      </w:r>
      <w:proofErr w:type="spellEnd"/>
      <w:r w:rsidRPr="007D6A45">
        <w:rPr>
          <w:rFonts w:ascii="Garamond" w:eastAsia="Garamond" w:hAnsi="Garamond" w:cs="Garamond"/>
          <w:i/>
          <w:iCs/>
          <w:sz w:val="24"/>
          <w:szCs w:val="24"/>
        </w:rPr>
        <w:t xml:space="preserve"> proti Francii</w:t>
      </w:r>
      <w:r w:rsidRPr="007D6A45">
        <w:rPr>
          <w:rFonts w:ascii="Garamond" w:eastAsia="Garamond" w:hAnsi="Garamond" w:cs="Garamond"/>
          <w:sz w:val="24"/>
          <w:szCs w:val="24"/>
        </w:rPr>
        <w:t>, č. 40892/98).</w:t>
      </w:r>
    </w:p>
    <w:p w:rsidR="00F97EE8" w:rsidRPr="00ED15D5" w:rsidRDefault="00F97EE8">
      <w:pPr>
        <w:sectPr w:rsidR="00F97EE8" w:rsidRPr="00ED15D5">
          <w:pgSz w:w="11900" w:h="16838"/>
          <w:pgMar w:top="677" w:right="1406" w:bottom="1440" w:left="1417" w:header="0" w:footer="0" w:gutter="0"/>
          <w:cols w:space="708" w:equalWidth="0">
            <w:col w:w="9083"/>
          </w:cols>
        </w:sectPr>
      </w:pPr>
    </w:p>
    <w:p w:rsidR="00F97EE8" w:rsidRPr="00ED15D5" w:rsidRDefault="006601E9">
      <w:pPr>
        <w:ind w:left="7383"/>
        <w:rPr>
          <w:sz w:val="20"/>
          <w:szCs w:val="20"/>
        </w:rPr>
      </w:pPr>
      <w:bookmarkStart w:id="7" w:name="page7"/>
      <w:bookmarkEnd w:id="7"/>
      <w:r w:rsidRPr="00ED15D5">
        <w:rPr>
          <w:rFonts w:ascii="Garamond" w:eastAsia="Garamond" w:hAnsi="Garamond" w:cs="Garamond"/>
          <w:sz w:val="24"/>
          <w:szCs w:val="24"/>
        </w:rPr>
        <w:lastRenderedPageBreak/>
        <w:t>2 As 43/2018 - 30</w:t>
      </w:r>
    </w:p>
    <w:p w:rsidR="00F97EE8" w:rsidRPr="00ED15D5" w:rsidRDefault="00F97EE8">
      <w:pPr>
        <w:spacing w:line="169" w:lineRule="exact"/>
        <w:rPr>
          <w:sz w:val="20"/>
          <w:szCs w:val="20"/>
        </w:rPr>
      </w:pPr>
    </w:p>
    <w:p w:rsidR="00F97EE8" w:rsidRPr="007D6A45" w:rsidRDefault="006601E9" w:rsidP="007D6A45">
      <w:pPr>
        <w:numPr>
          <w:ilvl w:val="0"/>
          <w:numId w:val="21"/>
        </w:numPr>
        <w:tabs>
          <w:tab w:val="left" w:pos="711"/>
        </w:tabs>
        <w:ind w:left="3" w:right="20" w:hanging="3"/>
        <w:jc w:val="both"/>
        <w:rPr>
          <w:rFonts w:ascii="Garamond" w:eastAsia="Garamond" w:hAnsi="Garamond" w:cs="Garamond"/>
          <w:sz w:val="24"/>
          <w:szCs w:val="24"/>
        </w:rPr>
      </w:pPr>
      <w:r w:rsidRPr="00ED15D5">
        <w:rPr>
          <w:rFonts w:ascii="Garamond" w:eastAsia="Garamond" w:hAnsi="Garamond" w:cs="Garamond"/>
          <w:sz w:val="24"/>
          <w:szCs w:val="24"/>
        </w:rPr>
        <w:t>Krajský soud se v napadeném rozsudku otázkou diskriminačního důvodu explicitně nezabýval, ale z jím provedeného testu diskriminace zřetelně vyplývá, že důvod rozdílného zacházení s některými spotřebiteli spatřoval ve státní příslušnosti R</w:t>
      </w:r>
      <w:r w:rsidR="007D6A45">
        <w:rPr>
          <w:rFonts w:ascii="Garamond" w:eastAsia="Garamond" w:hAnsi="Garamond" w:cs="Garamond"/>
          <w:sz w:val="24"/>
          <w:szCs w:val="24"/>
        </w:rPr>
        <w:t>uské federace. V situaci, kdy § </w:t>
      </w:r>
      <w:r w:rsidRPr="00ED15D5">
        <w:rPr>
          <w:rFonts w:ascii="Garamond" w:eastAsia="Garamond" w:hAnsi="Garamond" w:cs="Garamond"/>
          <w:sz w:val="24"/>
          <w:szCs w:val="24"/>
        </w:rPr>
        <w:t>6 zákona o ochraně spotřebitele žádný výčet zakázaných diskriminačních důvodů neuvádí,</w:t>
      </w:r>
      <w:r w:rsidR="007D6A45">
        <w:rPr>
          <w:rFonts w:ascii="Garamond" w:eastAsia="Garamond" w:hAnsi="Garamond" w:cs="Garamond"/>
          <w:sz w:val="24"/>
          <w:szCs w:val="24"/>
        </w:rPr>
        <w:t xml:space="preserve"> </w:t>
      </w:r>
      <w:r w:rsidRPr="007D6A45">
        <w:rPr>
          <w:rFonts w:ascii="Garamond" w:eastAsia="Garamond" w:hAnsi="Garamond" w:cs="Garamond"/>
          <w:sz w:val="24"/>
          <w:szCs w:val="24"/>
        </w:rPr>
        <w:t>považuje Nejvyšší správní soud s ohledem na výše popsanou relevanci státní příslušnosti při posuzování diskriminace právní názor krajského soudu za správný a odpovídající smyslu daného ustanovení.</w:t>
      </w:r>
    </w:p>
    <w:p w:rsidR="00F97EE8" w:rsidRPr="00ED15D5" w:rsidRDefault="00F97EE8">
      <w:pPr>
        <w:spacing w:line="211" w:lineRule="exact"/>
        <w:rPr>
          <w:sz w:val="20"/>
          <w:szCs w:val="20"/>
        </w:rPr>
      </w:pPr>
    </w:p>
    <w:p w:rsidR="00F97EE8" w:rsidRPr="007D6A45" w:rsidRDefault="007D6A45" w:rsidP="007D6A45">
      <w:pPr>
        <w:tabs>
          <w:tab w:val="left" w:pos="703"/>
        </w:tabs>
        <w:jc w:val="both"/>
        <w:rPr>
          <w:rFonts w:ascii="Garamond" w:eastAsia="Garamond" w:hAnsi="Garamond" w:cs="Garamond"/>
          <w:sz w:val="24"/>
          <w:szCs w:val="24"/>
        </w:rPr>
      </w:pPr>
      <w:r>
        <w:rPr>
          <w:rFonts w:ascii="Garamond" w:eastAsia="Garamond" w:hAnsi="Garamond" w:cs="Garamond"/>
          <w:sz w:val="24"/>
          <w:szCs w:val="24"/>
        </w:rPr>
        <w:t>[25]</w:t>
      </w:r>
      <w:r>
        <w:rPr>
          <w:rFonts w:ascii="Garamond" w:eastAsia="Garamond" w:hAnsi="Garamond" w:cs="Garamond"/>
          <w:sz w:val="24"/>
          <w:szCs w:val="24"/>
        </w:rPr>
        <w:tab/>
      </w:r>
      <w:r w:rsidR="006601E9" w:rsidRPr="00ED15D5">
        <w:rPr>
          <w:rFonts w:ascii="Garamond" w:eastAsia="Garamond" w:hAnsi="Garamond" w:cs="Garamond"/>
          <w:sz w:val="24"/>
          <w:szCs w:val="24"/>
        </w:rPr>
        <w:t>Stěžovatelka v kasační stížnosti rovněž namítala, že neporušila čl. 3 odst. 1 Listiny</w:t>
      </w:r>
      <w:r>
        <w:rPr>
          <w:rFonts w:ascii="Garamond" w:eastAsia="Garamond" w:hAnsi="Garamond" w:cs="Garamond"/>
          <w:sz w:val="24"/>
          <w:szCs w:val="24"/>
        </w:rPr>
        <w:t xml:space="preserve"> </w:t>
      </w:r>
      <w:r w:rsidR="006601E9" w:rsidRPr="007D6A45">
        <w:rPr>
          <w:rFonts w:ascii="Garamond" w:eastAsia="Garamond" w:hAnsi="Garamond" w:cs="Garamond"/>
          <w:sz w:val="24"/>
          <w:szCs w:val="24"/>
        </w:rPr>
        <w:t>(</w:t>
      </w:r>
      <w:r w:rsidR="006601E9" w:rsidRPr="007D6A45">
        <w:rPr>
          <w:rFonts w:ascii="Garamond" w:eastAsia="Garamond" w:hAnsi="Garamond" w:cs="Garamond"/>
          <w:i/>
          <w:iCs/>
          <w:sz w:val="24"/>
          <w:szCs w:val="24"/>
        </w:rPr>
        <w:t>Základní práva a svobody se zaručují všem bez rozdílu pohlaví, rasy, barvy pleti, jazyka, víry a náboženství,</w:t>
      </w:r>
      <w:r w:rsidR="006601E9" w:rsidRPr="007D6A45">
        <w:rPr>
          <w:rFonts w:ascii="Garamond" w:eastAsia="Garamond" w:hAnsi="Garamond" w:cs="Garamond"/>
          <w:sz w:val="24"/>
          <w:szCs w:val="24"/>
        </w:rPr>
        <w:t xml:space="preserve"> </w:t>
      </w:r>
      <w:r w:rsidR="006601E9" w:rsidRPr="007D6A45">
        <w:rPr>
          <w:rFonts w:ascii="Garamond" w:eastAsia="Garamond" w:hAnsi="Garamond" w:cs="Garamond"/>
          <w:i/>
          <w:iCs/>
          <w:sz w:val="24"/>
          <w:szCs w:val="24"/>
        </w:rPr>
        <w:t>politického či jiného smýšlení, národního nebo sociálního původu, příslušnosti k národnostní nebo etnické menšině, majetku, rodu nebo jiného postavení.</w:t>
      </w:r>
      <w:r w:rsidR="006601E9" w:rsidRPr="007D6A45">
        <w:rPr>
          <w:rFonts w:ascii="Garamond" w:eastAsia="Garamond" w:hAnsi="Garamond" w:cs="Garamond"/>
          <w:sz w:val="24"/>
          <w:szCs w:val="24"/>
        </w:rPr>
        <w:t>). Toto ustanovení však správní orgány ani krajský soud vůbec</w:t>
      </w:r>
      <w:r w:rsidR="006601E9" w:rsidRPr="007D6A45">
        <w:rPr>
          <w:rFonts w:ascii="Garamond" w:eastAsia="Garamond" w:hAnsi="Garamond" w:cs="Garamond"/>
          <w:i/>
          <w:iCs/>
          <w:sz w:val="24"/>
          <w:szCs w:val="24"/>
        </w:rPr>
        <w:t xml:space="preserve"> </w:t>
      </w:r>
      <w:r w:rsidR="006601E9" w:rsidRPr="007D6A45">
        <w:rPr>
          <w:rFonts w:ascii="Garamond" w:eastAsia="Garamond" w:hAnsi="Garamond" w:cs="Garamond"/>
          <w:sz w:val="24"/>
          <w:szCs w:val="24"/>
        </w:rPr>
        <w:t>neaplikovaly, neboť stěžovatelce byla uložena pokuta výhradně za porušení zákazu diskriminace dle § 6 zákona o ochraně spotřebitele. Adresátem zákazu diskriminace dle čl. 3 odst. 1 Listiny je stát vystupující ve vertikálních vztazích vůči jednotlivci, a stěžovatelka jej proto z podstaty věci nemohla porušit. Na projednávanou věc mohl mít čl. 3 odst. 1 Listiny vliv jedině nepřímý při ústavně konformním výkladu § 6 zákona o ochraně spotřebitele, což se v napadeném rozsudku projevilo zejména tak, že krajský soud při formulaci testu diskriminace</w:t>
      </w:r>
      <w:r>
        <w:rPr>
          <w:rFonts w:ascii="Garamond" w:eastAsia="Garamond" w:hAnsi="Garamond" w:cs="Garamond"/>
          <w:sz w:val="24"/>
          <w:szCs w:val="24"/>
        </w:rPr>
        <w:t xml:space="preserve"> </w:t>
      </w:r>
      <w:r w:rsidR="006601E9" w:rsidRPr="00ED15D5">
        <w:rPr>
          <w:rFonts w:ascii="Garamond" w:eastAsia="Garamond" w:hAnsi="Garamond" w:cs="Garamond"/>
          <w:sz w:val="24"/>
          <w:szCs w:val="24"/>
        </w:rPr>
        <w:t>přihlížel k související judikatuře Ústavního soudu. Argumentace stěžovatelky o neporušení čl. 3 odst. 1 Listiny je tedy lichá a nemůže ohrozit zákonnost napadeného rozsudku.</w:t>
      </w:r>
    </w:p>
    <w:p w:rsidR="00F97EE8" w:rsidRPr="00ED15D5" w:rsidRDefault="00F97EE8">
      <w:pPr>
        <w:spacing w:line="194" w:lineRule="exact"/>
        <w:rPr>
          <w:sz w:val="20"/>
          <w:szCs w:val="20"/>
        </w:rPr>
      </w:pPr>
    </w:p>
    <w:p w:rsidR="00F97EE8" w:rsidRPr="007D6A45" w:rsidRDefault="006601E9" w:rsidP="007D6A45">
      <w:pPr>
        <w:numPr>
          <w:ilvl w:val="0"/>
          <w:numId w:val="23"/>
        </w:numPr>
        <w:tabs>
          <w:tab w:val="left" w:pos="711"/>
        </w:tabs>
        <w:ind w:left="3" w:hanging="3"/>
        <w:jc w:val="both"/>
        <w:rPr>
          <w:rFonts w:ascii="Garamond" w:eastAsia="Garamond" w:hAnsi="Garamond" w:cs="Garamond"/>
          <w:sz w:val="24"/>
          <w:szCs w:val="24"/>
        </w:rPr>
      </w:pPr>
      <w:r w:rsidRPr="00ED15D5">
        <w:rPr>
          <w:rFonts w:ascii="Garamond" w:eastAsia="Garamond" w:hAnsi="Garamond" w:cs="Garamond"/>
          <w:sz w:val="24"/>
          <w:szCs w:val="24"/>
        </w:rPr>
        <w:t>Nejvyšší správní soud nemůže přisvědčit ani námitce stěžovatelky týkající se střetu svobody projevu a ochrany spotřebitele. Svoboda projevu je chráněna čl. 17 Listiny jako ústavně zaručené základní právo, avšak není bezbřehá. Podle čl. 17 odst. 4 Listiny lze svobodu projevu</w:t>
      </w:r>
      <w:r w:rsidR="007D6A45">
        <w:rPr>
          <w:rFonts w:ascii="Garamond" w:eastAsia="Garamond" w:hAnsi="Garamond" w:cs="Garamond"/>
          <w:sz w:val="24"/>
          <w:szCs w:val="24"/>
        </w:rPr>
        <w:t xml:space="preserve"> </w:t>
      </w:r>
      <w:r w:rsidRPr="007D6A45">
        <w:rPr>
          <w:rFonts w:ascii="Garamond" w:eastAsia="Garamond" w:hAnsi="Garamond" w:cs="Garamond"/>
          <w:sz w:val="24"/>
          <w:szCs w:val="24"/>
        </w:rPr>
        <w:t>omezit zákonem, jde-li o opatření v demokratické společnosti nezbytná pro ochranu práv a svobod druhých, bezpečnost státu, veřejnou bezpečnost, ochranu veřejného zdraví a mravnosti. Přesně takové omezení v projednávaném případě představoval záka</w:t>
      </w:r>
      <w:r w:rsidR="007D3DCA">
        <w:rPr>
          <w:rFonts w:ascii="Garamond" w:eastAsia="Garamond" w:hAnsi="Garamond" w:cs="Garamond"/>
          <w:sz w:val="24"/>
          <w:szCs w:val="24"/>
        </w:rPr>
        <w:t>z diskriminace dle § 6 zákona o </w:t>
      </w:r>
      <w:r w:rsidRPr="007D6A45">
        <w:rPr>
          <w:rFonts w:ascii="Garamond" w:eastAsia="Garamond" w:hAnsi="Garamond" w:cs="Garamond"/>
          <w:sz w:val="24"/>
          <w:szCs w:val="24"/>
        </w:rPr>
        <w:t xml:space="preserve">ochraně spotřebitele. Když dané ustanovení krajský soud aplikoval v napadeném rozsudku, nejednalo se o nepřípustné nadřazení obyčejného zákona nad zákon ústavní, jak se domnívá stěžovatelka, ale o standardní situaci omezení svobody projevu na základě zákona pro ochranu práv a svobod druhých dle čl. 17 odst. 4 Listiny. Se stěžovatelkou lze souhlasit, že v takovém případě je třeba zákon omezující svobodu projevu vykládat restriktivně (srov. např. nález Ústavního soudu ze dne 17. 7. 2007, sp. zn. IV. ÚS 23/05, nebo </w:t>
      </w:r>
      <w:r w:rsidR="007D6A45">
        <w:rPr>
          <w:rFonts w:ascii="Garamond" w:eastAsia="Garamond" w:hAnsi="Garamond" w:cs="Garamond"/>
          <w:sz w:val="24"/>
          <w:szCs w:val="24"/>
        </w:rPr>
        <w:t>nález Ústavního soudu ze dne 6. </w:t>
      </w:r>
      <w:r w:rsidRPr="007D6A45">
        <w:rPr>
          <w:rFonts w:ascii="Garamond" w:eastAsia="Garamond" w:hAnsi="Garamond" w:cs="Garamond"/>
          <w:sz w:val="24"/>
          <w:szCs w:val="24"/>
        </w:rPr>
        <w:t>3. 2012, sp. zn. I. ÚS 823/11). To však krajský soud v napadeném rozsudku učinil, když nejprve náležitě zohlednil výkon svobody projevu stěžovatelky v rámci testu diskriminace jako legitimní cíl jejího jednání a poté mimo jiné právě s ohledem na svobodu projevu snížil výši ulož</w:t>
      </w:r>
      <w:r w:rsidR="007D3DCA">
        <w:rPr>
          <w:rFonts w:ascii="Garamond" w:eastAsia="Garamond" w:hAnsi="Garamond" w:cs="Garamond"/>
          <w:sz w:val="24"/>
          <w:szCs w:val="24"/>
        </w:rPr>
        <w:t>ené pokuty. Krajský soud tedy v </w:t>
      </w:r>
      <w:r w:rsidRPr="007D6A45">
        <w:rPr>
          <w:rFonts w:ascii="Garamond" w:eastAsia="Garamond" w:hAnsi="Garamond" w:cs="Garamond"/>
          <w:sz w:val="24"/>
          <w:szCs w:val="24"/>
        </w:rPr>
        <w:t>tomto ohledu správně posoudil ústavněprávní rozměr projednávané věci a postupov</w:t>
      </w:r>
      <w:r w:rsidR="007D3DCA">
        <w:rPr>
          <w:rFonts w:ascii="Garamond" w:eastAsia="Garamond" w:hAnsi="Garamond" w:cs="Garamond"/>
          <w:sz w:val="24"/>
          <w:szCs w:val="24"/>
        </w:rPr>
        <w:t>al v souladu s </w:t>
      </w:r>
      <w:r w:rsidRPr="007D6A45">
        <w:rPr>
          <w:rFonts w:ascii="Garamond" w:eastAsia="Garamond" w:hAnsi="Garamond" w:cs="Garamond"/>
          <w:sz w:val="24"/>
          <w:szCs w:val="24"/>
        </w:rPr>
        <w:t>čl. 17 odst. 4 Listiny.</w:t>
      </w:r>
    </w:p>
    <w:p w:rsidR="00F97EE8" w:rsidRPr="00ED15D5" w:rsidRDefault="00F97EE8">
      <w:pPr>
        <w:spacing w:line="238" w:lineRule="exact"/>
        <w:rPr>
          <w:sz w:val="20"/>
          <w:szCs w:val="20"/>
        </w:rPr>
      </w:pPr>
    </w:p>
    <w:p w:rsidR="00F97EE8" w:rsidRPr="007D6A45" w:rsidRDefault="006601E9" w:rsidP="007D6A45">
      <w:pPr>
        <w:numPr>
          <w:ilvl w:val="0"/>
          <w:numId w:val="24"/>
        </w:numPr>
        <w:tabs>
          <w:tab w:val="left" w:pos="711"/>
        </w:tabs>
        <w:ind w:left="3" w:right="20" w:hanging="3"/>
        <w:jc w:val="both"/>
        <w:rPr>
          <w:rFonts w:ascii="Garamond" w:eastAsia="Garamond" w:hAnsi="Garamond" w:cs="Garamond"/>
          <w:sz w:val="24"/>
          <w:szCs w:val="24"/>
        </w:rPr>
      </w:pPr>
      <w:r w:rsidRPr="00ED15D5">
        <w:rPr>
          <w:rFonts w:ascii="Garamond" w:eastAsia="Garamond" w:hAnsi="Garamond" w:cs="Garamond"/>
          <w:sz w:val="24"/>
          <w:szCs w:val="24"/>
        </w:rPr>
        <w:t xml:space="preserve">Nejvyšší správní soud v žádném případě nehodlá zpochybnit právo stěžovatelky projevit svůj politický názor veřejně a otevřeně, a mnohokrát se již na obranu svobody projevu postavil (naposledy např. viz rozsudek ze dne 31. 5. 2018, č. j. 2 As 18/2018 – 38). To, co shledává soud </w:t>
      </w:r>
      <w:r w:rsidR="007D3DCA">
        <w:rPr>
          <w:rFonts w:ascii="Garamond" w:eastAsia="Garamond" w:hAnsi="Garamond" w:cs="Garamond"/>
          <w:i/>
          <w:iCs/>
          <w:sz w:val="24"/>
          <w:szCs w:val="24"/>
        </w:rPr>
        <w:t>v </w:t>
      </w:r>
      <w:r w:rsidRPr="00ED15D5">
        <w:rPr>
          <w:rFonts w:ascii="Garamond" w:eastAsia="Garamond" w:hAnsi="Garamond" w:cs="Garamond"/>
          <w:i/>
          <w:iCs/>
          <w:sz w:val="24"/>
          <w:szCs w:val="24"/>
        </w:rPr>
        <w:t xml:space="preserve">tomto konkrétním případě </w:t>
      </w:r>
      <w:r w:rsidRPr="00ED15D5">
        <w:rPr>
          <w:rFonts w:ascii="Garamond" w:eastAsia="Garamond" w:hAnsi="Garamond" w:cs="Garamond"/>
          <w:sz w:val="24"/>
          <w:szCs w:val="24"/>
        </w:rPr>
        <w:t>nevhodným, je</w:t>
      </w:r>
      <w:r w:rsidRPr="00ED15D5">
        <w:rPr>
          <w:rFonts w:ascii="Garamond" w:eastAsia="Garamond" w:hAnsi="Garamond" w:cs="Garamond"/>
          <w:i/>
          <w:iCs/>
          <w:sz w:val="24"/>
          <w:szCs w:val="24"/>
        </w:rPr>
        <w:t xml:space="preserve"> způsob </w:t>
      </w:r>
      <w:r w:rsidRPr="00ED15D5">
        <w:rPr>
          <w:rFonts w:ascii="Garamond" w:eastAsia="Garamond" w:hAnsi="Garamond" w:cs="Garamond"/>
          <w:sz w:val="24"/>
          <w:szCs w:val="24"/>
        </w:rPr>
        <w:t>jeho vyjádření. Jinými slovy nepokládá</w:t>
      </w:r>
      <w:r w:rsidRPr="00ED15D5">
        <w:rPr>
          <w:rFonts w:ascii="Garamond" w:eastAsia="Garamond" w:hAnsi="Garamond" w:cs="Garamond"/>
          <w:i/>
          <w:iCs/>
          <w:sz w:val="24"/>
          <w:szCs w:val="24"/>
        </w:rPr>
        <w:t xml:space="preserve"> </w:t>
      </w:r>
      <w:r w:rsidRPr="00ED15D5">
        <w:rPr>
          <w:rFonts w:ascii="Garamond" w:eastAsia="Garamond" w:hAnsi="Garamond" w:cs="Garamond"/>
          <w:sz w:val="24"/>
          <w:szCs w:val="24"/>
        </w:rPr>
        <w:t>jednání</w:t>
      </w:r>
      <w:r w:rsidRPr="00ED15D5">
        <w:rPr>
          <w:rFonts w:ascii="Garamond" w:eastAsia="Garamond" w:hAnsi="Garamond" w:cs="Garamond"/>
          <w:i/>
          <w:iCs/>
          <w:sz w:val="24"/>
          <w:szCs w:val="24"/>
        </w:rPr>
        <w:t xml:space="preserve"> </w:t>
      </w:r>
      <w:r w:rsidRPr="00ED15D5">
        <w:rPr>
          <w:rFonts w:ascii="Garamond" w:eastAsia="Garamond" w:hAnsi="Garamond" w:cs="Garamond"/>
          <w:sz w:val="24"/>
          <w:szCs w:val="24"/>
        </w:rPr>
        <w:t>stěžovatelky za ospravedlnitelné právě pro prostředky, které k výkonu svého ústavně zaručeného práva zvolila, tzn. má je za nepřiměřené. Stěžovatelka se totiž neomezila na deklaraci adheze nebo kontroverze vůči určitému politickému aktu, ale jde dál. Požaduje po zájemci o navýsost všední službu (ubytování v běžném hotelu), aby se hodnotově vymezil vůči zahraniční politice státu,</w:t>
      </w:r>
      <w:r w:rsidR="007D6A45">
        <w:rPr>
          <w:rFonts w:ascii="Garamond" w:eastAsia="Garamond" w:hAnsi="Garamond" w:cs="Garamond"/>
          <w:sz w:val="24"/>
          <w:szCs w:val="24"/>
        </w:rPr>
        <w:t xml:space="preserve"> </w:t>
      </w:r>
      <w:r w:rsidRPr="007D6A45">
        <w:rPr>
          <w:rFonts w:ascii="Garamond" w:eastAsia="Garamond" w:hAnsi="Garamond" w:cs="Garamond"/>
          <w:sz w:val="24"/>
          <w:szCs w:val="24"/>
        </w:rPr>
        <w:t>jehož občanství má, a v případě, že s ní nesouhlasí, projevil s</w:t>
      </w:r>
      <w:r w:rsidR="007D6A45">
        <w:rPr>
          <w:rFonts w:ascii="Garamond" w:eastAsia="Garamond" w:hAnsi="Garamond" w:cs="Garamond"/>
          <w:sz w:val="24"/>
          <w:szCs w:val="24"/>
        </w:rPr>
        <w:t>vůj politický názor výslovně, s </w:t>
      </w:r>
      <w:r w:rsidRPr="007D6A45">
        <w:rPr>
          <w:rFonts w:ascii="Garamond" w:eastAsia="Garamond" w:hAnsi="Garamond" w:cs="Garamond"/>
          <w:sz w:val="24"/>
          <w:szCs w:val="24"/>
        </w:rPr>
        <w:t>uvedením údajů o své totožnosti a stvrdil jej vlastnoručním podpisem. Poskytnutí noclehu</w:t>
      </w:r>
      <w:r w:rsidR="007D6A45">
        <w:rPr>
          <w:rFonts w:ascii="Garamond" w:eastAsia="Garamond" w:hAnsi="Garamond" w:cs="Garamond"/>
          <w:sz w:val="24"/>
          <w:szCs w:val="24"/>
        </w:rPr>
        <w:t xml:space="preserve"> v </w:t>
      </w:r>
      <w:r w:rsidRPr="007D6A45">
        <w:rPr>
          <w:rFonts w:ascii="Garamond" w:eastAsia="Garamond" w:hAnsi="Garamond" w:cs="Garamond"/>
          <w:sz w:val="24"/>
          <w:szCs w:val="24"/>
        </w:rPr>
        <w:t>běžném hotelu je přitom podobně jako prodej chleba nebo knihy všední záležitostí, nevyžadující od zájemce vyjevit své hodnotové priority a morální ukotvení ani od poskytovatele</w:t>
      </w:r>
    </w:p>
    <w:p w:rsidR="00F97EE8" w:rsidRPr="00ED15D5" w:rsidRDefault="00F97EE8">
      <w:pPr>
        <w:sectPr w:rsidR="00F97EE8" w:rsidRPr="00ED15D5">
          <w:pgSz w:w="11900" w:h="16838"/>
          <w:pgMar w:top="677" w:right="1406" w:bottom="1040" w:left="1417" w:header="0" w:footer="0" w:gutter="0"/>
          <w:cols w:space="708" w:equalWidth="0">
            <w:col w:w="9083"/>
          </w:cols>
        </w:sectPr>
      </w:pPr>
    </w:p>
    <w:p w:rsidR="00F97EE8" w:rsidRPr="00ED15D5" w:rsidRDefault="006601E9">
      <w:pPr>
        <w:ind w:left="7803"/>
        <w:rPr>
          <w:sz w:val="20"/>
          <w:szCs w:val="20"/>
        </w:rPr>
      </w:pPr>
      <w:bookmarkStart w:id="8" w:name="page8"/>
      <w:bookmarkEnd w:id="8"/>
      <w:r w:rsidRPr="00ED15D5">
        <w:rPr>
          <w:rFonts w:ascii="Garamond" w:eastAsia="Garamond" w:hAnsi="Garamond" w:cs="Garamond"/>
          <w:sz w:val="24"/>
          <w:szCs w:val="24"/>
        </w:rPr>
        <w:lastRenderedPageBreak/>
        <w:t>2 As 43/2018</w:t>
      </w:r>
    </w:p>
    <w:p w:rsidR="00F97EE8" w:rsidRPr="00ED15D5" w:rsidRDefault="00F97EE8">
      <w:pPr>
        <w:spacing w:line="200" w:lineRule="exact"/>
        <w:rPr>
          <w:sz w:val="20"/>
          <w:szCs w:val="20"/>
        </w:rPr>
      </w:pPr>
    </w:p>
    <w:p w:rsidR="00F97EE8" w:rsidRPr="00ED15D5" w:rsidRDefault="00F97EE8">
      <w:pPr>
        <w:spacing w:line="238" w:lineRule="exact"/>
        <w:rPr>
          <w:sz w:val="20"/>
          <w:szCs w:val="20"/>
        </w:rPr>
      </w:pPr>
    </w:p>
    <w:p w:rsidR="00F97EE8" w:rsidRPr="00ED15D5" w:rsidRDefault="006601E9">
      <w:pPr>
        <w:spacing w:line="245" w:lineRule="auto"/>
        <w:ind w:left="3" w:right="20"/>
        <w:jc w:val="both"/>
        <w:rPr>
          <w:sz w:val="20"/>
          <w:szCs w:val="20"/>
        </w:rPr>
      </w:pPr>
      <w:r w:rsidRPr="00ED15D5">
        <w:rPr>
          <w:rFonts w:ascii="Garamond" w:eastAsia="Garamond" w:hAnsi="Garamond" w:cs="Garamond"/>
          <w:sz w:val="24"/>
          <w:szCs w:val="24"/>
        </w:rPr>
        <w:t xml:space="preserve">jakýkoli specifický osobní (např. umělecký) vklad (viz </w:t>
      </w:r>
      <w:r w:rsidRPr="00ED15D5">
        <w:rPr>
          <w:rFonts w:ascii="Garamond" w:eastAsia="Garamond" w:hAnsi="Garamond" w:cs="Garamond"/>
          <w:i/>
          <w:iCs/>
          <w:sz w:val="24"/>
          <w:szCs w:val="24"/>
        </w:rPr>
        <w:t>a contrario</w:t>
      </w:r>
      <w:r w:rsidRPr="00ED15D5">
        <w:rPr>
          <w:rFonts w:ascii="Garamond" w:eastAsia="Garamond" w:hAnsi="Garamond" w:cs="Garamond"/>
          <w:sz w:val="24"/>
          <w:szCs w:val="24"/>
        </w:rPr>
        <w:t xml:space="preserve"> specifické cukrářské schopnosti nutné k ozdobení svatebního dortu, rozhodnutí Nejvyššího soudu Spojených států amerických ze dne 4. 6. 2018 ve věci </w:t>
      </w:r>
      <w:proofErr w:type="spellStart"/>
      <w:r w:rsidRPr="00ED15D5">
        <w:rPr>
          <w:rFonts w:ascii="Garamond" w:eastAsia="Garamond" w:hAnsi="Garamond" w:cs="Garamond"/>
          <w:i/>
          <w:iCs/>
          <w:sz w:val="24"/>
          <w:szCs w:val="24"/>
        </w:rPr>
        <w:t>Masterpiece</w:t>
      </w:r>
      <w:proofErr w:type="spellEnd"/>
      <w:r w:rsidRPr="00ED15D5">
        <w:rPr>
          <w:rFonts w:ascii="Garamond" w:eastAsia="Garamond" w:hAnsi="Garamond" w:cs="Garamond"/>
          <w:i/>
          <w:iCs/>
          <w:sz w:val="24"/>
          <w:szCs w:val="24"/>
        </w:rPr>
        <w:t xml:space="preserve"> </w:t>
      </w:r>
      <w:proofErr w:type="spellStart"/>
      <w:r w:rsidRPr="00ED15D5">
        <w:rPr>
          <w:rFonts w:ascii="Garamond" w:eastAsia="Garamond" w:hAnsi="Garamond" w:cs="Garamond"/>
          <w:i/>
          <w:iCs/>
          <w:sz w:val="24"/>
          <w:szCs w:val="24"/>
        </w:rPr>
        <w:t>Cakeshop</w:t>
      </w:r>
      <w:proofErr w:type="spellEnd"/>
      <w:r w:rsidRPr="00ED15D5">
        <w:rPr>
          <w:rFonts w:ascii="Garamond" w:eastAsia="Garamond" w:hAnsi="Garamond" w:cs="Garamond"/>
          <w:i/>
          <w:iCs/>
          <w:sz w:val="24"/>
          <w:szCs w:val="24"/>
        </w:rPr>
        <w:t xml:space="preserve">, Ltd. v. Colorado Civil </w:t>
      </w:r>
      <w:proofErr w:type="spellStart"/>
      <w:r w:rsidRPr="00ED15D5">
        <w:rPr>
          <w:rFonts w:ascii="Garamond" w:eastAsia="Garamond" w:hAnsi="Garamond" w:cs="Garamond"/>
          <w:i/>
          <w:iCs/>
          <w:sz w:val="24"/>
          <w:szCs w:val="24"/>
        </w:rPr>
        <w:t>Rights</w:t>
      </w:r>
      <w:proofErr w:type="spellEnd"/>
      <w:r w:rsidRPr="00ED15D5">
        <w:rPr>
          <w:rFonts w:ascii="Garamond" w:eastAsia="Garamond" w:hAnsi="Garamond" w:cs="Garamond"/>
          <w:i/>
          <w:iCs/>
          <w:sz w:val="24"/>
          <w:szCs w:val="24"/>
        </w:rPr>
        <w:t xml:space="preserve"> </w:t>
      </w:r>
      <w:proofErr w:type="spellStart"/>
      <w:r w:rsidRPr="00ED15D5">
        <w:rPr>
          <w:rFonts w:ascii="Garamond" w:eastAsia="Garamond" w:hAnsi="Garamond" w:cs="Garamond"/>
          <w:i/>
          <w:iCs/>
          <w:sz w:val="24"/>
          <w:szCs w:val="24"/>
        </w:rPr>
        <w:t>Commission</w:t>
      </w:r>
      <w:proofErr w:type="spellEnd"/>
      <w:r w:rsidRPr="00ED15D5">
        <w:rPr>
          <w:rFonts w:ascii="Garamond" w:eastAsia="Garamond" w:hAnsi="Garamond" w:cs="Garamond"/>
          <w:sz w:val="24"/>
          <w:szCs w:val="24"/>
        </w:rPr>
        <w:t>). Podmínit přístup k běžné službě popsaným politickým „</w:t>
      </w:r>
      <w:proofErr w:type="spellStart"/>
      <w:r w:rsidRPr="00ED15D5">
        <w:rPr>
          <w:rFonts w:ascii="Garamond" w:eastAsia="Garamond" w:hAnsi="Garamond" w:cs="Garamond"/>
          <w:sz w:val="24"/>
          <w:szCs w:val="24"/>
        </w:rPr>
        <w:t>comming</w:t>
      </w:r>
      <w:proofErr w:type="spellEnd"/>
      <w:r w:rsidRPr="00ED15D5">
        <w:rPr>
          <w:rFonts w:ascii="Garamond" w:eastAsia="Garamond" w:hAnsi="Garamond" w:cs="Garamond"/>
          <w:sz w:val="24"/>
          <w:szCs w:val="24"/>
        </w:rPr>
        <w:t xml:space="preserve"> </w:t>
      </w:r>
      <w:proofErr w:type="spellStart"/>
      <w:r w:rsidRPr="00ED15D5">
        <w:rPr>
          <w:rFonts w:ascii="Garamond" w:eastAsia="Garamond" w:hAnsi="Garamond" w:cs="Garamond"/>
          <w:sz w:val="24"/>
          <w:szCs w:val="24"/>
        </w:rPr>
        <w:t>outem</w:t>
      </w:r>
      <w:proofErr w:type="spellEnd"/>
      <w:r w:rsidRPr="00ED15D5">
        <w:rPr>
          <w:rFonts w:ascii="Garamond" w:eastAsia="Garamond" w:hAnsi="Garamond" w:cs="Garamond"/>
          <w:sz w:val="24"/>
          <w:szCs w:val="24"/>
        </w:rPr>
        <w:t>“ je druhem nátlaku, který Nejvyšší správní soud nepovažuje za přípustný. Projev politického mínění by neměl „bolet“, zejména ne toho, kdo není původcem kritizovaného aktu, ani mu nelze připisovat participaci na něm. Státní občanství není dle Nejvyššího správního soudu dostatečným důvodem pro založení spoluodpovědnosti jeho nositele za aktuální skutky politické reprezentace země.</w:t>
      </w:r>
    </w:p>
    <w:p w:rsidR="00F97EE8" w:rsidRPr="00ED15D5" w:rsidRDefault="00F97EE8">
      <w:pPr>
        <w:spacing w:line="227" w:lineRule="exact"/>
        <w:rPr>
          <w:sz w:val="20"/>
          <w:szCs w:val="20"/>
        </w:rPr>
      </w:pPr>
    </w:p>
    <w:p w:rsidR="00F97EE8" w:rsidRPr="007D6A45" w:rsidRDefault="006601E9" w:rsidP="007D6A45">
      <w:pPr>
        <w:numPr>
          <w:ilvl w:val="0"/>
          <w:numId w:val="25"/>
        </w:numPr>
        <w:tabs>
          <w:tab w:val="left" w:pos="771"/>
        </w:tabs>
        <w:ind w:left="3" w:right="20" w:hanging="3"/>
        <w:jc w:val="both"/>
        <w:rPr>
          <w:rFonts w:ascii="Garamond" w:eastAsia="Garamond" w:hAnsi="Garamond" w:cs="Garamond"/>
          <w:sz w:val="24"/>
          <w:szCs w:val="24"/>
        </w:rPr>
      </w:pPr>
      <w:r w:rsidRPr="00ED15D5">
        <w:rPr>
          <w:rFonts w:ascii="Garamond" w:eastAsia="Garamond" w:hAnsi="Garamond" w:cs="Garamond"/>
          <w:sz w:val="24"/>
          <w:szCs w:val="24"/>
        </w:rPr>
        <w:t>Nejvyšší správní soud je přesvědčen, že přitakání způsobu, který stěžovatelka zvolila pro prezentaci svého názoru (na nějž má „svaté“ právo), by mohlo posloužit coby další</w:t>
      </w:r>
      <w:r w:rsidR="007D6A45">
        <w:rPr>
          <w:rFonts w:ascii="Garamond" w:eastAsia="Garamond" w:hAnsi="Garamond" w:cs="Garamond"/>
          <w:sz w:val="24"/>
          <w:szCs w:val="24"/>
        </w:rPr>
        <w:t xml:space="preserve"> </w:t>
      </w:r>
      <w:r w:rsidRPr="007D6A45">
        <w:rPr>
          <w:rFonts w:ascii="Garamond" w:eastAsia="Garamond" w:hAnsi="Garamond" w:cs="Garamond"/>
          <w:sz w:val="24"/>
          <w:szCs w:val="24"/>
        </w:rPr>
        <w:t>pražec umožňující, aby ve veřejném prostoru zas o něco povyrostla kolej zrychlující cestu k prorůstání nevraživosti až nenávisti ve společnosti. Akcelerace tohoto trendu (již nyní se přirozeně vyskytujícího a samovolně sílícího) nemůže přinést nic pozitivního. Zejména</w:t>
      </w:r>
      <w:r w:rsidR="007D6A45">
        <w:rPr>
          <w:rFonts w:ascii="Garamond" w:eastAsia="Garamond" w:hAnsi="Garamond" w:cs="Garamond"/>
          <w:sz w:val="24"/>
          <w:szCs w:val="24"/>
        </w:rPr>
        <w:t xml:space="preserve"> </w:t>
      </w:r>
      <w:r w:rsidRPr="007D6A45">
        <w:rPr>
          <w:rFonts w:ascii="Garamond" w:eastAsia="Garamond" w:hAnsi="Garamond" w:cs="Garamond"/>
          <w:sz w:val="24"/>
          <w:szCs w:val="24"/>
        </w:rPr>
        <w:t xml:space="preserve">ne to, co stěžovatelka chtěla svým projevem dosáhnout – zamyšlení se veřejnosti i politické reprezentace země nad tím, jaké hodnoty stojí za hájení, a kdy už pokrytectví či ztrátu historické paměti nelze tolerovat. Nikdo nechce žít v zemi, kde zákazník musí před nákupem zboží nebo služby nejprve vyhledat, zda podle seznamu na dveřích nepatří aktuálně do skupiny těch, kterým poskytovatel nebo obchodník službu nebo zboží nabízet nehodlá, resp. není ochoten bez dalšího poskytnout či prodat (např. brýlatých, abstinentů, schvalovačů expanze katolicismu do Nového světa, ale i veganů nebo lidí bez hudebního sluchu apod.). Podle názoru soudu nelze třídit zákazníky, byť jen určité státní příslušnosti, podle kritérií jako je (politický) názor, který má </w:t>
      </w:r>
      <w:r w:rsidRPr="007D6A45">
        <w:rPr>
          <w:rFonts w:ascii="Garamond" w:eastAsia="Garamond" w:hAnsi="Garamond" w:cs="Garamond"/>
          <w:i/>
          <w:iCs/>
          <w:sz w:val="24"/>
          <w:szCs w:val="24"/>
        </w:rPr>
        <w:t>každý</w:t>
      </w:r>
      <w:r w:rsidRPr="007D6A45">
        <w:rPr>
          <w:rFonts w:ascii="Garamond" w:eastAsia="Garamond" w:hAnsi="Garamond" w:cs="Garamond"/>
          <w:sz w:val="24"/>
          <w:szCs w:val="24"/>
        </w:rPr>
        <w:t xml:space="preserve"> stejně silné právo projevit jako si jej nechat pro sebe. V krystalické podobě se podařilo stejný společenský problém vystihnout už Jaroslavu Haškovi, který inspiruje v každé době: „Host jako host“, řekl Palivec, „třebas Turek. Pro nás živnostníky neplatí žádná politika“.</w:t>
      </w:r>
    </w:p>
    <w:p w:rsidR="00F97EE8" w:rsidRPr="00ED15D5" w:rsidRDefault="00F97EE8">
      <w:pPr>
        <w:spacing w:line="231" w:lineRule="exact"/>
        <w:rPr>
          <w:sz w:val="20"/>
          <w:szCs w:val="20"/>
        </w:rPr>
      </w:pPr>
    </w:p>
    <w:p w:rsidR="00EB6B92" w:rsidRDefault="006601E9" w:rsidP="00EB6B92">
      <w:pPr>
        <w:numPr>
          <w:ilvl w:val="0"/>
          <w:numId w:val="26"/>
        </w:numPr>
        <w:tabs>
          <w:tab w:val="left" w:pos="711"/>
        </w:tabs>
        <w:ind w:left="3" w:hanging="3"/>
        <w:jc w:val="both"/>
        <w:rPr>
          <w:rFonts w:ascii="Garamond" w:eastAsia="Garamond" w:hAnsi="Garamond" w:cs="Garamond"/>
          <w:sz w:val="24"/>
          <w:szCs w:val="24"/>
        </w:rPr>
      </w:pPr>
      <w:r w:rsidRPr="00ED15D5">
        <w:rPr>
          <w:rFonts w:ascii="Garamond" w:eastAsia="Garamond" w:hAnsi="Garamond" w:cs="Garamond"/>
          <w:sz w:val="24"/>
          <w:szCs w:val="24"/>
        </w:rPr>
        <w:t xml:space="preserve">Pro úplnost je vhodné dodat, že si </w:t>
      </w:r>
      <w:r w:rsidRPr="00ED15D5">
        <w:rPr>
          <w:rFonts w:ascii="Garamond" w:eastAsia="Garamond" w:hAnsi="Garamond" w:cs="Garamond"/>
          <w:i/>
          <w:iCs/>
          <w:sz w:val="24"/>
          <w:szCs w:val="24"/>
        </w:rPr>
        <w:t>lze</w:t>
      </w:r>
      <w:r w:rsidRPr="00ED15D5">
        <w:rPr>
          <w:rFonts w:ascii="Garamond" w:eastAsia="Garamond" w:hAnsi="Garamond" w:cs="Garamond"/>
          <w:sz w:val="24"/>
          <w:szCs w:val="24"/>
        </w:rPr>
        <w:t xml:space="preserve"> představit situace, kdy by odlišné zacházení mohl soud shledat ospravedlnitelným. Právo podnikatele vyloučit některé osoby z okruhu těch,</w:t>
      </w:r>
      <w:r w:rsidR="007D6A45">
        <w:rPr>
          <w:rFonts w:ascii="Garamond" w:eastAsia="Garamond" w:hAnsi="Garamond" w:cs="Garamond"/>
          <w:sz w:val="24"/>
          <w:szCs w:val="24"/>
        </w:rPr>
        <w:t xml:space="preserve"> </w:t>
      </w:r>
      <w:r w:rsidRPr="007D6A45">
        <w:rPr>
          <w:rFonts w:ascii="Garamond" w:eastAsia="Garamond" w:hAnsi="Garamond" w:cs="Garamond"/>
          <w:sz w:val="24"/>
          <w:szCs w:val="24"/>
        </w:rPr>
        <w:t>kterým poskytne služby, by však mělo být vyhrazeno jen pro extrémní případy. Těžko by bylo možné postihnout hospodského, který odmítne obsloužit např. vraha svého příbuzného, pozná-li ho, anebo malíře bránícího se umělecky portrétovat toho, jehož osobnostními rysy, které jsou ze široce sdíleného pohledu zavrženíhodné, pohrdá (např. A. B.). Ovšem vyfotit masového vraha na průkaz totožnosti v rámci pracovní náplně je, podobně jako ubytovat osobu s jinými politickými názory, něco zcela jiného</w:t>
      </w:r>
      <w:r w:rsidR="00EB6B92">
        <w:rPr>
          <w:rFonts w:ascii="Garamond" w:eastAsia="Garamond" w:hAnsi="Garamond" w:cs="Garamond"/>
          <w:sz w:val="24"/>
          <w:szCs w:val="24"/>
        </w:rPr>
        <w:t>.</w:t>
      </w:r>
      <w:bookmarkStart w:id="9" w:name="page9"/>
      <w:bookmarkEnd w:id="9"/>
    </w:p>
    <w:p w:rsidR="00EB6B92" w:rsidRDefault="00EB6B92" w:rsidP="00EB6B92">
      <w:pPr>
        <w:tabs>
          <w:tab w:val="left" w:pos="711"/>
        </w:tabs>
        <w:jc w:val="both"/>
        <w:rPr>
          <w:rFonts w:ascii="Garamond" w:eastAsia="Garamond" w:hAnsi="Garamond" w:cs="Garamond"/>
          <w:sz w:val="24"/>
          <w:szCs w:val="24"/>
        </w:rPr>
      </w:pPr>
    </w:p>
    <w:p w:rsidR="00F97EE8" w:rsidRPr="00EB6B92" w:rsidRDefault="00EB6B92" w:rsidP="00EB6B92">
      <w:pPr>
        <w:numPr>
          <w:ilvl w:val="0"/>
          <w:numId w:val="26"/>
        </w:numPr>
        <w:tabs>
          <w:tab w:val="left" w:pos="711"/>
        </w:tabs>
        <w:ind w:left="3" w:hanging="3"/>
        <w:jc w:val="both"/>
        <w:rPr>
          <w:rFonts w:ascii="Garamond" w:eastAsia="Garamond" w:hAnsi="Garamond" w:cs="Garamond"/>
          <w:sz w:val="24"/>
          <w:szCs w:val="24"/>
        </w:rPr>
      </w:pPr>
      <w:r>
        <w:rPr>
          <w:rFonts w:ascii="Garamond" w:eastAsia="Garamond" w:hAnsi="Garamond" w:cs="Garamond"/>
          <w:sz w:val="24"/>
          <w:szCs w:val="24"/>
        </w:rPr>
        <w:t>V</w:t>
      </w:r>
      <w:r w:rsidR="006601E9" w:rsidRPr="00EB6B92">
        <w:rPr>
          <w:rFonts w:ascii="Garamond" w:eastAsia="Garamond" w:hAnsi="Garamond" w:cs="Garamond"/>
          <w:sz w:val="24"/>
          <w:szCs w:val="24"/>
        </w:rPr>
        <w:t xml:space="preserve"> důsledku tak soud musel posoudit věc perspektivou střetu dvou ústavněprávních principů, přičemž v posuzované věci upřednostnil z výše popsaných důvodů ochranu práv spotřebitele jako slabší strany. Oblast antidiskriminačního práva je podrobně upravena na ústavní, evropské i zákonné úrovni a úkolem soudů není tuto hodnotovou volbu zákonodárce měnit, ale citlivě řešit konkrétní spory a konflikty ve společnosti.</w:t>
      </w:r>
    </w:p>
    <w:p w:rsidR="00F97EE8" w:rsidRPr="00ED15D5" w:rsidRDefault="00F97EE8">
      <w:pPr>
        <w:spacing w:line="226" w:lineRule="exact"/>
        <w:rPr>
          <w:sz w:val="20"/>
          <w:szCs w:val="20"/>
        </w:rPr>
      </w:pPr>
    </w:p>
    <w:p w:rsidR="00F97EE8" w:rsidRPr="00ED15D5" w:rsidRDefault="00EB6B92">
      <w:pPr>
        <w:ind w:right="17"/>
        <w:jc w:val="center"/>
        <w:rPr>
          <w:sz w:val="20"/>
          <w:szCs w:val="20"/>
        </w:rPr>
      </w:pPr>
      <w:r>
        <w:rPr>
          <w:rFonts w:ascii="Garamond" w:eastAsia="Garamond" w:hAnsi="Garamond" w:cs="Garamond"/>
          <w:b/>
          <w:bCs/>
          <w:sz w:val="24"/>
          <w:szCs w:val="24"/>
        </w:rPr>
        <w:t>V. Závěr</w:t>
      </w:r>
    </w:p>
    <w:p w:rsidR="00F97EE8" w:rsidRPr="00ED15D5" w:rsidRDefault="00F97EE8">
      <w:pPr>
        <w:spacing w:line="244" w:lineRule="exact"/>
        <w:rPr>
          <w:sz w:val="20"/>
          <w:szCs w:val="20"/>
        </w:rPr>
      </w:pPr>
    </w:p>
    <w:p w:rsidR="00F97EE8" w:rsidRPr="00ED15D5" w:rsidRDefault="00EB6B92" w:rsidP="00EB6B92">
      <w:pPr>
        <w:tabs>
          <w:tab w:val="left" w:pos="711"/>
        </w:tabs>
        <w:spacing w:line="276" w:lineRule="auto"/>
        <w:ind w:right="20"/>
        <w:rPr>
          <w:rFonts w:ascii="Garamond" w:eastAsia="Garamond" w:hAnsi="Garamond" w:cs="Garamond"/>
          <w:sz w:val="24"/>
          <w:szCs w:val="24"/>
        </w:rPr>
      </w:pPr>
      <w:r>
        <w:rPr>
          <w:rFonts w:ascii="Garamond" w:eastAsia="Garamond" w:hAnsi="Garamond" w:cs="Garamond"/>
          <w:sz w:val="24"/>
          <w:szCs w:val="24"/>
        </w:rPr>
        <w:t>[31]</w:t>
      </w:r>
      <w:r>
        <w:rPr>
          <w:rFonts w:ascii="Garamond" w:eastAsia="Garamond" w:hAnsi="Garamond" w:cs="Garamond"/>
          <w:sz w:val="24"/>
          <w:szCs w:val="24"/>
        </w:rPr>
        <w:tab/>
      </w:r>
      <w:r w:rsidR="006601E9" w:rsidRPr="00ED15D5">
        <w:rPr>
          <w:rFonts w:ascii="Garamond" w:eastAsia="Garamond" w:hAnsi="Garamond" w:cs="Garamond"/>
          <w:sz w:val="24"/>
          <w:szCs w:val="24"/>
        </w:rPr>
        <w:t xml:space="preserve">Nejvyšší správní soud dospěl ze shora uvedených důvodů k závěru, že kasační stížnost není důvodná, a proto ji dle § 110 odst. 1 </w:t>
      </w:r>
      <w:r w:rsidR="006601E9" w:rsidRPr="00ED15D5">
        <w:rPr>
          <w:rFonts w:ascii="Garamond" w:eastAsia="Garamond" w:hAnsi="Garamond" w:cs="Garamond"/>
          <w:i/>
          <w:iCs/>
          <w:sz w:val="24"/>
          <w:szCs w:val="24"/>
        </w:rPr>
        <w:t>in fine</w:t>
      </w:r>
      <w:r w:rsidR="006601E9" w:rsidRPr="00ED15D5">
        <w:rPr>
          <w:rFonts w:ascii="Garamond" w:eastAsia="Garamond" w:hAnsi="Garamond" w:cs="Garamond"/>
          <w:sz w:val="24"/>
          <w:szCs w:val="24"/>
        </w:rPr>
        <w:t xml:space="preserve"> s. ř. s. zamítl.</w:t>
      </w:r>
    </w:p>
    <w:p w:rsidR="00F97EE8" w:rsidRPr="00ED15D5" w:rsidRDefault="00F97EE8">
      <w:pPr>
        <w:spacing w:line="189" w:lineRule="exact"/>
        <w:rPr>
          <w:sz w:val="20"/>
          <w:szCs w:val="20"/>
        </w:rPr>
      </w:pPr>
    </w:p>
    <w:p w:rsidR="00F97EE8" w:rsidRPr="00ED15D5" w:rsidRDefault="006601E9">
      <w:pPr>
        <w:ind w:left="3"/>
        <w:rPr>
          <w:sz w:val="20"/>
          <w:szCs w:val="20"/>
        </w:rPr>
      </w:pPr>
      <w:r w:rsidRPr="00ED15D5">
        <w:rPr>
          <w:rFonts w:ascii="Garamond" w:eastAsia="Garamond" w:hAnsi="Garamond" w:cs="Garamond"/>
          <w:b/>
          <w:bCs/>
          <w:sz w:val="24"/>
          <w:szCs w:val="24"/>
        </w:rPr>
        <w:t xml:space="preserve">Poučení: </w:t>
      </w:r>
      <w:r w:rsidRPr="00ED15D5">
        <w:rPr>
          <w:rFonts w:ascii="Garamond" w:eastAsia="Garamond" w:hAnsi="Garamond" w:cs="Garamond"/>
          <w:sz w:val="24"/>
          <w:szCs w:val="24"/>
        </w:rPr>
        <w:t>Proti tomuto rozsudku</w:t>
      </w:r>
      <w:r w:rsidRPr="00ED15D5">
        <w:rPr>
          <w:rFonts w:ascii="Garamond" w:eastAsia="Garamond" w:hAnsi="Garamond" w:cs="Garamond"/>
          <w:b/>
          <w:bCs/>
          <w:sz w:val="24"/>
          <w:szCs w:val="24"/>
        </w:rPr>
        <w:t xml:space="preserve"> nejsou</w:t>
      </w:r>
      <w:r w:rsidR="00832458">
        <w:rPr>
          <w:rFonts w:ascii="Garamond" w:eastAsia="Garamond" w:hAnsi="Garamond" w:cs="Garamond"/>
          <w:b/>
          <w:bCs/>
          <w:sz w:val="24"/>
          <w:szCs w:val="24"/>
        </w:rPr>
        <w:t xml:space="preserve"> </w:t>
      </w:r>
      <w:r w:rsidRPr="00ED15D5">
        <w:rPr>
          <w:rFonts w:ascii="Garamond" w:eastAsia="Garamond" w:hAnsi="Garamond" w:cs="Garamond"/>
          <w:sz w:val="24"/>
          <w:szCs w:val="24"/>
        </w:rPr>
        <w:t>opravné prostředky přípustné.</w:t>
      </w:r>
      <w:r w:rsidR="00EB6B92">
        <w:rPr>
          <w:rFonts w:ascii="Garamond" w:eastAsia="Garamond" w:hAnsi="Garamond" w:cs="Garamond"/>
          <w:sz w:val="24"/>
          <w:szCs w:val="24"/>
        </w:rPr>
        <w:br/>
      </w:r>
    </w:p>
    <w:p w:rsidR="00F97EE8" w:rsidRPr="00ED15D5" w:rsidRDefault="006601E9">
      <w:pPr>
        <w:ind w:right="-2"/>
        <w:jc w:val="center"/>
        <w:rPr>
          <w:sz w:val="20"/>
          <w:szCs w:val="20"/>
        </w:rPr>
      </w:pPr>
      <w:r w:rsidRPr="00ED15D5">
        <w:rPr>
          <w:rFonts w:ascii="Garamond" w:eastAsia="Garamond" w:hAnsi="Garamond" w:cs="Garamond"/>
          <w:sz w:val="24"/>
          <w:szCs w:val="24"/>
        </w:rPr>
        <w:t xml:space="preserve">V Brně dne 28. </w:t>
      </w:r>
      <w:r w:rsidR="00ED15D5" w:rsidRPr="00ED15D5">
        <w:rPr>
          <w:rFonts w:ascii="Garamond" w:eastAsia="Garamond" w:hAnsi="Garamond" w:cs="Garamond"/>
          <w:sz w:val="24"/>
          <w:szCs w:val="24"/>
        </w:rPr>
        <w:t>dubna 2019</w:t>
      </w:r>
    </w:p>
    <w:p w:rsidR="00F97EE8" w:rsidRPr="00EB6B92" w:rsidRDefault="00F97EE8">
      <w:pPr>
        <w:spacing w:line="340" w:lineRule="exact"/>
        <w:rPr>
          <w:sz w:val="8"/>
          <w:szCs w:val="20"/>
        </w:rPr>
      </w:pPr>
    </w:p>
    <w:p w:rsidR="00F97EE8" w:rsidRDefault="006601E9" w:rsidP="00EB6B92">
      <w:pPr>
        <w:jc w:val="right"/>
        <w:rPr>
          <w:rFonts w:ascii="Garamond" w:eastAsia="Garamond" w:hAnsi="Garamond" w:cs="Garamond"/>
          <w:sz w:val="24"/>
          <w:szCs w:val="24"/>
        </w:rPr>
      </w:pPr>
      <w:r w:rsidRPr="00ED15D5">
        <w:rPr>
          <w:rFonts w:ascii="Garamond" w:eastAsia="Garamond" w:hAnsi="Garamond" w:cs="Garamond"/>
          <w:sz w:val="24"/>
          <w:szCs w:val="24"/>
        </w:rPr>
        <w:t xml:space="preserve">JUDr. Miluše </w:t>
      </w:r>
      <w:r w:rsidR="00ED15D5" w:rsidRPr="00ED15D5">
        <w:rPr>
          <w:rFonts w:ascii="Garamond" w:eastAsia="Garamond" w:hAnsi="Garamond" w:cs="Garamond"/>
          <w:sz w:val="24"/>
          <w:szCs w:val="24"/>
        </w:rPr>
        <w:t>Tr</w:t>
      </w:r>
      <w:r w:rsidRPr="00ED15D5">
        <w:rPr>
          <w:rFonts w:ascii="Garamond" w:eastAsia="Garamond" w:hAnsi="Garamond" w:cs="Garamond"/>
          <w:sz w:val="24"/>
          <w:szCs w:val="24"/>
        </w:rPr>
        <w:t>ošková</w:t>
      </w:r>
      <w:r w:rsidR="00EB6B92">
        <w:rPr>
          <w:rFonts w:ascii="Garamond" w:eastAsia="Garamond" w:hAnsi="Garamond" w:cs="Garamond"/>
          <w:sz w:val="24"/>
          <w:szCs w:val="24"/>
        </w:rPr>
        <w:br/>
      </w:r>
      <w:r w:rsidRPr="00ED15D5">
        <w:rPr>
          <w:rFonts w:ascii="Garamond" w:eastAsia="Garamond" w:hAnsi="Garamond" w:cs="Garamond"/>
          <w:sz w:val="24"/>
          <w:szCs w:val="24"/>
        </w:rPr>
        <w:t>předsedkyně senátu</w:t>
      </w:r>
    </w:p>
    <w:sectPr w:rsidR="00F97EE8">
      <w:pgSz w:w="11900" w:h="16838"/>
      <w:pgMar w:top="677" w:right="1406" w:bottom="1440" w:left="1417" w:header="0" w:footer="0" w:gutter="0"/>
      <w:cols w:space="708" w:equalWidth="0">
        <w:col w:w="908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01D82"/>
    <w:multiLevelType w:val="hybridMultilevel"/>
    <w:tmpl w:val="8FFACFA2"/>
    <w:lvl w:ilvl="0" w:tplc="26B6604E">
      <w:start w:val="32"/>
      <w:numFmt w:val="decimal"/>
      <w:lvlText w:val="[%1]"/>
      <w:lvlJc w:val="left"/>
    </w:lvl>
    <w:lvl w:ilvl="1" w:tplc="0A6C2974">
      <w:numFmt w:val="decimal"/>
      <w:lvlText w:val=""/>
      <w:lvlJc w:val="left"/>
    </w:lvl>
    <w:lvl w:ilvl="2" w:tplc="ABF6B04C">
      <w:numFmt w:val="decimal"/>
      <w:lvlText w:val=""/>
      <w:lvlJc w:val="left"/>
    </w:lvl>
    <w:lvl w:ilvl="3" w:tplc="F9584BEA">
      <w:numFmt w:val="decimal"/>
      <w:lvlText w:val=""/>
      <w:lvlJc w:val="left"/>
    </w:lvl>
    <w:lvl w:ilvl="4" w:tplc="E2569428">
      <w:numFmt w:val="decimal"/>
      <w:lvlText w:val=""/>
      <w:lvlJc w:val="left"/>
    </w:lvl>
    <w:lvl w:ilvl="5" w:tplc="7054A3E2">
      <w:numFmt w:val="decimal"/>
      <w:lvlText w:val=""/>
      <w:lvlJc w:val="left"/>
    </w:lvl>
    <w:lvl w:ilvl="6" w:tplc="85243F30">
      <w:numFmt w:val="decimal"/>
      <w:lvlText w:val=""/>
      <w:lvlJc w:val="left"/>
    </w:lvl>
    <w:lvl w:ilvl="7" w:tplc="71FC7210">
      <w:numFmt w:val="decimal"/>
      <w:lvlText w:val=""/>
      <w:lvlJc w:val="left"/>
    </w:lvl>
    <w:lvl w:ilvl="8" w:tplc="5DD6616C">
      <w:numFmt w:val="decimal"/>
      <w:lvlText w:val=""/>
      <w:lvlJc w:val="left"/>
    </w:lvl>
  </w:abstractNum>
  <w:abstractNum w:abstractNumId="1" w15:restartNumberingAfterBreak="0">
    <w:nsid w:val="0836C40E"/>
    <w:multiLevelType w:val="hybridMultilevel"/>
    <w:tmpl w:val="F6CA2E56"/>
    <w:lvl w:ilvl="0" w:tplc="F6D267AC">
      <w:start w:val="31"/>
      <w:numFmt w:val="decimal"/>
      <w:lvlText w:val="[%1]"/>
      <w:lvlJc w:val="left"/>
    </w:lvl>
    <w:lvl w:ilvl="1" w:tplc="BC5C890E">
      <w:numFmt w:val="decimal"/>
      <w:lvlText w:val=""/>
      <w:lvlJc w:val="left"/>
    </w:lvl>
    <w:lvl w:ilvl="2" w:tplc="5D54EE18">
      <w:numFmt w:val="decimal"/>
      <w:lvlText w:val=""/>
      <w:lvlJc w:val="left"/>
    </w:lvl>
    <w:lvl w:ilvl="3" w:tplc="998AADCA">
      <w:numFmt w:val="decimal"/>
      <w:lvlText w:val=""/>
      <w:lvlJc w:val="left"/>
    </w:lvl>
    <w:lvl w:ilvl="4" w:tplc="8D1273AE">
      <w:numFmt w:val="decimal"/>
      <w:lvlText w:val=""/>
      <w:lvlJc w:val="left"/>
    </w:lvl>
    <w:lvl w:ilvl="5" w:tplc="374EF920">
      <w:numFmt w:val="decimal"/>
      <w:lvlText w:val=""/>
      <w:lvlJc w:val="left"/>
    </w:lvl>
    <w:lvl w:ilvl="6" w:tplc="EABCED5A">
      <w:numFmt w:val="decimal"/>
      <w:lvlText w:val=""/>
      <w:lvlJc w:val="left"/>
    </w:lvl>
    <w:lvl w:ilvl="7" w:tplc="59F47920">
      <w:numFmt w:val="decimal"/>
      <w:lvlText w:val=""/>
      <w:lvlJc w:val="left"/>
    </w:lvl>
    <w:lvl w:ilvl="8" w:tplc="5A946600">
      <w:numFmt w:val="decimal"/>
      <w:lvlText w:val=""/>
      <w:lvlJc w:val="left"/>
    </w:lvl>
  </w:abstractNum>
  <w:abstractNum w:abstractNumId="2" w15:restartNumberingAfterBreak="0">
    <w:nsid w:val="08EDBDAB"/>
    <w:multiLevelType w:val="hybridMultilevel"/>
    <w:tmpl w:val="92FA03C6"/>
    <w:lvl w:ilvl="0" w:tplc="344A7716">
      <w:start w:val="1"/>
      <w:numFmt w:val="bullet"/>
      <w:lvlText w:val="a"/>
      <w:lvlJc w:val="left"/>
    </w:lvl>
    <w:lvl w:ilvl="1" w:tplc="1BF2595A">
      <w:numFmt w:val="decimal"/>
      <w:lvlText w:val=""/>
      <w:lvlJc w:val="left"/>
    </w:lvl>
    <w:lvl w:ilvl="2" w:tplc="62CA7FB6">
      <w:numFmt w:val="decimal"/>
      <w:lvlText w:val=""/>
      <w:lvlJc w:val="left"/>
    </w:lvl>
    <w:lvl w:ilvl="3" w:tplc="C9DA2CE8">
      <w:numFmt w:val="decimal"/>
      <w:lvlText w:val=""/>
      <w:lvlJc w:val="left"/>
    </w:lvl>
    <w:lvl w:ilvl="4" w:tplc="447A6700">
      <w:numFmt w:val="decimal"/>
      <w:lvlText w:val=""/>
      <w:lvlJc w:val="left"/>
    </w:lvl>
    <w:lvl w:ilvl="5" w:tplc="E4AC31F6">
      <w:numFmt w:val="decimal"/>
      <w:lvlText w:val=""/>
      <w:lvlJc w:val="left"/>
    </w:lvl>
    <w:lvl w:ilvl="6" w:tplc="09CE93A6">
      <w:numFmt w:val="decimal"/>
      <w:lvlText w:val=""/>
      <w:lvlJc w:val="left"/>
    </w:lvl>
    <w:lvl w:ilvl="7" w:tplc="CFBE51FE">
      <w:numFmt w:val="decimal"/>
      <w:lvlText w:val=""/>
      <w:lvlJc w:val="left"/>
    </w:lvl>
    <w:lvl w:ilvl="8" w:tplc="DFFEB928">
      <w:numFmt w:val="decimal"/>
      <w:lvlText w:val=""/>
      <w:lvlJc w:val="left"/>
    </w:lvl>
  </w:abstractNum>
  <w:abstractNum w:abstractNumId="3" w15:restartNumberingAfterBreak="0">
    <w:nsid w:val="0B03E0C6"/>
    <w:multiLevelType w:val="hybridMultilevel"/>
    <w:tmpl w:val="FB684E28"/>
    <w:lvl w:ilvl="0" w:tplc="DC16D93C">
      <w:start w:val="26"/>
      <w:numFmt w:val="decimal"/>
      <w:lvlText w:val="[%1]"/>
      <w:lvlJc w:val="left"/>
    </w:lvl>
    <w:lvl w:ilvl="1" w:tplc="7A16188E">
      <w:numFmt w:val="decimal"/>
      <w:lvlText w:val=""/>
      <w:lvlJc w:val="left"/>
    </w:lvl>
    <w:lvl w:ilvl="2" w:tplc="771E2914">
      <w:numFmt w:val="decimal"/>
      <w:lvlText w:val=""/>
      <w:lvlJc w:val="left"/>
    </w:lvl>
    <w:lvl w:ilvl="3" w:tplc="2D044138">
      <w:numFmt w:val="decimal"/>
      <w:lvlText w:val=""/>
      <w:lvlJc w:val="left"/>
    </w:lvl>
    <w:lvl w:ilvl="4" w:tplc="82CAFE6A">
      <w:numFmt w:val="decimal"/>
      <w:lvlText w:val=""/>
      <w:lvlJc w:val="left"/>
    </w:lvl>
    <w:lvl w:ilvl="5" w:tplc="B2DE8890">
      <w:numFmt w:val="decimal"/>
      <w:lvlText w:val=""/>
      <w:lvlJc w:val="left"/>
    </w:lvl>
    <w:lvl w:ilvl="6" w:tplc="76262790">
      <w:numFmt w:val="decimal"/>
      <w:lvlText w:val=""/>
      <w:lvlJc w:val="left"/>
    </w:lvl>
    <w:lvl w:ilvl="7" w:tplc="01D0EFF2">
      <w:numFmt w:val="decimal"/>
      <w:lvlText w:val=""/>
      <w:lvlJc w:val="left"/>
    </w:lvl>
    <w:lvl w:ilvl="8" w:tplc="AAF61C20">
      <w:numFmt w:val="decimal"/>
      <w:lvlText w:val=""/>
      <w:lvlJc w:val="left"/>
    </w:lvl>
  </w:abstractNum>
  <w:abstractNum w:abstractNumId="4" w15:restartNumberingAfterBreak="0">
    <w:nsid w:val="189A769B"/>
    <w:multiLevelType w:val="hybridMultilevel"/>
    <w:tmpl w:val="5BBCCBA0"/>
    <w:lvl w:ilvl="0" w:tplc="549EB8F8">
      <w:start w:val="27"/>
      <w:numFmt w:val="decimal"/>
      <w:lvlText w:val="[%1]"/>
      <w:lvlJc w:val="left"/>
    </w:lvl>
    <w:lvl w:ilvl="1" w:tplc="B9AECCA0">
      <w:numFmt w:val="decimal"/>
      <w:lvlText w:val=""/>
      <w:lvlJc w:val="left"/>
    </w:lvl>
    <w:lvl w:ilvl="2" w:tplc="8BE2BDAE">
      <w:numFmt w:val="decimal"/>
      <w:lvlText w:val=""/>
      <w:lvlJc w:val="left"/>
    </w:lvl>
    <w:lvl w:ilvl="3" w:tplc="6EC62A9C">
      <w:numFmt w:val="decimal"/>
      <w:lvlText w:val=""/>
      <w:lvlJc w:val="left"/>
    </w:lvl>
    <w:lvl w:ilvl="4" w:tplc="293C2E8E">
      <w:numFmt w:val="decimal"/>
      <w:lvlText w:val=""/>
      <w:lvlJc w:val="left"/>
    </w:lvl>
    <w:lvl w:ilvl="5" w:tplc="7E786896">
      <w:numFmt w:val="decimal"/>
      <w:lvlText w:val=""/>
      <w:lvlJc w:val="left"/>
    </w:lvl>
    <w:lvl w:ilvl="6" w:tplc="9CBC54C8">
      <w:numFmt w:val="decimal"/>
      <w:lvlText w:val=""/>
      <w:lvlJc w:val="left"/>
    </w:lvl>
    <w:lvl w:ilvl="7" w:tplc="FBA490AE">
      <w:numFmt w:val="decimal"/>
      <w:lvlText w:val=""/>
      <w:lvlJc w:val="left"/>
    </w:lvl>
    <w:lvl w:ilvl="8" w:tplc="0D049F38">
      <w:numFmt w:val="decimal"/>
      <w:lvlText w:val=""/>
      <w:lvlJc w:val="left"/>
    </w:lvl>
  </w:abstractNum>
  <w:abstractNum w:abstractNumId="5" w15:restartNumberingAfterBreak="0">
    <w:nsid w:val="1BEFD79F"/>
    <w:multiLevelType w:val="hybridMultilevel"/>
    <w:tmpl w:val="02B67858"/>
    <w:lvl w:ilvl="0" w:tplc="539C0012">
      <w:start w:val="1"/>
      <w:numFmt w:val="bullet"/>
      <w:lvlText w:val="č."/>
      <w:lvlJc w:val="left"/>
    </w:lvl>
    <w:lvl w:ilvl="1" w:tplc="2B444E22">
      <w:numFmt w:val="decimal"/>
      <w:lvlText w:val=""/>
      <w:lvlJc w:val="left"/>
    </w:lvl>
    <w:lvl w:ilvl="2" w:tplc="C6CC033A">
      <w:numFmt w:val="decimal"/>
      <w:lvlText w:val=""/>
      <w:lvlJc w:val="left"/>
    </w:lvl>
    <w:lvl w:ilvl="3" w:tplc="41303D92">
      <w:numFmt w:val="decimal"/>
      <w:lvlText w:val=""/>
      <w:lvlJc w:val="left"/>
    </w:lvl>
    <w:lvl w:ilvl="4" w:tplc="82A8CEA8">
      <w:numFmt w:val="decimal"/>
      <w:lvlText w:val=""/>
      <w:lvlJc w:val="left"/>
    </w:lvl>
    <w:lvl w:ilvl="5" w:tplc="B0F894E2">
      <w:numFmt w:val="decimal"/>
      <w:lvlText w:val=""/>
      <w:lvlJc w:val="left"/>
    </w:lvl>
    <w:lvl w:ilvl="6" w:tplc="1D48DE42">
      <w:numFmt w:val="decimal"/>
      <w:lvlText w:val=""/>
      <w:lvlJc w:val="left"/>
    </w:lvl>
    <w:lvl w:ilvl="7" w:tplc="128E3BBC">
      <w:numFmt w:val="decimal"/>
      <w:lvlText w:val=""/>
      <w:lvlJc w:val="left"/>
    </w:lvl>
    <w:lvl w:ilvl="8" w:tplc="F68E5DCE">
      <w:numFmt w:val="decimal"/>
      <w:lvlText w:val=""/>
      <w:lvlJc w:val="left"/>
    </w:lvl>
  </w:abstractNum>
  <w:abstractNum w:abstractNumId="6" w15:restartNumberingAfterBreak="0">
    <w:nsid w:val="2443A858"/>
    <w:multiLevelType w:val="hybridMultilevel"/>
    <w:tmpl w:val="1C2E59CA"/>
    <w:lvl w:ilvl="0" w:tplc="2776637A">
      <w:start w:val="1"/>
      <w:numFmt w:val="bullet"/>
      <w:lvlText w:val="č."/>
      <w:lvlJc w:val="left"/>
    </w:lvl>
    <w:lvl w:ilvl="1" w:tplc="D3A85352">
      <w:numFmt w:val="decimal"/>
      <w:lvlText w:val=""/>
      <w:lvlJc w:val="left"/>
    </w:lvl>
    <w:lvl w:ilvl="2" w:tplc="E1424E0A">
      <w:numFmt w:val="decimal"/>
      <w:lvlText w:val=""/>
      <w:lvlJc w:val="left"/>
    </w:lvl>
    <w:lvl w:ilvl="3" w:tplc="3410D456">
      <w:numFmt w:val="decimal"/>
      <w:lvlText w:val=""/>
      <w:lvlJc w:val="left"/>
    </w:lvl>
    <w:lvl w:ilvl="4" w:tplc="73B69E78">
      <w:numFmt w:val="decimal"/>
      <w:lvlText w:val=""/>
      <w:lvlJc w:val="left"/>
    </w:lvl>
    <w:lvl w:ilvl="5" w:tplc="058AF9A0">
      <w:numFmt w:val="decimal"/>
      <w:lvlText w:val=""/>
      <w:lvlJc w:val="left"/>
    </w:lvl>
    <w:lvl w:ilvl="6" w:tplc="F8160E00">
      <w:numFmt w:val="decimal"/>
      <w:lvlText w:val=""/>
      <w:lvlJc w:val="left"/>
    </w:lvl>
    <w:lvl w:ilvl="7" w:tplc="6DC8ED44">
      <w:numFmt w:val="decimal"/>
      <w:lvlText w:val=""/>
      <w:lvlJc w:val="left"/>
    </w:lvl>
    <w:lvl w:ilvl="8" w:tplc="CCC4FE3E">
      <w:numFmt w:val="decimal"/>
      <w:lvlText w:val=""/>
      <w:lvlJc w:val="left"/>
    </w:lvl>
  </w:abstractNum>
  <w:abstractNum w:abstractNumId="7" w15:restartNumberingAfterBreak="0">
    <w:nsid w:val="257130A3"/>
    <w:multiLevelType w:val="hybridMultilevel"/>
    <w:tmpl w:val="2A4604EE"/>
    <w:lvl w:ilvl="0" w:tplc="8C8689E8">
      <w:start w:val="8"/>
      <w:numFmt w:val="decimal"/>
      <w:lvlText w:val="[%1]"/>
      <w:lvlJc w:val="left"/>
    </w:lvl>
    <w:lvl w:ilvl="1" w:tplc="121E8EA0">
      <w:numFmt w:val="decimal"/>
      <w:lvlText w:val=""/>
      <w:lvlJc w:val="left"/>
    </w:lvl>
    <w:lvl w:ilvl="2" w:tplc="0BC00A8C">
      <w:numFmt w:val="decimal"/>
      <w:lvlText w:val=""/>
      <w:lvlJc w:val="left"/>
    </w:lvl>
    <w:lvl w:ilvl="3" w:tplc="0CAEF514">
      <w:numFmt w:val="decimal"/>
      <w:lvlText w:val=""/>
      <w:lvlJc w:val="left"/>
    </w:lvl>
    <w:lvl w:ilvl="4" w:tplc="862601C2">
      <w:numFmt w:val="decimal"/>
      <w:lvlText w:val=""/>
      <w:lvlJc w:val="left"/>
    </w:lvl>
    <w:lvl w:ilvl="5" w:tplc="EE4EB1B2">
      <w:numFmt w:val="decimal"/>
      <w:lvlText w:val=""/>
      <w:lvlJc w:val="left"/>
    </w:lvl>
    <w:lvl w:ilvl="6" w:tplc="A5183182">
      <w:numFmt w:val="decimal"/>
      <w:lvlText w:val=""/>
      <w:lvlJc w:val="left"/>
    </w:lvl>
    <w:lvl w:ilvl="7" w:tplc="A91C2104">
      <w:numFmt w:val="decimal"/>
      <w:lvlText w:val=""/>
      <w:lvlJc w:val="left"/>
    </w:lvl>
    <w:lvl w:ilvl="8" w:tplc="ED6E557E">
      <w:numFmt w:val="decimal"/>
      <w:lvlText w:val=""/>
      <w:lvlJc w:val="left"/>
    </w:lvl>
  </w:abstractNum>
  <w:abstractNum w:abstractNumId="8" w15:restartNumberingAfterBreak="0">
    <w:nsid w:val="25E45D32"/>
    <w:multiLevelType w:val="hybridMultilevel"/>
    <w:tmpl w:val="34089644"/>
    <w:lvl w:ilvl="0" w:tplc="4A9A5F0C">
      <w:start w:val="1"/>
      <w:numFmt w:val="bullet"/>
      <w:lvlText w:val="č."/>
      <w:lvlJc w:val="left"/>
    </w:lvl>
    <w:lvl w:ilvl="1" w:tplc="A1F6FDBA">
      <w:numFmt w:val="decimal"/>
      <w:lvlText w:val=""/>
      <w:lvlJc w:val="left"/>
    </w:lvl>
    <w:lvl w:ilvl="2" w:tplc="52FC1D88">
      <w:numFmt w:val="decimal"/>
      <w:lvlText w:val=""/>
      <w:lvlJc w:val="left"/>
    </w:lvl>
    <w:lvl w:ilvl="3" w:tplc="5BF6581C">
      <w:numFmt w:val="decimal"/>
      <w:lvlText w:val=""/>
      <w:lvlJc w:val="left"/>
    </w:lvl>
    <w:lvl w:ilvl="4" w:tplc="BCD85B0C">
      <w:numFmt w:val="decimal"/>
      <w:lvlText w:val=""/>
      <w:lvlJc w:val="left"/>
    </w:lvl>
    <w:lvl w:ilvl="5" w:tplc="5796A07E">
      <w:numFmt w:val="decimal"/>
      <w:lvlText w:val=""/>
      <w:lvlJc w:val="left"/>
    </w:lvl>
    <w:lvl w:ilvl="6" w:tplc="9B244934">
      <w:numFmt w:val="decimal"/>
      <w:lvlText w:val=""/>
      <w:lvlJc w:val="left"/>
    </w:lvl>
    <w:lvl w:ilvl="7" w:tplc="C77C5802">
      <w:numFmt w:val="decimal"/>
      <w:lvlText w:val=""/>
      <w:lvlJc w:val="left"/>
    </w:lvl>
    <w:lvl w:ilvl="8" w:tplc="B3681BBA">
      <w:numFmt w:val="decimal"/>
      <w:lvlText w:val=""/>
      <w:lvlJc w:val="left"/>
    </w:lvl>
  </w:abstractNum>
  <w:abstractNum w:abstractNumId="9" w15:restartNumberingAfterBreak="0">
    <w:nsid w:val="2CA88611"/>
    <w:multiLevelType w:val="hybridMultilevel"/>
    <w:tmpl w:val="074E7E9C"/>
    <w:lvl w:ilvl="0" w:tplc="BC8E1AA0">
      <w:start w:val="30"/>
      <w:numFmt w:val="decimal"/>
      <w:lvlText w:val="[%1]"/>
      <w:lvlJc w:val="left"/>
    </w:lvl>
    <w:lvl w:ilvl="1" w:tplc="E2A0A866">
      <w:numFmt w:val="decimal"/>
      <w:lvlText w:val=""/>
      <w:lvlJc w:val="left"/>
    </w:lvl>
    <w:lvl w:ilvl="2" w:tplc="030C5722">
      <w:numFmt w:val="decimal"/>
      <w:lvlText w:val=""/>
      <w:lvlJc w:val="left"/>
    </w:lvl>
    <w:lvl w:ilvl="3" w:tplc="078266E2">
      <w:numFmt w:val="decimal"/>
      <w:lvlText w:val=""/>
      <w:lvlJc w:val="left"/>
    </w:lvl>
    <w:lvl w:ilvl="4" w:tplc="4C20DFC2">
      <w:numFmt w:val="decimal"/>
      <w:lvlText w:val=""/>
      <w:lvlJc w:val="left"/>
    </w:lvl>
    <w:lvl w:ilvl="5" w:tplc="98380936">
      <w:numFmt w:val="decimal"/>
      <w:lvlText w:val=""/>
      <w:lvlJc w:val="left"/>
    </w:lvl>
    <w:lvl w:ilvl="6" w:tplc="A080FD78">
      <w:numFmt w:val="decimal"/>
      <w:lvlText w:val=""/>
      <w:lvlJc w:val="left"/>
    </w:lvl>
    <w:lvl w:ilvl="7" w:tplc="83442EAA">
      <w:numFmt w:val="decimal"/>
      <w:lvlText w:val=""/>
      <w:lvlJc w:val="left"/>
    </w:lvl>
    <w:lvl w:ilvl="8" w:tplc="AE129A6E">
      <w:numFmt w:val="decimal"/>
      <w:lvlText w:val=""/>
      <w:lvlJc w:val="left"/>
    </w:lvl>
  </w:abstractNum>
  <w:abstractNum w:abstractNumId="10" w15:restartNumberingAfterBreak="0">
    <w:nsid w:val="2D1D5AE9"/>
    <w:multiLevelType w:val="hybridMultilevel"/>
    <w:tmpl w:val="54BC3808"/>
    <w:lvl w:ilvl="0" w:tplc="FE1E5FBA">
      <w:start w:val="18"/>
      <w:numFmt w:val="decimal"/>
      <w:lvlText w:val="[%1]"/>
      <w:lvlJc w:val="left"/>
    </w:lvl>
    <w:lvl w:ilvl="1" w:tplc="F7889D0A">
      <w:numFmt w:val="decimal"/>
      <w:lvlText w:val=""/>
      <w:lvlJc w:val="left"/>
    </w:lvl>
    <w:lvl w:ilvl="2" w:tplc="170A378E">
      <w:numFmt w:val="decimal"/>
      <w:lvlText w:val=""/>
      <w:lvlJc w:val="left"/>
    </w:lvl>
    <w:lvl w:ilvl="3" w:tplc="B72A64D0">
      <w:numFmt w:val="decimal"/>
      <w:lvlText w:val=""/>
      <w:lvlJc w:val="left"/>
    </w:lvl>
    <w:lvl w:ilvl="4" w:tplc="13EA45E8">
      <w:numFmt w:val="decimal"/>
      <w:lvlText w:val=""/>
      <w:lvlJc w:val="left"/>
    </w:lvl>
    <w:lvl w:ilvl="5" w:tplc="65226606">
      <w:numFmt w:val="decimal"/>
      <w:lvlText w:val=""/>
      <w:lvlJc w:val="left"/>
    </w:lvl>
    <w:lvl w:ilvl="6" w:tplc="8FA4EBDE">
      <w:numFmt w:val="decimal"/>
      <w:lvlText w:val=""/>
      <w:lvlJc w:val="left"/>
    </w:lvl>
    <w:lvl w:ilvl="7" w:tplc="4BE86BDE">
      <w:numFmt w:val="decimal"/>
      <w:lvlText w:val=""/>
      <w:lvlJc w:val="left"/>
    </w:lvl>
    <w:lvl w:ilvl="8" w:tplc="A53A1442">
      <w:numFmt w:val="decimal"/>
      <w:lvlText w:val=""/>
      <w:lvlJc w:val="left"/>
    </w:lvl>
  </w:abstractNum>
  <w:abstractNum w:abstractNumId="11" w15:restartNumberingAfterBreak="0">
    <w:nsid w:val="333AB105"/>
    <w:multiLevelType w:val="hybridMultilevel"/>
    <w:tmpl w:val="FE00DE0C"/>
    <w:lvl w:ilvl="0" w:tplc="F8324A30">
      <w:start w:val="8"/>
      <w:numFmt w:val="decimal"/>
      <w:lvlText w:val="%1."/>
      <w:lvlJc w:val="left"/>
    </w:lvl>
    <w:lvl w:ilvl="1" w:tplc="84C85788">
      <w:numFmt w:val="decimal"/>
      <w:lvlText w:val=""/>
      <w:lvlJc w:val="left"/>
    </w:lvl>
    <w:lvl w:ilvl="2" w:tplc="687480EA">
      <w:numFmt w:val="decimal"/>
      <w:lvlText w:val=""/>
      <w:lvlJc w:val="left"/>
    </w:lvl>
    <w:lvl w:ilvl="3" w:tplc="1DD00B44">
      <w:numFmt w:val="decimal"/>
      <w:lvlText w:val=""/>
      <w:lvlJc w:val="left"/>
    </w:lvl>
    <w:lvl w:ilvl="4" w:tplc="A1E68EF6">
      <w:numFmt w:val="decimal"/>
      <w:lvlText w:val=""/>
      <w:lvlJc w:val="left"/>
    </w:lvl>
    <w:lvl w:ilvl="5" w:tplc="E3085DBE">
      <w:numFmt w:val="decimal"/>
      <w:lvlText w:val=""/>
      <w:lvlJc w:val="left"/>
    </w:lvl>
    <w:lvl w:ilvl="6" w:tplc="D068D562">
      <w:numFmt w:val="decimal"/>
      <w:lvlText w:val=""/>
      <w:lvlJc w:val="left"/>
    </w:lvl>
    <w:lvl w:ilvl="7" w:tplc="9D94E7F0">
      <w:numFmt w:val="decimal"/>
      <w:lvlText w:val=""/>
      <w:lvlJc w:val="left"/>
    </w:lvl>
    <w:lvl w:ilvl="8" w:tplc="8D625834">
      <w:numFmt w:val="decimal"/>
      <w:lvlText w:val=""/>
      <w:lvlJc w:val="left"/>
    </w:lvl>
  </w:abstractNum>
  <w:abstractNum w:abstractNumId="12" w15:restartNumberingAfterBreak="0">
    <w:nsid w:val="3F2DBA31"/>
    <w:multiLevelType w:val="hybridMultilevel"/>
    <w:tmpl w:val="980A3478"/>
    <w:lvl w:ilvl="0" w:tplc="59A0B8DC">
      <w:start w:val="1"/>
      <w:numFmt w:val="decimal"/>
      <w:lvlText w:val="%1"/>
      <w:lvlJc w:val="left"/>
    </w:lvl>
    <w:lvl w:ilvl="1" w:tplc="6986AAF6">
      <w:start w:val="35"/>
      <w:numFmt w:val="upperLetter"/>
      <w:lvlText w:val="%2."/>
      <w:lvlJc w:val="left"/>
    </w:lvl>
    <w:lvl w:ilvl="2" w:tplc="2C2CF046">
      <w:numFmt w:val="decimal"/>
      <w:lvlText w:val=""/>
      <w:lvlJc w:val="left"/>
    </w:lvl>
    <w:lvl w:ilvl="3" w:tplc="591C2136">
      <w:numFmt w:val="decimal"/>
      <w:lvlText w:val=""/>
      <w:lvlJc w:val="left"/>
    </w:lvl>
    <w:lvl w:ilvl="4" w:tplc="8514C8F2">
      <w:numFmt w:val="decimal"/>
      <w:lvlText w:val=""/>
      <w:lvlJc w:val="left"/>
    </w:lvl>
    <w:lvl w:ilvl="5" w:tplc="72F485E4">
      <w:numFmt w:val="decimal"/>
      <w:lvlText w:val=""/>
      <w:lvlJc w:val="left"/>
    </w:lvl>
    <w:lvl w:ilvl="6" w:tplc="12A82B94">
      <w:numFmt w:val="decimal"/>
      <w:lvlText w:val=""/>
      <w:lvlJc w:val="left"/>
    </w:lvl>
    <w:lvl w:ilvl="7" w:tplc="18BC665E">
      <w:numFmt w:val="decimal"/>
      <w:lvlText w:val=""/>
      <w:lvlJc w:val="left"/>
    </w:lvl>
    <w:lvl w:ilvl="8" w:tplc="B7AE3236">
      <w:numFmt w:val="decimal"/>
      <w:lvlText w:val=""/>
      <w:lvlJc w:val="left"/>
    </w:lvl>
  </w:abstractNum>
  <w:abstractNum w:abstractNumId="13" w15:restartNumberingAfterBreak="0">
    <w:nsid w:val="41A7C4C9"/>
    <w:multiLevelType w:val="hybridMultilevel"/>
    <w:tmpl w:val="28E4208C"/>
    <w:lvl w:ilvl="0" w:tplc="16F8AEEA">
      <w:start w:val="1"/>
      <w:numFmt w:val="decimal"/>
      <w:lvlText w:val="[%1]"/>
      <w:lvlJc w:val="left"/>
    </w:lvl>
    <w:lvl w:ilvl="1" w:tplc="FBE8BB46">
      <w:numFmt w:val="decimal"/>
      <w:lvlText w:val=""/>
      <w:lvlJc w:val="left"/>
    </w:lvl>
    <w:lvl w:ilvl="2" w:tplc="232EED38">
      <w:numFmt w:val="decimal"/>
      <w:lvlText w:val=""/>
      <w:lvlJc w:val="left"/>
    </w:lvl>
    <w:lvl w:ilvl="3" w:tplc="02920442">
      <w:numFmt w:val="decimal"/>
      <w:lvlText w:val=""/>
      <w:lvlJc w:val="left"/>
    </w:lvl>
    <w:lvl w:ilvl="4" w:tplc="A798FCD0">
      <w:numFmt w:val="decimal"/>
      <w:lvlText w:val=""/>
      <w:lvlJc w:val="left"/>
    </w:lvl>
    <w:lvl w:ilvl="5" w:tplc="6324BCA4">
      <w:numFmt w:val="decimal"/>
      <w:lvlText w:val=""/>
      <w:lvlJc w:val="left"/>
    </w:lvl>
    <w:lvl w:ilvl="6" w:tplc="7E7E4EAE">
      <w:numFmt w:val="decimal"/>
      <w:lvlText w:val=""/>
      <w:lvlJc w:val="left"/>
    </w:lvl>
    <w:lvl w:ilvl="7" w:tplc="D89EC8FE">
      <w:numFmt w:val="decimal"/>
      <w:lvlText w:val=""/>
      <w:lvlJc w:val="left"/>
    </w:lvl>
    <w:lvl w:ilvl="8" w:tplc="55DEA572">
      <w:numFmt w:val="decimal"/>
      <w:lvlText w:val=""/>
      <w:lvlJc w:val="left"/>
    </w:lvl>
  </w:abstractNum>
  <w:abstractNum w:abstractNumId="14" w15:restartNumberingAfterBreak="0">
    <w:nsid w:val="431BD7B7"/>
    <w:multiLevelType w:val="hybridMultilevel"/>
    <w:tmpl w:val="09AECB80"/>
    <w:lvl w:ilvl="0" w:tplc="68F60638">
      <w:start w:val="1"/>
      <w:numFmt w:val="bullet"/>
      <w:lvlText w:val="a"/>
      <w:lvlJc w:val="left"/>
    </w:lvl>
    <w:lvl w:ilvl="1" w:tplc="E6561DCC">
      <w:numFmt w:val="decimal"/>
      <w:lvlText w:val=""/>
      <w:lvlJc w:val="left"/>
    </w:lvl>
    <w:lvl w:ilvl="2" w:tplc="5DE0D3BC">
      <w:numFmt w:val="decimal"/>
      <w:lvlText w:val=""/>
      <w:lvlJc w:val="left"/>
    </w:lvl>
    <w:lvl w:ilvl="3" w:tplc="7D580B5C">
      <w:numFmt w:val="decimal"/>
      <w:lvlText w:val=""/>
      <w:lvlJc w:val="left"/>
    </w:lvl>
    <w:lvl w:ilvl="4" w:tplc="38D6C014">
      <w:numFmt w:val="decimal"/>
      <w:lvlText w:val=""/>
      <w:lvlJc w:val="left"/>
    </w:lvl>
    <w:lvl w:ilvl="5" w:tplc="33665D48">
      <w:numFmt w:val="decimal"/>
      <w:lvlText w:val=""/>
      <w:lvlJc w:val="left"/>
    </w:lvl>
    <w:lvl w:ilvl="6" w:tplc="02CED9F2">
      <w:numFmt w:val="decimal"/>
      <w:lvlText w:val=""/>
      <w:lvlJc w:val="left"/>
    </w:lvl>
    <w:lvl w:ilvl="7" w:tplc="96A4907E">
      <w:numFmt w:val="decimal"/>
      <w:lvlText w:val=""/>
      <w:lvlJc w:val="left"/>
    </w:lvl>
    <w:lvl w:ilvl="8" w:tplc="BBE2855C">
      <w:numFmt w:val="decimal"/>
      <w:lvlText w:val=""/>
      <w:lvlJc w:val="left"/>
    </w:lvl>
  </w:abstractNum>
  <w:abstractNum w:abstractNumId="15" w15:restartNumberingAfterBreak="0">
    <w:nsid w:val="4353D0CD"/>
    <w:multiLevelType w:val="hybridMultilevel"/>
    <w:tmpl w:val="7B3AD264"/>
    <w:lvl w:ilvl="0" w:tplc="F0AE018C">
      <w:start w:val="25"/>
      <w:numFmt w:val="decimal"/>
      <w:lvlText w:val="[%1]"/>
      <w:lvlJc w:val="left"/>
    </w:lvl>
    <w:lvl w:ilvl="1" w:tplc="969EAF22">
      <w:numFmt w:val="decimal"/>
      <w:lvlText w:val=""/>
      <w:lvlJc w:val="left"/>
    </w:lvl>
    <w:lvl w:ilvl="2" w:tplc="51BCF8EC">
      <w:numFmt w:val="decimal"/>
      <w:lvlText w:val=""/>
      <w:lvlJc w:val="left"/>
    </w:lvl>
    <w:lvl w:ilvl="3" w:tplc="0F7EADD8">
      <w:numFmt w:val="decimal"/>
      <w:lvlText w:val=""/>
      <w:lvlJc w:val="left"/>
    </w:lvl>
    <w:lvl w:ilvl="4" w:tplc="D9589204">
      <w:numFmt w:val="decimal"/>
      <w:lvlText w:val=""/>
      <w:lvlJc w:val="left"/>
    </w:lvl>
    <w:lvl w:ilvl="5" w:tplc="0D76A526">
      <w:numFmt w:val="decimal"/>
      <w:lvlText w:val=""/>
      <w:lvlJc w:val="left"/>
    </w:lvl>
    <w:lvl w:ilvl="6" w:tplc="0DB8B0BE">
      <w:numFmt w:val="decimal"/>
      <w:lvlText w:val=""/>
      <w:lvlJc w:val="left"/>
    </w:lvl>
    <w:lvl w:ilvl="7" w:tplc="054A55CE">
      <w:numFmt w:val="decimal"/>
      <w:lvlText w:val=""/>
      <w:lvlJc w:val="left"/>
    </w:lvl>
    <w:lvl w:ilvl="8" w:tplc="30BACCEC">
      <w:numFmt w:val="decimal"/>
      <w:lvlText w:val=""/>
      <w:lvlJc w:val="left"/>
    </w:lvl>
  </w:abstractNum>
  <w:abstractNum w:abstractNumId="16" w15:restartNumberingAfterBreak="0">
    <w:nsid w:val="436C6125"/>
    <w:multiLevelType w:val="hybridMultilevel"/>
    <w:tmpl w:val="5DCA866A"/>
    <w:lvl w:ilvl="0" w:tplc="29560F06">
      <w:start w:val="12"/>
      <w:numFmt w:val="decimal"/>
      <w:lvlText w:val="[%1]"/>
      <w:lvlJc w:val="left"/>
    </w:lvl>
    <w:lvl w:ilvl="1" w:tplc="D8E8CEF0">
      <w:numFmt w:val="decimal"/>
      <w:lvlText w:val=""/>
      <w:lvlJc w:val="left"/>
    </w:lvl>
    <w:lvl w:ilvl="2" w:tplc="800497BA">
      <w:numFmt w:val="decimal"/>
      <w:lvlText w:val=""/>
      <w:lvlJc w:val="left"/>
    </w:lvl>
    <w:lvl w:ilvl="3" w:tplc="3B66061A">
      <w:numFmt w:val="decimal"/>
      <w:lvlText w:val=""/>
      <w:lvlJc w:val="left"/>
    </w:lvl>
    <w:lvl w:ilvl="4" w:tplc="57469B80">
      <w:numFmt w:val="decimal"/>
      <w:lvlText w:val=""/>
      <w:lvlJc w:val="left"/>
    </w:lvl>
    <w:lvl w:ilvl="5" w:tplc="17EACD78">
      <w:numFmt w:val="decimal"/>
      <w:lvlText w:val=""/>
      <w:lvlJc w:val="left"/>
    </w:lvl>
    <w:lvl w:ilvl="6" w:tplc="094048F4">
      <w:numFmt w:val="decimal"/>
      <w:lvlText w:val=""/>
      <w:lvlJc w:val="left"/>
    </w:lvl>
    <w:lvl w:ilvl="7" w:tplc="2B3614B6">
      <w:numFmt w:val="decimal"/>
      <w:lvlText w:val=""/>
      <w:lvlJc w:val="left"/>
    </w:lvl>
    <w:lvl w:ilvl="8" w:tplc="DDB4F1A8">
      <w:numFmt w:val="decimal"/>
      <w:lvlText w:val=""/>
      <w:lvlJc w:val="left"/>
    </w:lvl>
  </w:abstractNum>
  <w:abstractNum w:abstractNumId="17" w15:restartNumberingAfterBreak="0">
    <w:nsid w:val="4E6AFB66"/>
    <w:multiLevelType w:val="hybridMultilevel"/>
    <w:tmpl w:val="6FEE6AA6"/>
    <w:lvl w:ilvl="0" w:tplc="E5581E66">
      <w:start w:val="1"/>
      <w:numFmt w:val="bullet"/>
      <w:lvlText w:val="§"/>
      <w:lvlJc w:val="left"/>
    </w:lvl>
    <w:lvl w:ilvl="1" w:tplc="AF5009A0">
      <w:numFmt w:val="decimal"/>
      <w:lvlText w:val=""/>
      <w:lvlJc w:val="left"/>
    </w:lvl>
    <w:lvl w:ilvl="2" w:tplc="97923E86">
      <w:numFmt w:val="decimal"/>
      <w:lvlText w:val=""/>
      <w:lvlJc w:val="left"/>
    </w:lvl>
    <w:lvl w:ilvl="3" w:tplc="041E3E3C">
      <w:numFmt w:val="decimal"/>
      <w:lvlText w:val=""/>
      <w:lvlJc w:val="left"/>
    </w:lvl>
    <w:lvl w:ilvl="4" w:tplc="E9748344">
      <w:numFmt w:val="decimal"/>
      <w:lvlText w:val=""/>
      <w:lvlJc w:val="left"/>
    </w:lvl>
    <w:lvl w:ilvl="5" w:tplc="36E2C414">
      <w:numFmt w:val="decimal"/>
      <w:lvlText w:val=""/>
      <w:lvlJc w:val="left"/>
    </w:lvl>
    <w:lvl w:ilvl="6" w:tplc="E342D78A">
      <w:numFmt w:val="decimal"/>
      <w:lvlText w:val=""/>
      <w:lvlJc w:val="left"/>
    </w:lvl>
    <w:lvl w:ilvl="7" w:tplc="62E0876A">
      <w:numFmt w:val="decimal"/>
      <w:lvlText w:val=""/>
      <w:lvlJc w:val="left"/>
    </w:lvl>
    <w:lvl w:ilvl="8" w:tplc="90301670">
      <w:numFmt w:val="decimal"/>
      <w:lvlText w:val=""/>
      <w:lvlJc w:val="left"/>
    </w:lvl>
  </w:abstractNum>
  <w:abstractNum w:abstractNumId="18" w15:restartNumberingAfterBreak="0">
    <w:nsid w:val="519B500D"/>
    <w:multiLevelType w:val="hybridMultilevel"/>
    <w:tmpl w:val="19B0E3CA"/>
    <w:lvl w:ilvl="0" w:tplc="80F0FC2A">
      <w:start w:val="4"/>
      <w:numFmt w:val="decimal"/>
      <w:lvlText w:val="[%1]"/>
      <w:lvlJc w:val="left"/>
    </w:lvl>
    <w:lvl w:ilvl="1" w:tplc="A0426CAC">
      <w:numFmt w:val="decimal"/>
      <w:lvlText w:val=""/>
      <w:lvlJc w:val="left"/>
    </w:lvl>
    <w:lvl w:ilvl="2" w:tplc="956E447E">
      <w:numFmt w:val="decimal"/>
      <w:lvlText w:val=""/>
      <w:lvlJc w:val="left"/>
    </w:lvl>
    <w:lvl w:ilvl="3" w:tplc="EEFE23B2">
      <w:numFmt w:val="decimal"/>
      <w:lvlText w:val=""/>
      <w:lvlJc w:val="left"/>
    </w:lvl>
    <w:lvl w:ilvl="4" w:tplc="D842D898">
      <w:numFmt w:val="decimal"/>
      <w:lvlText w:val=""/>
      <w:lvlJc w:val="left"/>
    </w:lvl>
    <w:lvl w:ilvl="5" w:tplc="D846AC4E">
      <w:numFmt w:val="decimal"/>
      <w:lvlText w:val=""/>
      <w:lvlJc w:val="left"/>
    </w:lvl>
    <w:lvl w:ilvl="6" w:tplc="C310DB24">
      <w:numFmt w:val="decimal"/>
      <w:lvlText w:val=""/>
      <w:lvlJc w:val="left"/>
    </w:lvl>
    <w:lvl w:ilvl="7" w:tplc="8306EBB8">
      <w:numFmt w:val="decimal"/>
      <w:lvlText w:val=""/>
      <w:lvlJc w:val="left"/>
    </w:lvl>
    <w:lvl w:ilvl="8" w:tplc="7A64F134">
      <w:numFmt w:val="decimal"/>
      <w:lvlText w:val=""/>
      <w:lvlJc w:val="left"/>
    </w:lvl>
  </w:abstractNum>
  <w:abstractNum w:abstractNumId="19" w15:restartNumberingAfterBreak="0">
    <w:nsid w:val="54E49EB4"/>
    <w:multiLevelType w:val="hybridMultilevel"/>
    <w:tmpl w:val="9F982AC0"/>
    <w:lvl w:ilvl="0" w:tplc="74CC4D74">
      <w:start w:val="28"/>
      <w:numFmt w:val="decimal"/>
      <w:lvlText w:val="[%1]"/>
      <w:lvlJc w:val="left"/>
    </w:lvl>
    <w:lvl w:ilvl="1" w:tplc="CACA622A">
      <w:numFmt w:val="decimal"/>
      <w:lvlText w:val=""/>
      <w:lvlJc w:val="left"/>
    </w:lvl>
    <w:lvl w:ilvl="2" w:tplc="63FAF29C">
      <w:numFmt w:val="decimal"/>
      <w:lvlText w:val=""/>
      <w:lvlJc w:val="left"/>
    </w:lvl>
    <w:lvl w:ilvl="3" w:tplc="F140B8EC">
      <w:numFmt w:val="decimal"/>
      <w:lvlText w:val=""/>
      <w:lvlJc w:val="left"/>
    </w:lvl>
    <w:lvl w:ilvl="4" w:tplc="AB986976">
      <w:numFmt w:val="decimal"/>
      <w:lvlText w:val=""/>
      <w:lvlJc w:val="left"/>
    </w:lvl>
    <w:lvl w:ilvl="5" w:tplc="329CDB4C">
      <w:numFmt w:val="decimal"/>
      <w:lvlText w:val=""/>
      <w:lvlJc w:val="left"/>
    </w:lvl>
    <w:lvl w:ilvl="6" w:tplc="A6685F66">
      <w:numFmt w:val="decimal"/>
      <w:lvlText w:val=""/>
      <w:lvlJc w:val="left"/>
    </w:lvl>
    <w:lvl w:ilvl="7" w:tplc="2956174A">
      <w:numFmt w:val="decimal"/>
      <w:lvlText w:val=""/>
      <w:lvlJc w:val="left"/>
    </w:lvl>
    <w:lvl w:ilvl="8" w:tplc="BFC6A2FA">
      <w:numFmt w:val="decimal"/>
      <w:lvlText w:val=""/>
      <w:lvlJc w:val="left"/>
    </w:lvl>
  </w:abstractNum>
  <w:abstractNum w:abstractNumId="20" w15:restartNumberingAfterBreak="0">
    <w:nsid w:val="628C895D"/>
    <w:multiLevelType w:val="hybridMultilevel"/>
    <w:tmpl w:val="6B52B59E"/>
    <w:lvl w:ilvl="0" w:tplc="11485E7C">
      <w:start w:val="13"/>
      <w:numFmt w:val="decimal"/>
      <w:lvlText w:val="[%1]"/>
      <w:lvlJc w:val="left"/>
    </w:lvl>
    <w:lvl w:ilvl="1" w:tplc="4732B37A">
      <w:numFmt w:val="decimal"/>
      <w:lvlText w:val=""/>
      <w:lvlJc w:val="left"/>
    </w:lvl>
    <w:lvl w:ilvl="2" w:tplc="F4B8E280">
      <w:numFmt w:val="decimal"/>
      <w:lvlText w:val=""/>
      <w:lvlJc w:val="left"/>
    </w:lvl>
    <w:lvl w:ilvl="3" w:tplc="E368A624">
      <w:numFmt w:val="decimal"/>
      <w:lvlText w:val=""/>
      <w:lvlJc w:val="left"/>
    </w:lvl>
    <w:lvl w:ilvl="4" w:tplc="51B85B9C">
      <w:numFmt w:val="decimal"/>
      <w:lvlText w:val=""/>
      <w:lvlJc w:val="left"/>
    </w:lvl>
    <w:lvl w:ilvl="5" w:tplc="DD2C87B6">
      <w:numFmt w:val="decimal"/>
      <w:lvlText w:val=""/>
      <w:lvlJc w:val="left"/>
    </w:lvl>
    <w:lvl w:ilvl="6" w:tplc="EAAC627A">
      <w:numFmt w:val="decimal"/>
      <w:lvlText w:val=""/>
      <w:lvlJc w:val="left"/>
    </w:lvl>
    <w:lvl w:ilvl="7" w:tplc="3A960728">
      <w:numFmt w:val="decimal"/>
      <w:lvlText w:val=""/>
      <w:lvlJc w:val="left"/>
    </w:lvl>
    <w:lvl w:ilvl="8" w:tplc="FC76C054">
      <w:numFmt w:val="decimal"/>
      <w:lvlText w:val=""/>
      <w:lvlJc w:val="left"/>
    </w:lvl>
  </w:abstractNum>
  <w:abstractNum w:abstractNumId="21" w15:restartNumberingAfterBreak="0">
    <w:nsid w:val="62BBD95A"/>
    <w:multiLevelType w:val="hybridMultilevel"/>
    <w:tmpl w:val="200A77FA"/>
    <w:lvl w:ilvl="0" w:tplc="2F1CCF92">
      <w:start w:val="11"/>
      <w:numFmt w:val="decimal"/>
      <w:lvlText w:val="[%1]"/>
      <w:lvlJc w:val="left"/>
    </w:lvl>
    <w:lvl w:ilvl="1" w:tplc="CC568764">
      <w:numFmt w:val="decimal"/>
      <w:lvlText w:val=""/>
      <w:lvlJc w:val="left"/>
    </w:lvl>
    <w:lvl w:ilvl="2" w:tplc="8E607CC6">
      <w:numFmt w:val="decimal"/>
      <w:lvlText w:val=""/>
      <w:lvlJc w:val="left"/>
    </w:lvl>
    <w:lvl w:ilvl="3" w:tplc="1A2A1C4C">
      <w:numFmt w:val="decimal"/>
      <w:lvlText w:val=""/>
      <w:lvlJc w:val="left"/>
    </w:lvl>
    <w:lvl w:ilvl="4" w:tplc="15D4D35A">
      <w:numFmt w:val="decimal"/>
      <w:lvlText w:val=""/>
      <w:lvlJc w:val="left"/>
    </w:lvl>
    <w:lvl w:ilvl="5" w:tplc="CFCE9834">
      <w:numFmt w:val="decimal"/>
      <w:lvlText w:val=""/>
      <w:lvlJc w:val="left"/>
    </w:lvl>
    <w:lvl w:ilvl="6" w:tplc="6AB2C42E">
      <w:numFmt w:val="decimal"/>
      <w:lvlText w:val=""/>
      <w:lvlJc w:val="left"/>
    </w:lvl>
    <w:lvl w:ilvl="7" w:tplc="BCD6DB56">
      <w:numFmt w:val="decimal"/>
      <w:lvlText w:val=""/>
      <w:lvlJc w:val="left"/>
    </w:lvl>
    <w:lvl w:ilvl="8" w:tplc="0D086642">
      <w:numFmt w:val="decimal"/>
      <w:lvlText w:val=""/>
      <w:lvlJc w:val="left"/>
    </w:lvl>
  </w:abstractNum>
  <w:abstractNum w:abstractNumId="22" w15:restartNumberingAfterBreak="0">
    <w:nsid w:val="6763845E"/>
    <w:multiLevelType w:val="hybridMultilevel"/>
    <w:tmpl w:val="74BEF768"/>
    <w:lvl w:ilvl="0" w:tplc="EB500B7A">
      <w:start w:val="21"/>
      <w:numFmt w:val="decimal"/>
      <w:lvlText w:val="[%1]"/>
      <w:lvlJc w:val="left"/>
    </w:lvl>
    <w:lvl w:ilvl="1" w:tplc="AA9C9950">
      <w:numFmt w:val="decimal"/>
      <w:lvlText w:val=""/>
      <w:lvlJc w:val="left"/>
    </w:lvl>
    <w:lvl w:ilvl="2" w:tplc="153059B0">
      <w:numFmt w:val="decimal"/>
      <w:lvlText w:val=""/>
      <w:lvlJc w:val="left"/>
    </w:lvl>
    <w:lvl w:ilvl="3" w:tplc="33E2BCA2">
      <w:numFmt w:val="decimal"/>
      <w:lvlText w:val=""/>
      <w:lvlJc w:val="left"/>
    </w:lvl>
    <w:lvl w:ilvl="4" w:tplc="2384C1D6">
      <w:numFmt w:val="decimal"/>
      <w:lvlText w:val=""/>
      <w:lvlJc w:val="left"/>
    </w:lvl>
    <w:lvl w:ilvl="5" w:tplc="A51824A2">
      <w:numFmt w:val="decimal"/>
      <w:lvlText w:val=""/>
      <w:lvlJc w:val="left"/>
    </w:lvl>
    <w:lvl w:ilvl="6" w:tplc="CB368DE2">
      <w:numFmt w:val="decimal"/>
      <w:lvlText w:val=""/>
      <w:lvlJc w:val="left"/>
    </w:lvl>
    <w:lvl w:ilvl="7" w:tplc="83AE23F6">
      <w:numFmt w:val="decimal"/>
      <w:lvlText w:val=""/>
      <w:lvlJc w:val="left"/>
    </w:lvl>
    <w:lvl w:ilvl="8" w:tplc="DBC80704">
      <w:numFmt w:val="decimal"/>
      <w:lvlText w:val=""/>
      <w:lvlJc w:val="left"/>
    </w:lvl>
  </w:abstractNum>
  <w:abstractNum w:abstractNumId="23" w15:restartNumberingAfterBreak="0">
    <w:nsid w:val="6B68079A"/>
    <w:multiLevelType w:val="hybridMultilevel"/>
    <w:tmpl w:val="71D68C6C"/>
    <w:lvl w:ilvl="0" w:tplc="9CF867EE">
      <w:start w:val="2"/>
      <w:numFmt w:val="decimal"/>
      <w:lvlText w:val="[%1]"/>
      <w:lvlJc w:val="left"/>
    </w:lvl>
    <w:lvl w:ilvl="1" w:tplc="8CC83B5E">
      <w:numFmt w:val="decimal"/>
      <w:lvlText w:val=""/>
      <w:lvlJc w:val="left"/>
    </w:lvl>
    <w:lvl w:ilvl="2" w:tplc="144611CC">
      <w:numFmt w:val="decimal"/>
      <w:lvlText w:val=""/>
      <w:lvlJc w:val="left"/>
    </w:lvl>
    <w:lvl w:ilvl="3" w:tplc="0CA21F20">
      <w:numFmt w:val="decimal"/>
      <w:lvlText w:val=""/>
      <w:lvlJc w:val="left"/>
    </w:lvl>
    <w:lvl w:ilvl="4" w:tplc="57EEAEA4">
      <w:numFmt w:val="decimal"/>
      <w:lvlText w:val=""/>
      <w:lvlJc w:val="left"/>
    </w:lvl>
    <w:lvl w:ilvl="5" w:tplc="703E625C">
      <w:numFmt w:val="decimal"/>
      <w:lvlText w:val=""/>
      <w:lvlJc w:val="left"/>
    </w:lvl>
    <w:lvl w:ilvl="6" w:tplc="C7D033B4">
      <w:numFmt w:val="decimal"/>
      <w:lvlText w:val=""/>
      <w:lvlJc w:val="left"/>
    </w:lvl>
    <w:lvl w:ilvl="7" w:tplc="0742D27C">
      <w:numFmt w:val="decimal"/>
      <w:lvlText w:val=""/>
      <w:lvlJc w:val="left"/>
    </w:lvl>
    <w:lvl w:ilvl="8" w:tplc="62000B80">
      <w:numFmt w:val="decimal"/>
      <w:lvlText w:val=""/>
      <w:lvlJc w:val="left"/>
    </w:lvl>
  </w:abstractNum>
  <w:abstractNum w:abstractNumId="24" w15:restartNumberingAfterBreak="0">
    <w:nsid w:val="71F32454"/>
    <w:multiLevelType w:val="hybridMultilevel"/>
    <w:tmpl w:val="BE0EB74A"/>
    <w:lvl w:ilvl="0" w:tplc="4904ABC6">
      <w:start w:val="29"/>
      <w:numFmt w:val="decimal"/>
      <w:lvlText w:val="[%1]"/>
      <w:lvlJc w:val="left"/>
    </w:lvl>
    <w:lvl w:ilvl="1" w:tplc="731EA504">
      <w:numFmt w:val="decimal"/>
      <w:lvlText w:val=""/>
      <w:lvlJc w:val="left"/>
    </w:lvl>
    <w:lvl w:ilvl="2" w:tplc="155E120A">
      <w:numFmt w:val="decimal"/>
      <w:lvlText w:val=""/>
      <w:lvlJc w:val="left"/>
    </w:lvl>
    <w:lvl w:ilvl="3" w:tplc="534E30C6">
      <w:numFmt w:val="decimal"/>
      <w:lvlText w:val=""/>
      <w:lvlJc w:val="left"/>
    </w:lvl>
    <w:lvl w:ilvl="4" w:tplc="914A5AE0">
      <w:numFmt w:val="decimal"/>
      <w:lvlText w:val=""/>
      <w:lvlJc w:val="left"/>
    </w:lvl>
    <w:lvl w:ilvl="5" w:tplc="9A02EE94">
      <w:numFmt w:val="decimal"/>
      <w:lvlText w:val=""/>
      <w:lvlJc w:val="left"/>
    </w:lvl>
    <w:lvl w:ilvl="6" w:tplc="23189D2E">
      <w:numFmt w:val="decimal"/>
      <w:lvlText w:val=""/>
      <w:lvlJc w:val="left"/>
    </w:lvl>
    <w:lvl w:ilvl="7" w:tplc="8080221C">
      <w:numFmt w:val="decimal"/>
      <w:lvlText w:val=""/>
      <w:lvlJc w:val="left"/>
    </w:lvl>
    <w:lvl w:ilvl="8" w:tplc="F3CECE0A">
      <w:numFmt w:val="decimal"/>
      <w:lvlText w:val=""/>
      <w:lvlJc w:val="left"/>
    </w:lvl>
  </w:abstractNum>
  <w:abstractNum w:abstractNumId="25" w15:restartNumberingAfterBreak="0">
    <w:nsid w:val="721DA317"/>
    <w:multiLevelType w:val="hybridMultilevel"/>
    <w:tmpl w:val="272ABF6E"/>
    <w:lvl w:ilvl="0" w:tplc="6F50E088">
      <w:start w:val="17"/>
      <w:numFmt w:val="decimal"/>
      <w:lvlText w:val="[%1]"/>
      <w:lvlJc w:val="left"/>
    </w:lvl>
    <w:lvl w:ilvl="1" w:tplc="57F2304C">
      <w:numFmt w:val="decimal"/>
      <w:lvlText w:val=""/>
      <w:lvlJc w:val="left"/>
    </w:lvl>
    <w:lvl w:ilvl="2" w:tplc="2B5A85FE">
      <w:numFmt w:val="decimal"/>
      <w:lvlText w:val=""/>
      <w:lvlJc w:val="left"/>
    </w:lvl>
    <w:lvl w:ilvl="3" w:tplc="DE8C415E">
      <w:numFmt w:val="decimal"/>
      <w:lvlText w:val=""/>
      <w:lvlJc w:val="left"/>
    </w:lvl>
    <w:lvl w:ilvl="4" w:tplc="24D8DF84">
      <w:numFmt w:val="decimal"/>
      <w:lvlText w:val=""/>
      <w:lvlJc w:val="left"/>
    </w:lvl>
    <w:lvl w:ilvl="5" w:tplc="72F0D0E4">
      <w:numFmt w:val="decimal"/>
      <w:lvlText w:val=""/>
      <w:lvlJc w:val="left"/>
    </w:lvl>
    <w:lvl w:ilvl="6" w:tplc="4F90C7DE">
      <w:numFmt w:val="decimal"/>
      <w:lvlText w:val=""/>
      <w:lvlJc w:val="left"/>
    </w:lvl>
    <w:lvl w:ilvl="7" w:tplc="058E709A">
      <w:numFmt w:val="decimal"/>
      <w:lvlText w:val=""/>
      <w:lvlJc w:val="left"/>
    </w:lvl>
    <w:lvl w:ilvl="8" w:tplc="5B900940">
      <w:numFmt w:val="decimal"/>
      <w:lvlText w:val=""/>
      <w:lvlJc w:val="left"/>
    </w:lvl>
  </w:abstractNum>
  <w:abstractNum w:abstractNumId="26" w15:restartNumberingAfterBreak="0">
    <w:nsid w:val="75A2A8D4"/>
    <w:multiLevelType w:val="hybridMultilevel"/>
    <w:tmpl w:val="79F2C534"/>
    <w:lvl w:ilvl="0" w:tplc="0EA4F31E">
      <w:start w:val="23"/>
      <w:numFmt w:val="decimal"/>
      <w:lvlText w:val="[%1]"/>
      <w:lvlJc w:val="left"/>
    </w:lvl>
    <w:lvl w:ilvl="1" w:tplc="7C229A0E">
      <w:numFmt w:val="decimal"/>
      <w:lvlText w:val=""/>
      <w:lvlJc w:val="left"/>
    </w:lvl>
    <w:lvl w:ilvl="2" w:tplc="71C2B10A">
      <w:numFmt w:val="decimal"/>
      <w:lvlText w:val=""/>
      <w:lvlJc w:val="left"/>
    </w:lvl>
    <w:lvl w:ilvl="3" w:tplc="82A6B0EC">
      <w:numFmt w:val="decimal"/>
      <w:lvlText w:val=""/>
      <w:lvlJc w:val="left"/>
    </w:lvl>
    <w:lvl w:ilvl="4" w:tplc="D7DCAAF2">
      <w:numFmt w:val="decimal"/>
      <w:lvlText w:val=""/>
      <w:lvlJc w:val="left"/>
    </w:lvl>
    <w:lvl w:ilvl="5" w:tplc="ABAA0692">
      <w:numFmt w:val="decimal"/>
      <w:lvlText w:val=""/>
      <w:lvlJc w:val="left"/>
    </w:lvl>
    <w:lvl w:ilvl="6" w:tplc="8AFC82C0">
      <w:numFmt w:val="decimal"/>
      <w:lvlText w:val=""/>
      <w:lvlJc w:val="left"/>
    </w:lvl>
    <w:lvl w:ilvl="7" w:tplc="A0E4F0E6">
      <w:numFmt w:val="decimal"/>
      <w:lvlText w:val=""/>
      <w:lvlJc w:val="left"/>
    </w:lvl>
    <w:lvl w:ilvl="8" w:tplc="32985FE0">
      <w:numFmt w:val="decimal"/>
      <w:lvlText w:val=""/>
      <w:lvlJc w:val="left"/>
    </w:lvl>
  </w:abstractNum>
  <w:abstractNum w:abstractNumId="27" w15:restartNumberingAfterBreak="0">
    <w:nsid w:val="79838CB2"/>
    <w:multiLevelType w:val="hybridMultilevel"/>
    <w:tmpl w:val="D804CB10"/>
    <w:lvl w:ilvl="0" w:tplc="ACBE623E">
      <w:start w:val="24"/>
      <w:numFmt w:val="decimal"/>
      <w:lvlText w:val="[%1]"/>
      <w:lvlJc w:val="left"/>
    </w:lvl>
    <w:lvl w:ilvl="1" w:tplc="57D85324">
      <w:numFmt w:val="decimal"/>
      <w:lvlText w:val=""/>
      <w:lvlJc w:val="left"/>
    </w:lvl>
    <w:lvl w:ilvl="2" w:tplc="1B6C82DC">
      <w:numFmt w:val="decimal"/>
      <w:lvlText w:val=""/>
      <w:lvlJc w:val="left"/>
    </w:lvl>
    <w:lvl w:ilvl="3" w:tplc="A58A185E">
      <w:numFmt w:val="decimal"/>
      <w:lvlText w:val=""/>
      <w:lvlJc w:val="left"/>
    </w:lvl>
    <w:lvl w:ilvl="4" w:tplc="204A3070">
      <w:numFmt w:val="decimal"/>
      <w:lvlText w:val=""/>
      <w:lvlJc w:val="left"/>
    </w:lvl>
    <w:lvl w:ilvl="5" w:tplc="BB5E7670">
      <w:numFmt w:val="decimal"/>
      <w:lvlText w:val=""/>
      <w:lvlJc w:val="left"/>
    </w:lvl>
    <w:lvl w:ilvl="6" w:tplc="4274E394">
      <w:numFmt w:val="decimal"/>
      <w:lvlText w:val=""/>
      <w:lvlJc w:val="left"/>
    </w:lvl>
    <w:lvl w:ilvl="7" w:tplc="46BCF4C2">
      <w:numFmt w:val="decimal"/>
      <w:lvlText w:val=""/>
      <w:lvlJc w:val="left"/>
    </w:lvl>
    <w:lvl w:ilvl="8" w:tplc="71206306">
      <w:numFmt w:val="decimal"/>
      <w:lvlText w:val=""/>
      <w:lvlJc w:val="left"/>
    </w:lvl>
  </w:abstractNum>
  <w:abstractNum w:abstractNumId="28" w15:restartNumberingAfterBreak="0">
    <w:nsid w:val="7C83E458"/>
    <w:multiLevelType w:val="hybridMultilevel"/>
    <w:tmpl w:val="CB261312"/>
    <w:lvl w:ilvl="0" w:tplc="DB328BF8">
      <w:start w:val="5"/>
      <w:numFmt w:val="decimal"/>
      <w:lvlText w:val="[%1]"/>
      <w:lvlJc w:val="left"/>
    </w:lvl>
    <w:lvl w:ilvl="1" w:tplc="20CEF05E">
      <w:start w:val="1"/>
      <w:numFmt w:val="upperLetter"/>
      <w:lvlText w:val="%2"/>
      <w:lvlJc w:val="left"/>
    </w:lvl>
    <w:lvl w:ilvl="2" w:tplc="F8509BC2">
      <w:numFmt w:val="decimal"/>
      <w:lvlText w:val=""/>
      <w:lvlJc w:val="left"/>
    </w:lvl>
    <w:lvl w:ilvl="3" w:tplc="E3DE40B6">
      <w:numFmt w:val="decimal"/>
      <w:lvlText w:val=""/>
      <w:lvlJc w:val="left"/>
    </w:lvl>
    <w:lvl w:ilvl="4" w:tplc="E1FAF080">
      <w:numFmt w:val="decimal"/>
      <w:lvlText w:val=""/>
      <w:lvlJc w:val="left"/>
    </w:lvl>
    <w:lvl w:ilvl="5" w:tplc="FC2A79C8">
      <w:numFmt w:val="decimal"/>
      <w:lvlText w:val=""/>
      <w:lvlJc w:val="left"/>
    </w:lvl>
    <w:lvl w:ilvl="6" w:tplc="8DA21EEE">
      <w:numFmt w:val="decimal"/>
      <w:lvlText w:val=""/>
      <w:lvlJc w:val="left"/>
    </w:lvl>
    <w:lvl w:ilvl="7" w:tplc="F1BC414C">
      <w:numFmt w:val="decimal"/>
      <w:lvlText w:val=""/>
      <w:lvlJc w:val="left"/>
    </w:lvl>
    <w:lvl w:ilvl="8" w:tplc="6A222E36">
      <w:numFmt w:val="decimal"/>
      <w:lvlText w:val=""/>
      <w:lvlJc w:val="left"/>
    </w:lvl>
  </w:abstractNum>
  <w:num w:numId="1">
    <w:abstractNumId w:val="5"/>
  </w:num>
  <w:num w:numId="2">
    <w:abstractNumId w:val="13"/>
  </w:num>
  <w:num w:numId="3">
    <w:abstractNumId w:val="23"/>
  </w:num>
  <w:num w:numId="4">
    <w:abstractNumId w:val="17"/>
  </w:num>
  <w:num w:numId="5">
    <w:abstractNumId w:val="8"/>
  </w:num>
  <w:num w:numId="6">
    <w:abstractNumId w:val="18"/>
  </w:num>
  <w:num w:numId="7">
    <w:abstractNumId w:val="14"/>
  </w:num>
  <w:num w:numId="8">
    <w:abstractNumId w:val="12"/>
  </w:num>
  <w:num w:numId="9">
    <w:abstractNumId w:val="28"/>
  </w:num>
  <w:num w:numId="10">
    <w:abstractNumId w:val="7"/>
  </w:num>
  <w:num w:numId="11">
    <w:abstractNumId w:val="21"/>
  </w:num>
  <w:num w:numId="12">
    <w:abstractNumId w:val="16"/>
  </w:num>
  <w:num w:numId="13">
    <w:abstractNumId w:val="20"/>
  </w:num>
  <w:num w:numId="14">
    <w:abstractNumId w:val="11"/>
  </w:num>
  <w:num w:numId="15">
    <w:abstractNumId w:val="25"/>
  </w:num>
  <w:num w:numId="16">
    <w:abstractNumId w:val="6"/>
  </w:num>
  <w:num w:numId="17">
    <w:abstractNumId w:val="10"/>
  </w:num>
  <w:num w:numId="18">
    <w:abstractNumId w:val="22"/>
  </w:num>
  <w:num w:numId="19">
    <w:abstractNumId w:val="26"/>
  </w:num>
  <w:num w:numId="20">
    <w:abstractNumId w:val="2"/>
  </w:num>
  <w:num w:numId="21">
    <w:abstractNumId w:val="27"/>
  </w:num>
  <w:num w:numId="22">
    <w:abstractNumId w:val="15"/>
  </w:num>
  <w:num w:numId="23">
    <w:abstractNumId w:val="3"/>
  </w:num>
  <w:num w:numId="24">
    <w:abstractNumId w:val="4"/>
  </w:num>
  <w:num w:numId="25">
    <w:abstractNumId w:val="19"/>
  </w:num>
  <w:num w:numId="26">
    <w:abstractNumId w:val="24"/>
  </w:num>
  <w:num w:numId="27">
    <w:abstractNumId w:val="9"/>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EE8"/>
    <w:rsid w:val="001E5D68"/>
    <w:rsid w:val="00247D3F"/>
    <w:rsid w:val="00253C80"/>
    <w:rsid w:val="002D7513"/>
    <w:rsid w:val="003C1871"/>
    <w:rsid w:val="003F3690"/>
    <w:rsid w:val="005D5F1D"/>
    <w:rsid w:val="006601E9"/>
    <w:rsid w:val="00671622"/>
    <w:rsid w:val="007D3DCA"/>
    <w:rsid w:val="007D6A45"/>
    <w:rsid w:val="008055FE"/>
    <w:rsid w:val="00832458"/>
    <w:rsid w:val="00901B3F"/>
    <w:rsid w:val="00EB6B92"/>
    <w:rsid w:val="00ED15D5"/>
    <w:rsid w:val="00ED1AB3"/>
    <w:rsid w:val="00F97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E6C556-5B9C-4478-8BA5-9705066E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D15D5"/>
    <w:pPr>
      <w:ind w:left="720"/>
      <w:contextualSpacing/>
    </w:pPr>
  </w:style>
  <w:style w:type="paragraph" w:styleId="Textbubliny">
    <w:name w:val="Balloon Text"/>
    <w:basedOn w:val="Normln"/>
    <w:link w:val="TextbublinyChar"/>
    <w:uiPriority w:val="99"/>
    <w:semiHidden/>
    <w:unhideWhenUsed/>
    <w:rsid w:val="002D751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D75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4305</Words>
  <Characters>25406</Characters>
  <Application>Microsoft Office Word</Application>
  <DocSecurity>0</DocSecurity>
  <Lines>211</Lines>
  <Paragraphs>59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Vikarská Zuzana</cp:lastModifiedBy>
  <cp:revision>3</cp:revision>
  <cp:lastPrinted>2019-05-14T10:32:00Z</cp:lastPrinted>
  <dcterms:created xsi:type="dcterms:W3CDTF">2019-05-14T10:32:00Z</dcterms:created>
  <dcterms:modified xsi:type="dcterms:W3CDTF">2019-05-14T10:34:00Z</dcterms:modified>
</cp:coreProperties>
</file>