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A0A8" w14:textId="3374D24D" w:rsidR="00052D92" w:rsidRPr="001660F9" w:rsidRDefault="004208CF" w:rsidP="00052D92">
      <w:pPr>
        <w:pStyle w:val="C-HeadOfArticle"/>
      </w:pPr>
      <w:r w:rsidRPr="001660F9">
        <w:t xml:space="preserve">Forum </w:t>
      </w:r>
      <w:r w:rsidR="004421F8" w:rsidRPr="001660F9">
        <w:t>N</w:t>
      </w:r>
      <w:r w:rsidRPr="001660F9">
        <w:t xml:space="preserve">on </w:t>
      </w:r>
      <w:r w:rsidR="004421F8" w:rsidRPr="001660F9">
        <w:t>C</w:t>
      </w:r>
      <w:r w:rsidRPr="001660F9">
        <w:t>onveniens</w:t>
      </w:r>
      <w:r w:rsidR="00642883" w:rsidRPr="001660F9">
        <w:t xml:space="preserve"> doctrine</w:t>
      </w:r>
      <w:r w:rsidRPr="001660F9">
        <w:t xml:space="preserve"> – </w:t>
      </w:r>
      <w:r w:rsidR="00AA2C6E" w:rsidRPr="001660F9">
        <w:t>post Brexit applicability in transnational litigation</w:t>
      </w:r>
      <w:r w:rsidR="00417CF4">
        <w:rPr>
          <w:rStyle w:val="Znakapoznpodarou"/>
        </w:rPr>
        <w:footnoteReference w:customMarkFollows="1" w:id="1"/>
        <w:t>*</w:t>
      </w:r>
    </w:p>
    <w:p w14:paraId="522A2632" w14:textId="55472DA5" w:rsidR="00052D92" w:rsidRPr="001660F9" w:rsidRDefault="008738B0" w:rsidP="00052D92">
      <w:pPr>
        <w:pStyle w:val="C-ArticleAuthor"/>
      </w:pPr>
      <w:r>
        <w:t>ANONYMIZOVÁNO REDAKCÍ</w:t>
      </w:r>
    </w:p>
    <w:p w14:paraId="7286FBF2" w14:textId="6C42AC3C" w:rsidR="00052D92" w:rsidRPr="00365218" w:rsidRDefault="00052D92" w:rsidP="00052D92">
      <w:pPr>
        <w:pStyle w:val="C-HeadAbstrKeyw"/>
        <w:rPr>
          <w:sz w:val="22"/>
        </w:rPr>
      </w:pPr>
      <w:r w:rsidRPr="00365218">
        <w:rPr>
          <w:sz w:val="22"/>
        </w:rPr>
        <w:t>Abstract</w:t>
      </w:r>
    </w:p>
    <w:p w14:paraId="3F7C6422" w14:textId="08BBCCFC" w:rsidR="007F779E" w:rsidRPr="00365218" w:rsidRDefault="004A5906" w:rsidP="00FF4899">
      <w:pPr>
        <w:pStyle w:val="C-AbstractOriginal"/>
      </w:pPr>
      <w:r w:rsidRPr="00365218">
        <w:t>The article follows the birth of the judicial development of</w:t>
      </w:r>
      <w:r w:rsidR="00A3064A">
        <w:t xml:space="preserve"> English</w:t>
      </w:r>
      <w:r w:rsidRPr="00365218">
        <w:t xml:space="preserve"> </w:t>
      </w:r>
      <w:r w:rsidRPr="00365218">
        <w:rPr>
          <w:i/>
          <w:iCs/>
        </w:rPr>
        <w:t>forum non conveniens</w:t>
      </w:r>
      <w:r w:rsidRPr="00365218">
        <w:t xml:space="preserve"> doctrine in stay proceedings, its alterations, and applicable tests </w:t>
      </w:r>
      <w:r w:rsidR="00AE2ACA" w:rsidRPr="00365218">
        <w:t>leading</w:t>
      </w:r>
      <w:r w:rsidRPr="00365218">
        <w:t xml:space="preserve"> to </w:t>
      </w:r>
      <w:r w:rsidR="00343CA5" w:rsidRPr="00365218">
        <w:t>CJEU’s</w:t>
      </w:r>
      <w:r w:rsidRPr="00365218">
        <w:t xml:space="preserve"> decision in </w:t>
      </w:r>
      <w:r w:rsidRPr="00365218">
        <w:rPr>
          <w:i/>
          <w:iCs/>
        </w:rPr>
        <w:t>Owusu</w:t>
      </w:r>
      <w:r w:rsidR="00EA6DB9" w:rsidRPr="00365218">
        <w:t xml:space="preserve">. </w:t>
      </w:r>
      <w:r w:rsidR="00EA6DB9" w:rsidRPr="00365218">
        <w:rPr>
          <w:i/>
          <w:iCs/>
        </w:rPr>
        <w:t>Owusu</w:t>
      </w:r>
      <w:r w:rsidRPr="00365218">
        <w:t xml:space="preserve"> ultimately forbade </w:t>
      </w:r>
      <w:r w:rsidR="00F4108E" w:rsidRPr="00365218">
        <w:t>English</w:t>
      </w:r>
      <w:r w:rsidRPr="00365218">
        <w:t xml:space="preserve"> courts to stay its proceedings and allow </w:t>
      </w:r>
      <w:r w:rsidR="007D136F" w:rsidRPr="00365218">
        <w:t xml:space="preserve">a </w:t>
      </w:r>
      <w:r w:rsidR="00343CA5" w:rsidRPr="00365218">
        <w:t>“</w:t>
      </w:r>
      <w:r w:rsidRPr="00365218">
        <w:t xml:space="preserve">more </w:t>
      </w:r>
      <w:r w:rsidR="007D136F" w:rsidRPr="00365218">
        <w:t>convenient</w:t>
      </w:r>
      <w:r w:rsidR="00343CA5" w:rsidRPr="00365218">
        <w:t>”</w:t>
      </w:r>
      <w:r w:rsidRPr="00365218">
        <w:t xml:space="preserve"> forum to decide on the </w:t>
      </w:r>
      <w:r w:rsidR="00AE2ACA" w:rsidRPr="00365218">
        <w:t xml:space="preserve">dispute </w:t>
      </w:r>
      <w:r w:rsidRPr="00365218">
        <w:t xml:space="preserve">merits, </w:t>
      </w:r>
      <w:r w:rsidR="00A3064A">
        <w:t xml:space="preserve">in case </w:t>
      </w:r>
      <w:r w:rsidRPr="00365218">
        <w:t xml:space="preserve">where </w:t>
      </w:r>
      <w:r w:rsidR="007D136F" w:rsidRPr="00365218">
        <w:t>the</w:t>
      </w:r>
      <w:r w:rsidR="00A3064A">
        <w:t xml:space="preserve"> jurisdiction was conferred by</w:t>
      </w:r>
      <w:r w:rsidR="007D136F" w:rsidRPr="00365218">
        <w:t xml:space="preserve"> Brussels regime</w:t>
      </w:r>
      <w:r w:rsidR="00A3064A">
        <w:t xml:space="preserve"> </w:t>
      </w:r>
      <w:r w:rsidRPr="00365218">
        <w:t xml:space="preserve">– not only </w:t>
      </w:r>
      <w:r w:rsidR="007D136F" w:rsidRPr="00365218">
        <w:t>concerning</w:t>
      </w:r>
      <w:r w:rsidRPr="00365218">
        <w:t xml:space="preserve"> other EU courts but worldwide. With the </w:t>
      </w:r>
      <w:r w:rsidR="00343CA5" w:rsidRPr="00365218">
        <w:t>UK’s</w:t>
      </w:r>
      <w:r w:rsidRPr="00365218">
        <w:t xml:space="preserve"> withdrawal from the EU</w:t>
      </w:r>
      <w:r w:rsidR="009B358F" w:rsidRPr="00365218">
        <w:t>,</w:t>
      </w:r>
      <w:r w:rsidR="00AE2ACA" w:rsidRPr="00365218">
        <w:t xml:space="preserve"> a question appears </w:t>
      </w:r>
      <w:r w:rsidRPr="00365218">
        <w:t xml:space="preserve">whether </w:t>
      </w:r>
      <w:r w:rsidR="00F4108E" w:rsidRPr="00365218">
        <w:t>English</w:t>
      </w:r>
      <w:r w:rsidRPr="00365218">
        <w:t xml:space="preserve"> courts might </w:t>
      </w:r>
      <w:r w:rsidR="00A3064A">
        <w:t xml:space="preserve">again </w:t>
      </w:r>
      <w:r w:rsidRPr="00365218">
        <w:t xml:space="preserve">exercise </w:t>
      </w:r>
      <w:r w:rsidR="00AE2ACA" w:rsidRPr="00365218">
        <w:t>th</w:t>
      </w:r>
      <w:r w:rsidR="00A3064A">
        <w:t>eir doctrinal</w:t>
      </w:r>
      <w:r w:rsidRPr="00365218">
        <w:t xml:space="preserve"> power. If </w:t>
      </w:r>
      <w:r w:rsidR="00AE2ACA" w:rsidRPr="00365218">
        <w:t>affirmatory</w:t>
      </w:r>
      <w:r w:rsidRPr="00365218">
        <w:t xml:space="preserve">, the paper proceeds to assess </w:t>
      </w:r>
      <w:r w:rsidR="007D136F" w:rsidRPr="00365218">
        <w:t>various</w:t>
      </w:r>
      <w:r w:rsidRPr="00365218">
        <w:t xml:space="preserve"> applicable</w:t>
      </w:r>
      <w:r w:rsidR="00EA6DB9" w:rsidRPr="00365218">
        <w:t>,</w:t>
      </w:r>
      <w:r w:rsidRPr="00365218">
        <w:t xml:space="preserve"> or presumably fitting</w:t>
      </w:r>
      <w:r w:rsidR="00EA6DB9" w:rsidRPr="00365218">
        <w:t>,</w:t>
      </w:r>
      <w:r w:rsidRPr="00365218">
        <w:t xml:space="preserve"> instruments</w:t>
      </w:r>
      <w:r w:rsidR="00A3064A">
        <w:t>, both</w:t>
      </w:r>
      <w:r w:rsidRPr="00365218">
        <w:t xml:space="preserve"> </w:t>
      </w:r>
      <w:r w:rsidR="00AE2ACA" w:rsidRPr="00365218">
        <w:t>for allocation of jurisdiction and recognition</w:t>
      </w:r>
      <w:r w:rsidR="00A3064A">
        <w:t>,</w:t>
      </w:r>
      <w:r w:rsidR="00AE2ACA" w:rsidRPr="00365218">
        <w:t xml:space="preserve"> and enforcement of judgments </w:t>
      </w:r>
      <w:r w:rsidRPr="00365218">
        <w:t>– Lugano Convention, Hague Convention 2005, and Hague Convention 2019</w:t>
      </w:r>
      <w:r w:rsidR="00EA6DB9" w:rsidRPr="00365218">
        <w:t xml:space="preserve">. The paper also </w:t>
      </w:r>
      <w:r w:rsidR="00ED2DEF" w:rsidRPr="00365218">
        <w:t>assesses</w:t>
      </w:r>
      <w:r w:rsidR="00EA6DB9" w:rsidRPr="00365218">
        <w:t xml:space="preserve"> </w:t>
      </w:r>
      <w:r w:rsidRPr="00365218">
        <w:t>how the</w:t>
      </w:r>
      <w:r w:rsidR="00EA6DB9" w:rsidRPr="00365218">
        <w:t>se instruments</w:t>
      </w:r>
      <w:r w:rsidRPr="00365218">
        <w:t xml:space="preserve"> </w:t>
      </w:r>
      <w:r w:rsidR="002C6C26" w:rsidRPr="00365218">
        <w:t xml:space="preserve">might </w:t>
      </w:r>
      <w:r w:rsidRPr="00365218">
        <w:t xml:space="preserve">interact with the use of </w:t>
      </w:r>
      <w:r w:rsidRPr="00365218">
        <w:rPr>
          <w:i/>
          <w:iCs/>
        </w:rPr>
        <w:t>forum non conveniens</w:t>
      </w:r>
      <w:r w:rsidRPr="00365218">
        <w:t xml:space="preserve"> doctrine.</w:t>
      </w:r>
    </w:p>
    <w:p w14:paraId="221A3183" w14:textId="3ED494A2" w:rsidR="00FF4899" w:rsidRPr="000C60C1" w:rsidRDefault="00FF4899" w:rsidP="00FF4899">
      <w:pPr>
        <w:pStyle w:val="C-HeadAbstrKeyw"/>
        <w:rPr>
          <w:sz w:val="22"/>
          <w:lang w:val="fr-BE"/>
        </w:rPr>
      </w:pPr>
      <w:r w:rsidRPr="000C60C1">
        <w:rPr>
          <w:sz w:val="22"/>
          <w:lang w:val="fr-BE"/>
        </w:rPr>
        <w:t>Keywords</w:t>
      </w:r>
    </w:p>
    <w:p w14:paraId="61EA3B2A" w14:textId="0063958B" w:rsidR="00FF4899" w:rsidRPr="000C60C1" w:rsidRDefault="004A5906" w:rsidP="00FF4899">
      <w:pPr>
        <w:pStyle w:val="C-AbstractOriginal"/>
        <w:rPr>
          <w:lang w:val="fr-BE"/>
        </w:rPr>
      </w:pPr>
      <w:r w:rsidRPr="000C60C1">
        <w:rPr>
          <w:lang w:val="fr-BE"/>
        </w:rPr>
        <w:t>Forum non conveniens, jurisdiction, enforcement, recognition, Lugano Convention, Hague Convention 2005, Hague Convention 2019, Brexit</w:t>
      </w:r>
    </w:p>
    <w:p w14:paraId="71ECAC85" w14:textId="259114E0" w:rsidR="009B2F9F" w:rsidRPr="00365218" w:rsidRDefault="004D39EB" w:rsidP="002F25FB">
      <w:pPr>
        <w:pStyle w:val="C-HeadingNumbered1"/>
      </w:pPr>
      <w:r w:rsidRPr="00365218">
        <w:t>Introduction</w:t>
      </w:r>
    </w:p>
    <w:p w14:paraId="0888F4D0" w14:textId="011AB557" w:rsidR="00427F05" w:rsidRPr="00365218" w:rsidRDefault="00427F05" w:rsidP="00365218">
      <w:pPr>
        <w:pStyle w:val="C-BaseEnglishText"/>
      </w:pPr>
      <w:r w:rsidRPr="00365218">
        <w:t xml:space="preserve">The almost never-ending negotiation between </w:t>
      </w:r>
      <w:r w:rsidR="009B358F" w:rsidRPr="00365218">
        <w:t xml:space="preserve">the </w:t>
      </w:r>
      <w:r w:rsidRPr="00365218">
        <w:t>United Kingdom (</w:t>
      </w:r>
      <w:r w:rsidR="00343CA5" w:rsidRPr="00365218">
        <w:t>“</w:t>
      </w:r>
      <w:r w:rsidRPr="00365218">
        <w:t>UK</w:t>
      </w:r>
      <w:r w:rsidR="00343CA5" w:rsidRPr="00365218">
        <w:t>”</w:t>
      </w:r>
      <w:r w:rsidRPr="00365218">
        <w:t>) and European Union (</w:t>
      </w:r>
      <w:r w:rsidR="00343CA5" w:rsidRPr="00365218">
        <w:t>“</w:t>
      </w:r>
      <w:r w:rsidRPr="00365218">
        <w:t>EU</w:t>
      </w:r>
      <w:r w:rsidR="00343CA5" w:rsidRPr="00365218">
        <w:t>”</w:t>
      </w:r>
      <w:r w:rsidRPr="00365218">
        <w:t xml:space="preserve">) </w:t>
      </w:r>
      <w:r w:rsidR="009B358F" w:rsidRPr="00365218">
        <w:t>had</w:t>
      </w:r>
      <w:r w:rsidRPr="00365218">
        <w:t xml:space="preserve"> reached its peak on 31 January 2021 when </w:t>
      </w:r>
      <w:r w:rsidR="009B358F" w:rsidRPr="00365218">
        <w:t xml:space="preserve">the </w:t>
      </w:r>
      <w:r w:rsidRPr="00365218">
        <w:t xml:space="preserve">UK ultimately left the EU. This marks a soon-to-expire transitional period in which the UK is subjected to </w:t>
      </w:r>
      <w:r w:rsidR="00343CA5" w:rsidRPr="00365218">
        <w:t>“</w:t>
      </w:r>
      <w:r w:rsidRPr="00365218">
        <w:rPr>
          <w:i/>
          <w:iCs/>
        </w:rPr>
        <w:t>regulation without representation</w:t>
      </w:r>
      <w:r w:rsidR="00343CA5" w:rsidRPr="00365218">
        <w:t>”</w:t>
      </w:r>
      <w:r w:rsidRPr="00365218">
        <w:t xml:space="preserve"> in the EU bodies. The so-called Brexit may or may not bring the national self-determination proclaimed in the Brexit negotiations</w:t>
      </w:r>
      <w:r w:rsidRPr="00365218">
        <w:rPr>
          <w:rStyle w:val="Znakapoznpodarou"/>
        </w:rPr>
        <w:footnoteReference w:id="2"/>
      </w:r>
      <w:r w:rsidR="009B358F" w:rsidRPr="00365218">
        <w:t>. However,</w:t>
      </w:r>
      <w:r w:rsidRPr="00365218">
        <w:t xml:space="preserve"> it </w:t>
      </w:r>
      <w:r w:rsidR="00F53F78" w:rsidRPr="00365218">
        <w:t>will</w:t>
      </w:r>
      <w:r w:rsidRPr="00365218">
        <w:t xml:space="preserve"> bring many private international law questions. As borders, citizenships and workforce may already be </w:t>
      </w:r>
      <w:r w:rsidR="00F53F78" w:rsidRPr="00365218">
        <w:t>fully negotiated</w:t>
      </w:r>
      <w:r w:rsidRPr="00365218">
        <w:t>, circulation of judgments</w:t>
      </w:r>
      <w:r w:rsidR="00F53F78" w:rsidRPr="00365218">
        <w:t xml:space="preserve"> and</w:t>
      </w:r>
      <w:r w:rsidRPr="00365218">
        <w:t xml:space="preserve"> their recognition and enforcement </w:t>
      </w:r>
      <w:r w:rsidR="00735317" w:rsidRPr="00365218">
        <w:t>are</w:t>
      </w:r>
      <w:r w:rsidRPr="00365218">
        <w:t xml:space="preserve"> not.</w:t>
      </w:r>
    </w:p>
    <w:p w14:paraId="35170BB3" w14:textId="5F1CC7F9" w:rsidR="00735317" w:rsidRPr="00365218" w:rsidRDefault="00735317" w:rsidP="00365218">
      <w:pPr>
        <w:pStyle w:val="C-BaseEnglishText"/>
      </w:pPr>
      <w:r w:rsidRPr="00365218">
        <w:t xml:space="preserve">This paper </w:t>
      </w:r>
      <w:r w:rsidR="00254FBB">
        <w:t>forms a</w:t>
      </w:r>
      <w:r w:rsidR="00254FBB" w:rsidRPr="00365218">
        <w:t xml:space="preserve"> </w:t>
      </w:r>
      <w:r w:rsidRPr="00365218">
        <w:t xml:space="preserve">part of </w:t>
      </w:r>
      <w:r w:rsidR="009B358F" w:rsidRPr="00365218">
        <w:t xml:space="preserve">a </w:t>
      </w:r>
      <w:r w:rsidR="00AE17FE" w:rsidRPr="00365218">
        <w:t>series of articles</w:t>
      </w:r>
      <w:r w:rsidR="009B358F" w:rsidRPr="00365218">
        <w:t>,</w:t>
      </w:r>
      <w:r w:rsidR="00AE17FE" w:rsidRPr="00365218">
        <w:t xml:space="preserve"> each reflecting </w:t>
      </w:r>
      <w:r w:rsidR="00254FBB" w:rsidRPr="00365218">
        <w:t>fragment</w:t>
      </w:r>
      <w:r w:rsidR="00AE17FE" w:rsidRPr="00365218">
        <w:t xml:space="preserve"> of </w:t>
      </w:r>
      <w:r w:rsidR="00F4108E" w:rsidRPr="00365218">
        <w:t>English</w:t>
      </w:r>
      <w:r w:rsidR="00F53F78" w:rsidRPr="00365218">
        <w:t xml:space="preserve"> </w:t>
      </w:r>
      <w:r w:rsidR="00AE17FE" w:rsidRPr="00365218">
        <w:t>private international law</w:t>
      </w:r>
      <w:r w:rsidR="00F53F78" w:rsidRPr="00365218">
        <w:t xml:space="preserve"> doctrine</w:t>
      </w:r>
      <w:r w:rsidR="001157FB">
        <w:t>s</w:t>
      </w:r>
      <w:r w:rsidR="00F53F78" w:rsidRPr="00365218">
        <w:t xml:space="preserve"> </w:t>
      </w:r>
      <w:r w:rsidR="00AE17FE" w:rsidRPr="00365218">
        <w:t xml:space="preserve">and </w:t>
      </w:r>
      <w:r w:rsidR="001157FB">
        <w:t>their</w:t>
      </w:r>
      <w:r w:rsidR="00254FBB">
        <w:t xml:space="preserve"> respective</w:t>
      </w:r>
      <w:r w:rsidR="00AE17FE" w:rsidRPr="00365218">
        <w:t xml:space="preserve"> </w:t>
      </w:r>
      <w:r w:rsidR="00B476C7" w:rsidRPr="00365218">
        <w:t xml:space="preserve">formation, </w:t>
      </w:r>
      <w:r w:rsidR="009B358F" w:rsidRPr="00365218">
        <w:t xml:space="preserve">the </w:t>
      </w:r>
      <w:r w:rsidR="00B476C7" w:rsidRPr="00365218">
        <w:t>stance of EU law or CJEU case law towards those doctrines</w:t>
      </w:r>
      <w:r w:rsidR="00254FBB">
        <w:t>,</w:t>
      </w:r>
      <w:r w:rsidR="00B476C7" w:rsidRPr="00365218">
        <w:t xml:space="preserve"> and their </w:t>
      </w:r>
      <w:r w:rsidR="00F53F78" w:rsidRPr="00365218">
        <w:t xml:space="preserve">possible and feasible </w:t>
      </w:r>
      <w:r w:rsidR="00B476C7" w:rsidRPr="00365218">
        <w:t xml:space="preserve">application after Brexit </w:t>
      </w:r>
      <w:r w:rsidR="00B2126D" w:rsidRPr="00365218">
        <w:t>in regard to</w:t>
      </w:r>
      <w:r w:rsidR="00B476C7" w:rsidRPr="00365218">
        <w:t xml:space="preserve"> EU domiciled persons. This article focuses on </w:t>
      </w:r>
      <w:r w:rsidR="00B476C7" w:rsidRPr="00365218">
        <w:rPr>
          <w:i/>
          <w:iCs/>
        </w:rPr>
        <w:t>forum non conveniens</w:t>
      </w:r>
      <w:r w:rsidR="00B476C7" w:rsidRPr="00365218">
        <w:t xml:space="preserve"> doctrine in stay proceedings</w:t>
      </w:r>
      <w:r w:rsidR="001157FB">
        <w:t>,</w:t>
      </w:r>
      <w:r w:rsidR="00B476C7" w:rsidRPr="00365218">
        <w:t xml:space="preserve"> as a situation in which the court </w:t>
      </w:r>
      <w:r w:rsidR="00B476C7" w:rsidRPr="00365218">
        <w:lastRenderedPageBreak/>
        <w:t xml:space="preserve">recognizes another forum </w:t>
      </w:r>
      <w:r w:rsidR="001157FB">
        <w:t>to be</w:t>
      </w:r>
      <w:r w:rsidR="00B476C7" w:rsidRPr="00365218">
        <w:t xml:space="preserve"> more appropriate to hear the case and</w:t>
      </w:r>
      <w:r w:rsidR="008E6BED">
        <w:t>,</w:t>
      </w:r>
      <w:r w:rsidR="00B476C7" w:rsidRPr="00365218">
        <w:t xml:space="preserve"> </w:t>
      </w:r>
      <w:r w:rsidR="00254FBB">
        <w:t>therefore</w:t>
      </w:r>
      <w:r w:rsidR="008E6BED">
        <w:t>,</w:t>
      </w:r>
      <w:r w:rsidR="00254FBB">
        <w:t xml:space="preserve"> </w:t>
      </w:r>
      <w:r w:rsidR="00B476C7" w:rsidRPr="00365218">
        <w:t xml:space="preserve">stays the proceedings in </w:t>
      </w:r>
      <w:r w:rsidR="00DE2524" w:rsidRPr="00365218">
        <w:t>favour</w:t>
      </w:r>
      <w:r w:rsidR="00B476C7" w:rsidRPr="00365218">
        <w:t xml:space="preserve"> of such forum</w:t>
      </w:r>
      <w:r w:rsidR="001157FB">
        <w:t>, should the defendant agree to be subjected to other forum</w:t>
      </w:r>
      <w:r w:rsidR="00254FBB">
        <w:t>’</w:t>
      </w:r>
      <w:r w:rsidR="001157FB">
        <w:t xml:space="preserve">s </w:t>
      </w:r>
      <w:r w:rsidR="007D68EF">
        <w:t>jurisdiction</w:t>
      </w:r>
      <w:r w:rsidR="00B476C7" w:rsidRPr="00365218">
        <w:t>.</w:t>
      </w:r>
    </w:p>
    <w:p w14:paraId="3A338148" w14:textId="51A00DCB" w:rsidR="00A83FD2" w:rsidRPr="00365218" w:rsidRDefault="00A83FD2" w:rsidP="00365218">
      <w:pPr>
        <w:pStyle w:val="C-BaseEnglishText"/>
      </w:pPr>
      <w:r w:rsidRPr="00365218">
        <w:t xml:space="preserve">This paper does not address the implications of Brexit as is nor deals with the </w:t>
      </w:r>
      <w:r w:rsidR="00F53F78" w:rsidRPr="00365218">
        <w:t xml:space="preserve">whole </w:t>
      </w:r>
      <w:r w:rsidRPr="00365218">
        <w:t>post-transition setup in the mutual relationship between the UK and the EU per s</w:t>
      </w:r>
      <w:r w:rsidR="0052605A" w:rsidRPr="00365218">
        <w:t>e</w:t>
      </w:r>
      <w:r w:rsidR="0046520F" w:rsidRPr="00365218">
        <w:t xml:space="preserve"> unless </w:t>
      </w:r>
      <w:r w:rsidR="0052605A" w:rsidRPr="00365218">
        <w:t>explicitly</w:t>
      </w:r>
      <w:r w:rsidR="0046520F" w:rsidRPr="00365218">
        <w:t xml:space="preserve"> specified otherwise</w:t>
      </w:r>
      <w:r w:rsidRPr="00365218">
        <w:t>.</w:t>
      </w:r>
      <w:r w:rsidR="00F4108E" w:rsidRPr="00365218">
        <w:t xml:space="preserve"> The paper also does not co</w:t>
      </w:r>
      <w:r w:rsidR="00DE2524" w:rsidRPr="00365218">
        <w:t>ver</w:t>
      </w:r>
      <w:r w:rsidR="00F4108E" w:rsidRPr="00365218">
        <w:t xml:space="preserve"> transitional cases ongoing at the end of the transition period or commenced after the transition period in Scotland, </w:t>
      </w:r>
      <w:r w:rsidR="00B34C3E" w:rsidRPr="00365218">
        <w:t>Wales,</w:t>
      </w:r>
      <w:r w:rsidR="00F4108E" w:rsidRPr="00365218">
        <w:t xml:space="preserve"> and Northern Ireland.</w:t>
      </w:r>
    </w:p>
    <w:p w14:paraId="47AC463C" w14:textId="00975037" w:rsidR="00A83FD2" w:rsidRPr="00365218" w:rsidRDefault="00A83FD2" w:rsidP="00365218">
      <w:pPr>
        <w:pStyle w:val="C-BaseEnglishText"/>
      </w:pPr>
      <w:r w:rsidRPr="00365218">
        <w:t xml:space="preserve">The introductory part of this paper shall </w:t>
      </w:r>
      <w:r w:rsidR="00B476C7" w:rsidRPr="00365218">
        <w:t>introduce</w:t>
      </w:r>
      <w:r w:rsidRPr="00365218">
        <w:t xml:space="preserve"> the </w:t>
      </w:r>
      <w:r w:rsidR="00D00632" w:rsidRPr="00365218">
        <w:t>central</w:t>
      </w:r>
      <w:r w:rsidRPr="00365218">
        <w:t xml:space="preserve"> thesis to which concurring arguments are ought to be present in the following chapters. The introductory part also institutes the </w:t>
      </w:r>
      <w:r w:rsidR="00DE2524" w:rsidRPr="00365218">
        <w:t>framework</w:t>
      </w:r>
      <w:r w:rsidRPr="00365218">
        <w:t xml:space="preserve"> of reference used hereto. </w:t>
      </w:r>
    </w:p>
    <w:p w14:paraId="115E3AC0" w14:textId="5CBAEB5D" w:rsidR="008B6D89" w:rsidRPr="00365218" w:rsidRDefault="00603B02" w:rsidP="00365218">
      <w:pPr>
        <w:pStyle w:val="C-BaseEnglishText"/>
      </w:pPr>
      <w:r w:rsidRPr="00365218">
        <w:t>The s</w:t>
      </w:r>
      <w:r w:rsidR="00470990" w:rsidRPr="00365218">
        <w:t xml:space="preserve">econd chapter </w:t>
      </w:r>
      <w:r w:rsidR="000630F6" w:rsidRPr="00365218">
        <w:t xml:space="preserve">presents the core of modern </w:t>
      </w:r>
      <w:r w:rsidR="000630F6" w:rsidRPr="00365218">
        <w:rPr>
          <w:i/>
          <w:iCs/>
        </w:rPr>
        <w:t>forum non conveniens</w:t>
      </w:r>
      <w:r w:rsidR="000630F6" w:rsidRPr="00365218">
        <w:t xml:space="preserve"> doctrine in stay proceedings as exercised in </w:t>
      </w:r>
      <w:r w:rsidR="00003272" w:rsidRPr="00365218">
        <w:t>England</w:t>
      </w:r>
      <w:r w:rsidR="000630F6" w:rsidRPr="00365218">
        <w:t>. For proper understanding</w:t>
      </w:r>
      <w:r w:rsidR="00DE2524" w:rsidRPr="00365218">
        <w:t>,</w:t>
      </w:r>
      <w:r w:rsidR="000630F6" w:rsidRPr="00365218">
        <w:t xml:space="preserve"> one needs to be acquainted with </w:t>
      </w:r>
      <w:r w:rsidR="00A83FD2" w:rsidRPr="00365218">
        <w:t xml:space="preserve">elementary </w:t>
      </w:r>
      <w:r w:rsidR="000630F6" w:rsidRPr="00365218">
        <w:t>doctrinal evolution. At the outset</w:t>
      </w:r>
      <w:r w:rsidR="00B476C7" w:rsidRPr="00365218">
        <w:t>,</w:t>
      </w:r>
      <w:r w:rsidR="000630F6" w:rsidRPr="00365218">
        <w:t xml:space="preserve"> adoption of the doctrine in </w:t>
      </w:r>
      <w:r w:rsidR="00003272" w:rsidRPr="00365218">
        <w:t>England</w:t>
      </w:r>
      <w:r w:rsidR="000630F6" w:rsidRPr="00365218">
        <w:t xml:space="preserve"> is assessed, primarily </w:t>
      </w:r>
      <w:r w:rsidR="00B476C7" w:rsidRPr="00365218">
        <w:t>concerning</w:t>
      </w:r>
      <w:r w:rsidR="000630F6" w:rsidRPr="00365218">
        <w:t xml:space="preserve"> </w:t>
      </w:r>
      <w:r w:rsidR="00DE2524" w:rsidRPr="00365218">
        <w:t xml:space="preserve">the </w:t>
      </w:r>
      <w:r w:rsidR="000630F6" w:rsidRPr="00365218">
        <w:t xml:space="preserve">creeping undertaking of its Scottish counterpart. Once </w:t>
      </w:r>
      <w:r w:rsidR="00B34C3E" w:rsidRPr="00365218">
        <w:t>established</w:t>
      </w:r>
      <w:r w:rsidR="00CB0963" w:rsidRPr="00365218">
        <w:t>, the emerging test</w:t>
      </w:r>
      <w:r w:rsidR="00B476C7" w:rsidRPr="00365218">
        <w:t>(s)</w:t>
      </w:r>
      <w:r w:rsidR="00CB0963" w:rsidRPr="00365218">
        <w:t xml:space="preserve"> in granting the stay proceedings </w:t>
      </w:r>
      <w:r w:rsidR="00003272" w:rsidRPr="00365218">
        <w:t>are</w:t>
      </w:r>
      <w:r w:rsidR="00CB0963" w:rsidRPr="00365218">
        <w:t xml:space="preserve"> evaluated and reflected via relevant case law. </w:t>
      </w:r>
      <w:r w:rsidR="0037689D" w:rsidRPr="00365218">
        <w:t xml:space="preserve">This chapter forms a basic understanding </w:t>
      </w:r>
      <w:r w:rsidRPr="00365218">
        <w:t xml:space="preserve">of </w:t>
      </w:r>
      <w:r w:rsidRPr="00365218">
        <w:rPr>
          <w:i/>
          <w:iCs/>
        </w:rPr>
        <w:t>forum non conveniens</w:t>
      </w:r>
      <w:r w:rsidR="00DE2524" w:rsidRPr="00365218">
        <w:rPr>
          <w:i/>
          <w:iCs/>
        </w:rPr>
        <w:t>,</w:t>
      </w:r>
      <w:r w:rsidRPr="00365218">
        <w:t xml:space="preserve"> on which later chapters build.</w:t>
      </w:r>
    </w:p>
    <w:p w14:paraId="3A918017" w14:textId="07A8B9D6" w:rsidR="00603B02" w:rsidRPr="00365218" w:rsidRDefault="00603B02" w:rsidP="00365218">
      <w:pPr>
        <w:pStyle w:val="C-BaseEnglishText"/>
      </w:pPr>
      <w:r w:rsidRPr="00365218">
        <w:t>The third chapter</w:t>
      </w:r>
      <w:r w:rsidR="002F25FB" w:rsidRPr="00365218">
        <w:t xml:space="preserve"> discusses the position taken by the Court of Justice of the European </w:t>
      </w:r>
      <w:r w:rsidR="00C94ADA" w:rsidRPr="00365218">
        <w:t>Union</w:t>
      </w:r>
      <w:r w:rsidR="002F25FB" w:rsidRPr="00365218">
        <w:t xml:space="preserve"> (</w:t>
      </w:r>
      <w:r w:rsidR="00343CA5" w:rsidRPr="00365218">
        <w:t>“</w:t>
      </w:r>
      <w:r w:rsidR="002F25FB" w:rsidRPr="00365218">
        <w:t>CJE</w:t>
      </w:r>
      <w:r w:rsidR="00C94ADA" w:rsidRPr="00365218">
        <w:t>U</w:t>
      </w:r>
      <w:r w:rsidR="00343CA5" w:rsidRPr="00365218">
        <w:t>”</w:t>
      </w:r>
      <w:r w:rsidR="002F25FB" w:rsidRPr="00365218">
        <w:t xml:space="preserve">) in </w:t>
      </w:r>
      <w:r w:rsidR="00DE2524" w:rsidRPr="00365218">
        <w:t xml:space="preserve">the </w:t>
      </w:r>
      <w:r w:rsidR="002F25FB" w:rsidRPr="00365218">
        <w:rPr>
          <w:i/>
          <w:iCs/>
        </w:rPr>
        <w:t xml:space="preserve">Owusu </w:t>
      </w:r>
      <w:r w:rsidR="002F25FB" w:rsidRPr="00365218">
        <w:t xml:space="preserve">case in </w:t>
      </w:r>
      <w:r w:rsidR="009B7AF2" w:rsidRPr="00365218">
        <w:t xml:space="preserve">stay proceedings in matters where the jurisdiction was conferred by the Brussels Convention. This chapter also deliberates on the effect </w:t>
      </w:r>
      <w:r w:rsidR="00DE2524" w:rsidRPr="00365218">
        <w:t>and</w:t>
      </w:r>
      <w:r w:rsidR="009B7AF2" w:rsidRPr="00365218">
        <w:t xml:space="preserve"> impact of the </w:t>
      </w:r>
      <w:r w:rsidR="009B7AF2" w:rsidRPr="00365218">
        <w:rPr>
          <w:i/>
          <w:iCs/>
        </w:rPr>
        <w:t xml:space="preserve">Owusu </w:t>
      </w:r>
      <w:r w:rsidR="009B7AF2" w:rsidRPr="00365218">
        <w:t xml:space="preserve">case </w:t>
      </w:r>
      <w:r w:rsidR="00DE2524" w:rsidRPr="00365218">
        <w:t>on</w:t>
      </w:r>
      <w:r w:rsidR="009B7AF2" w:rsidRPr="00365218">
        <w:t xml:space="preserve"> EU and non-EU courts. Consequently, </w:t>
      </w:r>
      <w:r w:rsidR="00DE2524" w:rsidRPr="00365218">
        <w:t xml:space="preserve">the </w:t>
      </w:r>
      <w:r w:rsidR="009B7AF2" w:rsidRPr="00365218">
        <w:t xml:space="preserve">English stance on the </w:t>
      </w:r>
      <w:r w:rsidR="009B7AF2" w:rsidRPr="00365218">
        <w:rPr>
          <w:i/>
          <w:iCs/>
        </w:rPr>
        <w:t xml:space="preserve">Owusu </w:t>
      </w:r>
      <w:r w:rsidR="009B7AF2" w:rsidRPr="00365218">
        <w:t>case and its interpretation is shown.</w:t>
      </w:r>
    </w:p>
    <w:p w14:paraId="3BEEE766" w14:textId="691E9F11" w:rsidR="002E0EC4" w:rsidRPr="00365218" w:rsidRDefault="002E0EC4" w:rsidP="00365218">
      <w:pPr>
        <w:pStyle w:val="C-BaseEnglishText"/>
      </w:pPr>
      <w:r w:rsidRPr="00365218">
        <w:t>Czech doctrinal attitude will not be discussed following the re</w:t>
      </w:r>
      <w:r w:rsidR="001660F9" w:rsidRPr="00365218">
        <w:t>a</w:t>
      </w:r>
      <w:r w:rsidRPr="00365218">
        <w:t xml:space="preserve">soning that to the full extent applicable, the Czech Republic jurisprudence follows the CJEU case-law and EU law, and as civil law country, itself has no analogy to such doctrine. </w:t>
      </w:r>
    </w:p>
    <w:p w14:paraId="4A934F24" w14:textId="6EEE01DC" w:rsidR="009B7AF2" w:rsidRPr="00365218" w:rsidRDefault="009B7AF2" w:rsidP="00365218">
      <w:pPr>
        <w:pStyle w:val="C-BaseEnglishText"/>
      </w:pPr>
      <w:r w:rsidRPr="00365218">
        <w:t xml:space="preserve">The fourth chapter presents the optional possibility to refrain from the </w:t>
      </w:r>
      <w:r w:rsidR="00343CA5" w:rsidRPr="00365218">
        <w:t>CJEU’s</w:t>
      </w:r>
      <w:r w:rsidRPr="00365218">
        <w:t xml:space="preserve"> case law. Marking it to be a path to open </w:t>
      </w:r>
      <w:r w:rsidR="00DE2524" w:rsidRPr="00365218">
        <w:t xml:space="preserve">the </w:t>
      </w:r>
      <w:r w:rsidRPr="00365218">
        <w:t>English judicial market to greater favourability and possibility to exercise powers ultimately banned by the CJEU.</w:t>
      </w:r>
    </w:p>
    <w:p w14:paraId="705D5CF9" w14:textId="5FEBE23B" w:rsidR="009B7AF2" w:rsidRPr="00365218" w:rsidRDefault="00DE2524" w:rsidP="00365218">
      <w:pPr>
        <w:pStyle w:val="C-BaseEnglishText"/>
      </w:pPr>
      <w:r w:rsidRPr="00365218">
        <w:t>The fifth</w:t>
      </w:r>
      <w:r w:rsidR="006F732B" w:rsidRPr="00365218">
        <w:t xml:space="preserve"> chapter then evaluates possible judicial cooperation frameworks between UK and EU.</w:t>
      </w:r>
      <w:r w:rsidR="00A83FD2" w:rsidRPr="00365218">
        <w:t xml:space="preserve"> Each presented option is given objective likelihood</w:t>
      </w:r>
      <w:r w:rsidRPr="00365218">
        <w:t>,</w:t>
      </w:r>
      <w:r w:rsidR="00A83FD2" w:rsidRPr="00365218">
        <w:t xml:space="preserve"> and most feasible frameworks are accompanied by </w:t>
      </w:r>
      <w:r w:rsidRPr="00365218">
        <w:t xml:space="preserve">an </w:t>
      </w:r>
      <w:r w:rsidR="00A83FD2" w:rsidRPr="00365218">
        <w:t xml:space="preserve">assessment of </w:t>
      </w:r>
      <w:r w:rsidRPr="00365218">
        <w:t xml:space="preserve">the </w:t>
      </w:r>
      <w:r w:rsidR="00A83FD2" w:rsidRPr="00365218">
        <w:t xml:space="preserve">possibility to exercise </w:t>
      </w:r>
      <w:r w:rsidR="00A83FD2" w:rsidRPr="00365218">
        <w:rPr>
          <w:i/>
          <w:iCs/>
        </w:rPr>
        <w:t>forum non conveniens</w:t>
      </w:r>
      <w:r w:rsidR="00A83FD2" w:rsidRPr="00365218">
        <w:t xml:space="preserve"> doctrine by </w:t>
      </w:r>
      <w:r w:rsidR="00003272" w:rsidRPr="00365218">
        <w:t>English</w:t>
      </w:r>
      <w:r w:rsidR="00A83FD2" w:rsidRPr="00365218">
        <w:t xml:space="preserve"> court</w:t>
      </w:r>
      <w:r w:rsidRPr="00365218">
        <w:t>s</w:t>
      </w:r>
      <w:r w:rsidR="00A83FD2" w:rsidRPr="00365218">
        <w:t>. If allowed</w:t>
      </w:r>
      <w:r w:rsidRPr="00365218">
        <w:t>,</w:t>
      </w:r>
      <w:r w:rsidR="00A83FD2" w:rsidRPr="00365218">
        <w:t xml:space="preserve"> then a reflection toward jurisdiction allocation, and recognition and enforcement considered, as well as practical benefits and pitfalls.</w:t>
      </w:r>
    </w:p>
    <w:p w14:paraId="65773784" w14:textId="55DAEF69" w:rsidR="00733A24" w:rsidRPr="00365218" w:rsidRDefault="00B476C7" w:rsidP="00365218">
      <w:pPr>
        <w:pStyle w:val="C-BaseEnglishText"/>
      </w:pPr>
      <w:r w:rsidRPr="00365218">
        <w:t xml:space="preserve">For the purpose of this paper, as seen to </w:t>
      </w:r>
      <w:r w:rsidR="00DE2524" w:rsidRPr="00365218">
        <w:t>be</w:t>
      </w:r>
      <w:r w:rsidRPr="00365218">
        <w:t xml:space="preserve"> of most interest to the upcoming legal challenges, only </w:t>
      </w:r>
      <w:r w:rsidRPr="00365218">
        <w:rPr>
          <w:i/>
          <w:iCs/>
        </w:rPr>
        <w:t>forum non conveniens</w:t>
      </w:r>
      <w:r w:rsidRPr="00365218">
        <w:t xml:space="preserve"> doctrine in litigation is evaluated (stay proceedings). This paper does not concern with </w:t>
      </w:r>
      <w:r w:rsidR="00DE2524" w:rsidRPr="00365218">
        <w:t xml:space="preserve">the </w:t>
      </w:r>
      <w:r w:rsidRPr="00365218">
        <w:rPr>
          <w:i/>
          <w:iCs/>
        </w:rPr>
        <w:t>forum conveniens</w:t>
      </w:r>
      <w:r w:rsidRPr="00365218">
        <w:t xml:space="preserve"> doctrine</w:t>
      </w:r>
      <w:r w:rsidR="00DE2524" w:rsidRPr="00365218">
        <w:t>,</w:t>
      </w:r>
      <w:r w:rsidRPr="00365218">
        <w:t xml:space="preserve"> which allows English courts to serve proceedings on foreign defendants (service-out proceedings).</w:t>
      </w:r>
      <w:r w:rsidRPr="00365218">
        <w:rPr>
          <w:rStyle w:val="Znakapoznpodarou"/>
        </w:rPr>
        <w:footnoteReference w:id="3"/>
      </w:r>
      <w:r w:rsidRPr="00365218">
        <w:t xml:space="preserve"> Different positions taken to service-out proceedings and stay </w:t>
      </w:r>
      <w:r w:rsidRPr="00365218">
        <w:lastRenderedPageBreak/>
        <w:t xml:space="preserve">proceedings in case law are for the purpose of this paper diminished as they are ultimately unified in </w:t>
      </w:r>
      <w:r w:rsidR="00DE2524" w:rsidRPr="00365218">
        <w:t xml:space="preserve">the </w:t>
      </w:r>
      <w:r w:rsidRPr="00365218">
        <w:rPr>
          <w:i/>
          <w:iCs/>
        </w:rPr>
        <w:t>Spiliada</w:t>
      </w:r>
      <w:r w:rsidRPr="00365218">
        <w:rPr>
          <w:rStyle w:val="Znakapoznpodarou"/>
          <w:i/>
          <w:iCs/>
        </w:rPr>
        <w:footnoteReference w:id="4"/>
      </w:r>
      <w:r w:rsidRPr="00365218">
        <w:rPr>
          <w:i/>
          <w:iCs/>
        </w:rPr>
        <w:t xml:space="preserve"> </w:t>
      </w:r>
      <w:r w:rsidRPr="00365218">
        <w:t>case.</w:t>
      </w:r>
      <w:r w:rsidR="00733A24" w:rsidRPr="00365218">
        <w:t xml:space="preserve"> </w:t>
      </w:r>
    </w:p>
    <w:p w14:paraId="60D24A56" w14:textId="6AF63480" w:rsidR="00B476C7" w:rsidRPr="00365218" w:rsidRDefault="00B34C3E" w:rsidP="00365218">
      <w:pPr>
        <w:pStyle w:val="C-BaseEnglishText"/>
      </w:pPr>
      <w:r>
        <w:t>In the words of</w:t>
      </w:r>
      <w:r w:rsidR="00733A24" w:rsidRPr="00365218">
        <w:t xml:space="preserve"> simplicity</w:t>
      </w:r>
      <w:r w:rsidR="00DE2524" w:rsidRPr="00365218">
        <w:t>,</w:t>
      </w:r>
      <w:r w:rsidR="00733A24" w:rsidRPr="00365218">
        <w:t xml:space="preserve"> </w:t>
      </w:r>
      <w:r w:rsidR="00DE2524" w:rsidRPr="00365218">
        <w:t xml:space="preserve">the </w:t>
      </w:r>
      <w:r w:rsidR="00733A24" w:rsidRPr="00365218">
        <w:rPr>
          <w:i/>
          <w:iCs/>
        </w:rPr>
        <w:t>forum conveniens</w:t>
      </w:r>
      <w:r w:rsidR="00733A24" w:rsidRPr="00365218">
        <w:t xml:space="preserve"> doctrine allows English courts to serve out actions and decide </w:t>
      </w:r>
      <w:r w:rsidR="00DE2524" w:rsidRPr="00365218">
        <w:t>disputes</w:t>
      </w:r>
      <w:r w:rsidR="00733A24" w:rsidRPr="00365218">
        <w:t xml:space="preserve"> even though they do not have </w:t>
      </w:r>
      <w:r w:rsidR="00733A24" w:rsidRPr="00365218">
        <w:rPr>
          <w:i/>
          <w:iCs/>
        </w:rPr>
        <w:t xml:space="preserve">per se </w:t>
      </w:r>
      <w:r w:rsidR="00733A24" w:rsidRPr="00365218">
        <w:t xml:space="preserve">jurisdiction. The jurisdiction is then conferred on English courts because they are convenient to decide on merits and where English forum is the one in which the case may most suitably be tried for the interests of all the parties and the ends of justice. On the other hand, </w:t>
      </w:r>
      <w:r w:rsidR="00733A24" w:rsidRPr="00365218">
        <w:rPr>
          <w:i/>
          <w:iCs/>
        </w:rPr>
        <w:t>forum non conveniens</w:t>
      </w:r>
      <w:r w:rsidR="00733A24" w:rsidRPr="00365218">
        <w:t xml:space="preserve"> doctrine allows English courts to refuse to exercise their rightfully invoked jurisdiction because there is a more convenient (more suitable) forum in which the case may most suitably be tried for the interests of all the parties and the ends of justice and </w:t>
      </w:r>
      <w:r w:rsidR="006419E8" w:rsidRPr="00365218">
        <w:t xml:space="preserve">defendant can present such forum as well as its </w:t>
      </w:r>
      <w:r w:rsidR="00DE2524" w:rsidRPr="00365218">
        <w:t>intention</w:t>
      </w:r>
      <w:r w:rsidR="006419E8" w:rsidRPr="00365218">
        <w:t xml:space="preserve"> to be subjected to its jurisdiction.</w:t>
      </w:r>
    </w:p>
    <w:p w14:paraId="1DFD6018" w14:textId="4432053F" w:rsidR="00DD444F" w:rsidRPr="00365218" w:rsidRDefault="00B476C7" w:rsidP="00365218">
      <w:pPr>
        <w:pStyle w:val="C-BaseEnglishText"/>
      </w:pPr>
      <w:r w:rsidRPr="00365218">
        <w:t>H</w:t>
      </w:r>
      <w:r w:rsidR="00DD444F" w:rsidRPr="00365218">
        <w:t>ypotheses</w:t>
      </w:r>
      <w:r w:rsidRPr="00365218">
        <w:t xml:space="preserve"> in this paper</w:t>
      </w:r>
      <w:r w:rsidR="00DD444F" w:rsidRPr="00365218">
        <w:t xml:space="preserve"> considered are that (</w:t>
      </w:r>
      <w:r w:rsidR="00DD444F" w:rsidRPr="00365218">
        <w:rPr>
          <w:b/>
          <w:bCs/>
        </w:rPr>
        <w:t>a</w:t>
      </w:r>
      <w:r w:rsidR="00DD444F" w:rsidRPr="00365218">
        <w:t xml:space="preserve">) </w:t>
      </w:r>
      <w:r w:rsidR="00074EC4" w:rsidRPr="00365218">
        <w:t xml:space="preserve">modern </w:t>
      </w:r>
      <w:r w:rsidR="00074EC4" w:rsidRPr="00365218">
        <w:rPr>
          <w:i/>
          <w:iCs/>
        </w:rPr>
        <w:t>forum non conveniens</w:t>
      </w:r>
      <w:r w:rsidR="00074EC4" w:rsidRPr="00365218">
        <w:t xml:space="preserve"> doctrine is only feasible </w:t>
      </w:r>
      <w:r w:rsidR="005B493A" w:rsidRPr="00365218">
        <w:t>in cases where domestic law applies</w:t>
      </w:r>
      <w:r w:rsidR="00074EC4" w:rsidRPr="00365218">
        <w:t>, (</w:t>
      </w:r>
      <w:r w:rsidR="00074EC4" w:rsidRPr="00365218">
        <w:rPr>
          <w:b/>
          <w:bCs/>
        </w:rPr>
        <w:t>b</w:t>
      </w:r>
      <w:r w:rsidR="00074EC4" w:rsidRPr="00365218">
        <w:t xml:space="preserve">) Lugano Convention framework retains </w:t>
      </w:r>
      <w:r w:rsidR="00DE2524" w:rsidRPr="00365218">
        <w:t xml:space="preserve">the </w:t>
      </w:r>
      <w:r w:rsidR="00074EC4" w:rsidRPr="00365218">
        <w:t xml:space="preserve">same approach to </w:t>
      </w:r>
      <w:r w:rsidR="00074EC4" w:rsidRPr="00365218">
        <w:rPr>
          <w:i/>
          <w:iCs/>
        </w:rPr>
        <w:t>forum non conveniens</w:t>
      </w:r>
      <w:r w:rsidR="00074EC4" w:rsidRPr="00365218">
        <w:t xml:space="preserve"> as present</w:t>
      </w:r>
      <w:r w:rsidRPr="00365218">
        <w:t>ly</w:t>
      </w:r>
      <w:r w:rsidR="00074EC4" w:rsidRPr="00365218">
        <w:t xml:space="preserve"> under Brussels regime, and (</w:t>
      </w:r>
      <w:r w:rsidR="00074EC4" w:rsidRPr="00365218">
        <w:rPr>
          <w:b/>
          <w:bCs/>
        </w:rPr>
        <w:t>c</w:t>
      </w:r>
      <w:r w:rsidR="00074EC4" w:rsidRPr="00365218">
        <w:t xml:space="preserve">) Hague conventions frameworks </w:t>
      </w:r>
      <w:r w:rsidR="00205DC6" w:rsidRPr="00365218">
        <w:t xml:space="preserve">are deemed to be the most feasible framework for </w:t>
      </w:r>
      <w:r w:rsidR="00DE2524" w:rsidRPr="00365218">
        <w:t xml:space="preserve">the </w:t>
      </w:r>
      <w:r w:rsidR="00205DC6" w:rsidRPr="00365218">
        <w:t xml:space="preserve">UK </w:t>
      </w:r>
      <w:r w:rsidR="00B34C3E" w:rsidRPr="00365218">
        <w:t>to</w:t>
      </w:r>
      <w:r w:rsidR="00205DC6" w:rsidRPr="00365218">
        <w:t xml:space="preserve"> retain some degree of international judicial cooperation, however</w:t>
      </w:r>
      <w:r w:rsidR="00DE2524" w:rsidRPr="00365218">
        <w:t>,</w:t>
      </w:r>
      <w:r w:rsidR="00205DC6" w:rsidRPr="00365218">
        <w:t xml:space="preserve"> neither allows </w:t>
      </w:r>
      <w:r w:rsidR="001660F9" w:rsidRPr="00365218">
        <w:t xml:space="preserve">for direct applicability of </w:t>
      </w:r>
      <w:r w:rsidR="001660F9" w:rsidRPr="00365218">
        <w:rPr>
          <w:i/>
          <w:iCs/>
        </w:rPr>
        <w:t>forum non conveniens</w:t>
      </w:r>
      <w:r w:rsidR="001660F9" w:rsidRPr="00365218">
        <w:t>.</w:t>
      </w:r>
    </w:p>
    <w:p w14:paraId="199C413B" w14:textId="5F06796A" w:rsidR="00AA2C6E" w:rsidRPr="00365218" w:rsidRDefault="000630F6" w:rsidP="000630F6">
      <w:pPr>
        <w:pStyle w:val="C-HeadingNumbered1"/>
      </w:pPr>
      <w:r w:rsidRPr="00365218">
        <w:t>Formation of m</w:t>
      </w:r>
      <w:r w:rsidR="004421F8" w:rsidRPr="00365218">
        <w:t xml:space="preserve">odern </w:t>
      </w:r>
      <w:r w:rsidR="00AA2C6E" w:rsidRPr="00365218">
        <w:t xml:space="preserve">Forum </w:t>
      </w:r>
      <w:r w:rsidR="004421F8" w:rsidRPr="00365218">
        <w:t>N</w:t>
      </w:r>
      <w:r w:rsidR="00AA2C6E" w:rsidRPr="00365218">
        <w:t xml:space="preserve">on </w:t>
      </w:r>
      <w:r w:rsidR="004421F8" w:rsidRPr="00365218">
        <w:t>C</w:t>
      </w:r>
      <w:r w:rsidR="00AA2C6E" w:rsidRPr="00365218">
        <w:t>onveniens doctrine</w:t>
      </w:r>
      <w:r w:rsidR="004421F8" w:rsidRPr="00365218">
        <w:t xml:space="preserve"> </w:t>
      </w:r>
      <w:r w:rsidR="001907E9" w:rsidRPr="00365218">
        <w:t>England</w:t>
      </w:r>
    </w:p>
    <w:p w14:paraId="216C3ADA" w14:textId="1BF4FC7F" w:rsidR="00DA51DA" w:rsidRPr="00365218" w:rsidRDefault="00343CA5" w:rsidP="00365218">
      <w:pPr>
        <w:pStyle w:val="C-BaseEnglishText"/>
      </w:pPr>
      <w:r w:rsidRPr="00B34C3E">
        <w:rPr>
          <w:i/>
          <w:iCs/>
        </w:rPr>
        <w:t>“</w:t>
      </w:r>
      <w:r w:rsidR="00DA51DA" w:rsidRPr="00B34C3E">
        <w:rPr>
          <w:i/>
          <w:iCs/>
        </w:rPr>
        <w:t>[…] where the court is satisfied that there is some other available forum, having competent jurisdiction, which is the appropriate forum for the trial of the action, i.e. in which the case may be tried more suitably for the interests of all the parties and the ends of justice</w:t>
      </w:r>
      <w:r w:rsidRPr="00365218">
        <w:t>”</w:t>
      </w:r>
      <w:r w:rsidR="00DA51DA" w:rsidRPr="00365218">
        <w:rPr>
          <w:rStyle w:val="Znakapoznpodarou"/>
        </w:rPr>
        <w:footnoteReference w:id="5"/>
      </w:r>
      <w:r w:rsidR="00DA51DA" w:rsidRPr="00365218">
        <w:t>. Fully comprehensive and concurrently utmost foreign to civil law</w:t>
      </w:r>
      <w:r w:rsidR="00DE2524" w:rsidRPr="00365218">
        <w:t>,</w:t>
      </w:r>
      <w:r w:rsidR="00DA51DA" w:rsidRPr="00365218">
        <w:t xml:space="preserve"> which does not allow for review of </w:t>
      </w:r>
      <w:r w:rsidR="00DE2524" w:rsidRPr="00365218">
        <w:t xml:space="preserve">the </w:t>
      </w:r>
      <w:r w:rsidR="00DA51DA" w:rsidRPr="00365218">
        <w:t xml:space="preserve">appropriateness of </w:t>
      </w:r>
      <w:r w:rsidR="008B6D89" w:rsidRPr="00365218">
        <w:t>conferred proper</w:t>
      </w:r>
      <w:r w:rsidR="00DA51DA" w:rsidRPr="00365218">
        <w:t xml:space="preserve"> jurisdiction</w:t>
      </w:r>
      <w:r w:rsidR="000C15B2" w:rsidRPr="00365218">
        <w:rPr>
          <w:rStyle w:val="Znakapoznpodarou"/>
        </w:rPr>
        <w:footnoteReference w:id="6"/>
      </w:r>
      <w:r w:rsidR="00DA51DA" w:rsidRPr="00365218">
        <w:t>.</w:t>
      </w:r>
    </w:p>
    <w:p w14:paraId="7469C6AE" w14:textId="77C32C25" w:rsidR="0022091B" w:rsidRPr="00365218" w:rsidRDefault="000C15B2" w:rsidP="00365218">
      <w:pPr>
        <w:pStyle w:val="C-BaseEnglishText"/>
      </w:pPr>
      <w:r w:rsidRPr="00365218">
        <w:t xml:space="preserve">Parties may either agree to adjudicate their dispute in England, or the plaintiff can unilaterally elect England to be the seat of adjudication by bringing the claim to England courts. The election may or may not be based on proper assessment of applicable law. If the jurisdiction of chosen English court is proper, the defendant may </w:t>
      </w:r>
      <w:r w:rsidR="001B5121" w:rsidRPr="00365218">
        <w:t>object</w:t>
      </w:r>
      <w:r w:rsidRPr="00365218">
        <w:t xml:space="preserve"> to </w:t>
      </w:r>
      <w:r w:rsidR="0022091B" w:rsidRPr="00365218">
        <w:t>the</w:t>
      </w:r>
      <w:r w:rsidRPr="00365218">
        <w:t xml:space="preserve"> jurisdiction or dispute </w:t>
      </w:r>
      <w:r w:rsidR="0022091B" w:rsidRPr="00365218">
        <w:t>its</w:t>
      </w:r>
      <w:r w:rsidRPr="00365218">
        <w:t xml:space="preserve"> appropriateness</w:t>
      </w:r>
      <w:r w:rsidR="0022091B" w:rsidRPr="00365218">
        <w:t>.</w:t>
      </w:r>
    </w:p>
    <w:p w14:paraId="189FC162" w14:textId="6A1B9A26" w:rsidR="000C15B2" w:rsidRPr="00365218" w:rsidRDefault="0022091B" w:rsidP="00365218">
      <w:pPr>
        <w:pStyle w:val="C-BaseEnglishText"/>
      </w:pPr>
      <w:r w:rsidRPr="00365218">
        <w:t xml:space="preserve">The defendant hence may demonstrate that </w:t>
      </w:r>
      <w:r w:rsidR="001B5121" w:rsidRPr="00365218">
        <w:t xml:space="preserve">the </w:t>
      </w:r>
      <w:r w:rsidRPr="00365218">
        <w:t xml:space="preserve">English forum is </w:t>
      </w:r>
      <w:r w:rsidRPr="00365218">
        <w:rPr>
          <w:i/>
          <w:iCs/>
        </w:rPr>
        <w:t>forum non conveniens</w:t>
      </w:r>
      <w:r w:rsidRPr="00365218">
        <w:t xml:space="preserve"> because the natural forum of the dispute in matter is elsewhere.</w:t>
      </w:r>
      <w:r w:rsidRPr="00365218">
        <w:rPr>
          <w:rStyle w:val="Znakapoznpodarou"/>
        </w:rPr>
        <w:footnoteReference w:id="7"/>
      </w:r>
      <w:r w:rsidRPr="00365218">
        <w:t xml:space="preserve"> As much as English </w:t>
      </w:r>
      <w:r w:rsidR="001B5121" w:rsidRPr="00365218">
        <w:t>courts</w:t>
      </w:r>
      <w:r w:rsidRPr="00365218">
        <w:t xml:space="preserve"> deem themselves to be professional and effective, they do find other courts to prove to be on the same footing.</w:t>
      </w:r>
      <w:r w:rsidRPr="00365218">
        <w:rPr>
          <w:rStyle w:val="Znakapoznpodarou"/>
        </w:rPr>
        <w:footnoteReference w:id="8"/>
      </w:r>
      <w:r w:rsidRPr="00365218">
        <w:t xml:space="preserve"> Among the most important, where there is a foreign substantive law to be applied, the English court is likely to refuse to adjudicate on the subject matter of the dispute and </w:t>
      </w:r>
      <w:r w:rsidR="00D00632" w:rsidRPr="00365218">
        <w:t>instead</w:t>
      </w:r>
      <w:r w:rsidRPr="00365218">
        <w:t xml:space="preserve"> leaves the plaintiff to sue in courts of such law.</w:t>
      </w:r>
      <w:r w:rsidRPr="00365218">
        <w:rPr>
          <w:rStyle w:val="Znakapoznpodarou"/>
        </w:rPr>
        <w:footnoteReference w:id="9"/>
      </w:r>
    </w:p>
    <w:p w14:paraId="2A11E84D" w14:textId="4E0020BF" w:rsidR="00DA51DA" w:rsidRPr="00365218" w:rsidRDefault="00DA51DA" w:rsidP="00DA51DA">
      <w:pPr>
        <w:pStyle w:val="C-HeadingNumbered2"/>
      </w:pPr>
      <w:r w:rsidRPr="00365218">
        <w:t>Early 1900</w:t>
      </w:r>
      <w:r w:rsidR="00B34C3E">
        <w:t>s</w:t>
      </w:r>
      <w:r w:rsidRPr="00365218">
        <w:t xml:space="preserve"> formation of Forum Non Conveniens doctrine in stay proceedings</w:t>
      </w:r>
    </w:p>
    <w:p w14:paraId="4F773126" w14:textId="11DDC147" w:rsidR="00AA2C6E" w:rsidRPr="00365218" w:rsidRDefault="00886CEA" w:rsidP="00365218">
      <w:pPr>
        <w:pStyle w:val="C-BaseEnglishText"/>
      </w:pPr>
      <w:r w:rsidRPr="00365218">
        <w:t>D</w:t>
      </w:r>
      <w:r w:rsidR="00DB0924" w:rsidRPr="00365218">
        <w:t xml:space="preserve">eriving its </w:t>
      </w:r>
      <w:r w:rsidR="00375650" w:rsidRPr="00365218">
        <w:t>roots</w:t>
      </w:r>
      <w:r w:rsidR="00DB0924" w:rsidRPr="00365218">
        <w:t xml:space="preserve"> from </w:t>
      </w:r>
      <w:r w:rsidR="001B5121" w:rsidRPr="00365218">
        <w:t>17th-century</w:t>
      </w:r>
      <w:r w:rsidR="00DB0924" w:rsidRPr="00365218">
        <w:t xml:space="preserve"> Scottish </w:t>
      </w:r>
      <w:r w:rsidRPr="00365218">
        <w:t xml:space="preserve">doctrine </w:t>
      </w:r>
      <w:r w:rsidRPr="00365218">
        <w:rPr>
          <w:i/>
          <w:iCs/>
        </w:rPr>
        <w:t xml:space="preserve">forum non competens </w:t>
      </w:r>
      <w:r w:rsidR="006D71CD" w:rsidRPr="00365218">
        <w:t>in</w:t>
      </w:r>
      <w:r w:rsidRPr="00365218">
        <w:t xml:space="preserve"> </w:t>
      </w:r>
      <w:r w:rsidR="00DB0924" w:rsidRPr="00365218">
        <w:t>decisions</w:t>
      </w:r>
      <w:r w:rsidR="00DB0924" w:rsidRPr="00365218">
        <w:rPr>
          <w:rStyle w:val="Znakapoznpodarou"/>
        </w:rPr>
        <w:footnoteReference w:id="10"/>
      </w:r>
      <w:r w:rsidR="00DB0924" w:rsidRPr="00365218">
        <w:t xml:space="preserve"> assessing the power of </w:t>
      </w:r>
      <w:r w:rsidR="001B5121" w:rsidRPr="00365218">
        <w:t xml:space="preserve">the </w:t>
      </w:r>
      <w:r w:rsidR="00DB0924" w:rsidRPr="00365218">
        <w:t xml:space="preserve">court to decline its proper jurisdiction to hear brought case in the </w:t>
      </w:r>
      <w:r w:rsidR="00343CA5" w:rsidRPr="00365218">
        <w:t>“</w:t>
      </w:r>
      <w:r w:rsidR="00DB0924" w:rsidRPr="00365218">
        <w:rPr>
          <w:i/>
          <w:iCs/>
        </w:rPr>
        <w:t>interest of justice</w:t>
      </w:r>
      <w:r w:rsidR="00343CA5" w:rsidRPr="00365218">
        <w:t>”</w:t>
      </w:r>
      <w:r w:rsidR="00DB0924" w:rsidRPr="00365218">
        <w:rPr>
          <w:rStyle w:val="Znakapoznpodarou"/>
        </w:rPr>
        <w:footnoteReference w:id="11"/>
      </w:r>
      <w:r w:rsidR="009D10EB" w:rsidRPr="00365218">
        <w:t xml:space="preserve"> </w:t>
      </w:r>
      <w:r w:rsidRPr="00365218">
        <w:t xml:space="preserve">and its later transformation to </w:t>
      </w:r>
      <w:r w:rsidRPr="00365218">
        <w:rPr>
          <w:i/>
          <w:iCs/>
        </w:rPr>
        <w:t xml:space="preserve">forum non conveniens </w:t>
      </w:r>
      <w:r w:rsidRPr="00365218">
        <w:t xml:space="preserve">in </w:t>
      </w:r>
      <w:r w:rsidRPr="00365218">
        <w:rPr>
          <w:i/>
          <w:iCs/>
        </w:rPr>
        <w:t>Macadam v Macadam</w:t>
      </w:r>
      <w:r w:rsidRPr="00365218">
        <w:rPr>
          <w:rStyle w:val="Znakapoznpodarou"/>
          <w:i/>
          <w:iCs/>
        </w:rPr>
        <w:footnoteReference w:id="12"/>
      </w:r>
      <w:r w:rsidRPr="00365218">
        <w:t xml:space="preserve"> </w:t>
      </w:r>
      <w:r w:rsidR="006D71CD" w:rsidRPr="00365218">
        <w:t>found its way</w:t>
      </w:r>
      <w:r w:rsidR="003E42C0" w:rsidRPr="00365218">
        <w:rPr>
          <w:rStyle w:val="Znakapoznpodarou"/>
        </w:rPr>
        <w:footnoteReference w:id="13"/>
      </w:r>
      <w:r w:rsidR="006D71CD" w:rsidRPr="00365218">
        <w:t xml:space="preserve"> into existence of the</w:t>
      </w:r>
      <w:r w:rsidRPr="00365218">
        <w:t xml:space="preserve"> </w:t>
      </w:r>
      <w:r w:rsidR="00343CA5" w:rsidRPr="00365218">
        <w:t>“</w:t>
      </w:r>
      <w:r w:rsidRPr="00365218">
        <w:t>modern</w:t>
      </w:r>
      <w:r w:rsidR="00343CA5" w:rsidRPr="00365218">
        <w:t>”</w:t>
      </w:r>
      <w:r w:rsidRPr="00365218">
        <w:t xml:space="preserve"> English </w:t>
      </w:r>
      <w:r w:rsidRPr="00365218">
        <w:rPr>
          <w:i/>
          <w:iCs/>
        </w:rPr>
        <w:t xml:space="preserve">forum non conveniens </w:t>
      </w:r>
      <w:r w:rsidRPr="00365218">
        <w:t>doctrine</w:t>
      </w:r>
      <w:r w:rsidR="006D71CD" w:rsidRPr="00365218">
        <w:t xml:space="preserve"> </w:t>
      </w:r>
      <w:r w:rsidR="001B5121" w:rsidRPr="00365218">
        <w:t>at</w:t>
      </w:r>
      <w:r w:rsidR="006D71CD" w:rsidRPr="00365218">
        <w:t xml:space="preserve"> the beginning of 20</w:t>
      </w:r>
      <w:r w:rsidR="006D71CD" w:rsidRPr="00365218">
        <w:rPr>
          <w:vertAlign w:val="superscript"/>
        </w:rPr>
        <w:t>th</w:t>
      </w:r>
      <w:r w:rsidR="006D71CD" w:rsidRPr="00365218">
        <w:t xml:space="preserve"> century. Threefold of decision</w:t>
      </w:r>
      <w:r w:rsidR="001B5121" w:rsidRPr="00365218">
        <w:t>s</w:t>
      </w:r>
      <w:r w:rsidR="006D71CD" w:rsidRPr="00365218">
        <w:t xml:space="preserve"> in early 1900 </w:t>
      </w:r>
      <w:r w:rsidR="003E42C0" w:rsidRPr="00365218">
        <w:t>pawed the way to discretionary refusal to exercise otherwise sound jurisdiction</w:t>
      </w:r>
      <w:r w:rsidR="003818DD" w:rsidRPr="00365218">
        <w:t xml:space="preserve"> in cases not involving </w:t>
      </w:r>
      <w:r w:rsidR="003818DD" w:rsidRPr="00365218">
        <w:rPr>
          <w:i/>
          <w:iCs/>
        </w:rPr>
        <w:t>lis alibi pendens</w:t>
      </w:r>
      <w:r w:rsidR="003E42C0" w:rsidRPr="00365218">
        <w:rPr>
          <w:rStyle w:val="Znakapoznpodarou"/>
        </w:rPr>
        <w:footnoteReference w:id="14"/>
      </w:r>
      <w:r w:rsidR="003818DD" w:rsidRPr="00365218">
        <w:t xml:space="preserve"> as an as-of-right cases</w:t>
      </w:r>
      <w:r w:rsidR="003E42C0" w:rsidRPr="00365218">
        <w:t xml:space="preserve"> – </w:t>
      </w:r>
      <w:r w:rsidR="003E42C0" w:rsidRPr="00365218">
        <w:rPr>
          <w:i/>
          <w:iCs/>
        </w:rPr>
        <w:t>Logan v Bank of Scotland</w:t>
      </w:r>
      <w:r w:rsidR="003E42C0" w:rsidRPr="00365218">
        <w:rPr>
          <w:rStyle w:val="Znakapoznpodarou"/>
          <w:i/>
          <w:iCs/>
        </w:rPr>
        <w:footnoteReference w:id="15"/>
      </w:r>
      <w:r w:rsidR="003E42C0" w:rsidRPr="00365218">
        <w:t xml:space="preserve">, </w:t>
      </w:r>
      <w:r w:rsidR="003E42C0" w:rsidRPr="00365218">
        <w:rPr>
          <w:i/>
          <w:iCs/>
        </w:rPr>
        <w:t>Egbert v Short</w:t>
      </w:r>
      <w:r w:rsidR="003E42C0" w:rsidRPr="00365218">
        <w:rPr>
          <w:rStyle w:val="Znakapoznpodarou"/>
          <w:i/>
          <w:iCs/>
        </w:rPr>
        <w:footnoteReference w:id="16"/>
      </w:r>
      <w:r w:rsidR="003E42C0" w:rsidRPr="00365218">
        <w:t xml:space="preserve">, and </w:t>
      </w:r>
      <w:r w:rsidR="003E42C0" w:rsidRPr="00365218">
        <w:rPr>
          <w:i/>
          <w:iCs/>
        </w:rPr>
        <w:t xml:space="preserve">In re </w:t>
      </w:r>
      <w:r w:rsidR="00343CA5" w:rsidRPr="00365218">
        <w:rPr>
          <w:i/>
          <w:iCs/>
        </w:rPr>
        <w:t>Norton’s</w:t>
      </w:r>
      <w:r w:rsidR="003E42C0" w:rsidRPr="00365218">
        <w:rPr>
          <w:i/>
          <w:iCs/>
        </w:rPr>
        <w:t xml:space="preserve"> Settlement</w:t>
      </w:r>
      <w:r w:rsidR="003E42C0" w:rsidRPr="00365218">
        <w:rPr>
          <w:rStyle w:val="Znakapoznpodarou"/>
          <w:i/>
          <w:iCs/>
        </w:rPr>
        <w:footnoteReference w:id="17"/>
      </w:r>
      <w:r w:rsidR="003E42C0" w:rsidRPr="00365218">
        <w:t xml:space="preserve">. </w:t>
      </w:r>
    </w:p>
    <w:p w14:paraId="29AD2273" w14:textId="4F1FB3D3" w:rsidR="00375650" w:rsidRPr="00365218" w:rsidRDefault="00375650" w:rsidP="00365218">
      <w:pPr>
        <w:pStyle w:val="C-BaseEnglishText"/>
      </w:pPr>
      <w:r w:rsidRPr="00365218">
        <w:t xml:space="preserve">In </w:t>
      </w:r>
      <w:r w:rsidRPr="00365218">
        <w:rPr>
          <w:i/>
          <w:iCs/>
        </w:rPr>
        <w:t>Logan v Bank of Scotland</w:t>
      </w:r>
      <w:r w:rsidR="00110572" w:rsidRPr="00365218">
        <w:rPr>
          <w:i/>
          <w:iCs/>
        </w:rPr>
        <w:t>,</w:t>
      </w:r>
      <w:r w:rsidR="003818DD" w:rsidRPr="00365218">
        <w:t xml:space="preserve"> a case concerning </w:t>
      </w:r>
      <w:r w:rsidR="00C348E8" w:rsidRPr="00365218">
        <w:t xml:space="preserve">misinterpretation of </w:t>
      </w:r>
      <w:r w:rsidR="00E9047E" w:rsidRPr="00365218">
        <w:t xml:space="preserve">a </w:t>
      </w:r>
      <w:r w:rsidR="00C348E8" w:rsidRPr="00365218">
        <w:t>prospectus of share allotment of Scottish company, and subsequent action brought by the plaintiff in England, a stay of proceeding has been granted</w:t>
      </w:r>
      <w:r w:rsidR="00E9047E" w:rsidRPr="00365218">
        <w:t>,</w:t>
      </w:r>
      <w:r w:rsidR="00C348E8" w:rsidRPr="00365218">
        <w:t xml:space="preserve"> and jurisdiction of English courts has not been exercised on the basis that the </w:t>
      </w:r>
      <w:r w:rsidR="00343CA5" w:rsidRPr="00365218">
        <w:t>“</w:t>
      </w:r>
      <w:r w:rsidR="00C348E8" w:rsidRPr="00365218">
        <w:rPr>
          <w:i/>
          <w:iCs/>
        </w:rPr>
        <w:t xml:space="preserve">claim had been brought to vex them [defendant] and/or abuse the </w:t>
      </w:r>
      <w:r w:rsidR="00343CA5" w:rsidRPr="00365218">
        <w:rPr>
          <w:i/>
          <w:iCs/>
        </w:rPr>
        <w:t>court’s</w:t>
      </w:r>
      <w:r w:rsidR="00C348E8" w:rsidRPr="00365218">
        <w:rPr>
          <w:i/>
          <w:iCs/>
        </w:rPr>
        <w:t xml:space="preserve"> practice</w:t>
      </w:r>
      <w:r w:rsidR="00343CA5" w:rsidRPr="00365218">
        <w:t>”</w:t>
      </w:r>
      <w:r w:rsidR="00C348E8" w:rsidRPr="00365218">
        <w:rPr>
          <w:rStyle w:val="Znakapoznpodarou"/>
        </w:rPr>
        <w:footnoteReference w:id="18"/>
      </w:r>
      <w:r w:rsidR="00C348E8" w:rsidRPr="00365218">
        <w:t>. A court thus had to balance the as of right to initiate a proceeding in England</w:t>
      </w:r>
      <w:r w:rsidR="00C348E8" w:rsidRPr="00365218">
        <w:rPr>
          <w:rStyle w:val="Znakapoznpodarou"/>
        </w:rPr>
        <w:footnoteReference w:id="19"/>
      </w:r>
      <w:r w:rsidR="00C348E8" w:rsidRPr="00365218">
        <w:t xml:space="preserve"> against the objective of non-abuse of English </w:t>
      </w:r>
      <w:r w:rsidR="00343CA5" w:rsidRPr="00365218">
        <w:t>courts’</w:t>
      </w:r>
      <w:r w:rsidR="00C348E8" w:rsidRPr="00365218">
        <w:t xml:space="preserve"> hospitality.</w:t>
      </w:r>
      <w:r w:rsidR="00C348E8" w:rsidRPr="00365218">
        <w:rPr>
          <w:rStyle w:val="Znakapoznpodarou"/>
        </w:rPr>
        <w:footnoteReference w:id="20"/>
      </w:r>
      <w:r w:rsidR="007737CB" w:rsidRPr="00365218">
        <w:t xml:space="preserve"> Since the claim took place in Scotland and all evidence ought to be obtained in Scotland, the court assessed the impendent inconvenience of trying the case in England</w:t>
      </w:r>
      <w:r w:rsidR="00E9047E" w:rsidRPr="00365218">
        <w:t>,</w:t>
      </w:r>
      <w:r w:rsidR="007737CB" w:rsidRPr="00365218">
        <w:t xml:space="preserve"> which might inflict injustice on the defendant, therefore rendering the proceeding vexatious and oppressive.</w:t>
      </w:r>
      <w:r w:rsidR="007737CB" w:rsidRPr="00365218">
        <w:rPr>
          <w:rStyle w:val="Znakapoznpodarou"/>
        </w:rPr>
        <w:footnoteReference w:id="21"/>
      </w:r>
    </w:p>
    <w:p w14:paraId="60E3CB9C" w14:textId="590F10A1" w:rsidR="007737CB" w:rsidRPr="00365218" w:rsidRDefault="007737CB" w:rsidP="00365218">
      <w:pPr>
        <w:pStyle w:val="C-BaseEnglishText"/>
      </w:pPr>
      <w:r w:rsidRPr="00365218">
        <w:t xml:space="preserve">In </w:t>
      </w:r>
      <w:r w:rsidRPr="00365218">
        <w:rPr>
          <w:i/>
          <w:iCs/>
        </w:rPr>
        <w:t>Egbert v Short</w:t>
      </w:r>
      <w:r w:rsidRPr="00365218">
        <w:t xml:space="preserve"> and </w:t>
      </w:r>
      <w:r w:rsidRPr="00365218">
        <w:rPr>
          <w:i/>
          <w:iCs/>
        </w:rPr>
        <w:t xml:space="preserve">In re </w:t>
      </w:r>
      <w:r w:rsidR="00343CA5" w:rsidRPr="00365218">
        <w:rPr>
          <w:i/>
          <w:iCs/>
        </w:rPr>
        <w:t>Norton’s</w:t>
      </w:r>
      <w:r w:rsidRPr="00365218">
        <w:rPr>
          <w:i/>
          <w:iCs/>
        </w:rPr>
        <w:t xml:space="preserve"> Settlement</w:t>
      </w:r>
      <w:r w:rsidRPr="00365218">
        <w:t xml:space="preserve">, the cases involved </w:t>
      </w:r>
      <w:r w:rsidR="00E9047E" w:rsidRPr="00365218">
        <w:t xml:space="preserve">a </w:t>
      </w:r>
      <w:r w:rsidRPr="00365218">
        <w:t xml:space="preserve">short period of </w:t>
      </w:r>
      <w:r w:rsidR="00343CA5" w:rsidRPr="00365218">
        <w:t>defendants’</w:t>
      </w:r>
      <w:r w:rsidRPr="00365218">
        <w:t xml:space="preserve"> presence in England, in which the actions were initiated. </w:t>
      </w:r>
      <w:r w:rsidR="00E402B8" w:rsidRPr="00365218">
        <w:t xml:space="preserve">The courts stressed that caution in </w:t>
      </w:r>
      <w:r w:rsidR="00E9047E" w:rsidRPr="00365218">
        <w:t xml:space="preserve">the </w:t>
      </w:r>
      <w:r w:rsidR="00E402B8" w:rsidRPr="00365218">
        <w:t>exercise of stay of proceeding must be exercised.</w:t>
      </w:r>
      <w:r w:rsidR="00E402B8" w:rsidRPr="00365218">
        <w:rPr>
          <w:rStyle w:val="Znakapoznpodarou"/>
        </w:rPr>
        <w:footnoteReference w:id="22"/>
      </w:r>
      <w:r w:rsidR="00E402B8" w:rsidRPr="00365218">
        <w:t xml:space="preserve"> In addition, in </w:t>
      </w:r>
      <w:r w:rsidR="00E402B8" w:rsidRPr="00365218">
        <w:rPr>
          <w:i/>
          <w:iCs/>
        </w:rPr>
        <w:t xml:space="preserve">In re </w:t>
      </w:r>
      <w:r w:rsidR="00343CA5" w:rsidRPr="00365218">
        <w:rPr>
          <w:i/>
          <w:iCs/>
        </w:rPr>
        <w:t>Norton’s</w:t>
      </w:r>
      <w:r w:rsidR="00E402B8" w:rsidRPr="00365218">
        <w:rPr>
          <w:i/>
          <w:iCs/>
        </w:rPr>
        <w:t xml:space="preserve"> Settlement</w:t>
      </w:r>
      <w:r w:rsidR="00E9047E" w:rsidRPr="00365218">
        <w:rPr>
          <w:i/>
          <w:iCs/>
        </w:rPr>
        <w:t>,</w:t>
      </w:r>
      <w:r w:rsidR="00E402B8" w:rsidRPr="00365218">
        <w:t xml:space="preserve"> the court had established that a stay could not be granted </w:t>
      </w:r>
      <w:r w:rsidR="00E9047E" w:rsidRPr="00365218">
        <w:t>based</w:t>
      </w:r>
      <w:r w:rsidR="00E402B8" w:rsidRPr="00365218">
        <w:t xml:space="preserve"> merely on convenience, rather based on proof of difficulty or practical impossibility to get justice in England</w:t>
      </w:r>
      <w:r w:rsidR="00E402B8" w:rsidRPr="00365218">
        <w:rPr>
          <w:rStyle w:val="Znakapoznpodarou"/>
        </w:rPr>
        <w:footnoteReference w:id="23"/>
      </w:r>
      <w:r w:rsidR="00E402B8" w:rsidRPr="00365218">
        <w:t>.</w:t>
      </w:r>
    </w:p>
    <w:p w14:paraId="6693A228" w14:textId="53CEB504" w:rsidR="008D1E5A" w:rsidRPr="00365218" w:rsidRDefault="00F74777" w:rsidP="00DA51DA">
      <w:pPr>
        <w:pStyle w:val="C-HeadingNumbered2"/>
      </w:pPr>
      <w:r w:rsidRPr="00365218">
        <w:t xml:space="preserve">Two limb test in </w:t>
      </w:r>
      <w:r w:rsidR="00DA51DA" w:rsidRPr="00365218">
        <w:t>St. Pierre</w:t>
      </w:r>
    </w:p>
    <w:p w14:paraId="5F5A3A66" w14:textId="2FAF7BD8" w:rsidR="00DA51DA" w:rsidRPr="00365218" w:rsidRDefault="00FF5E9C" w:rsidP="00365218">
      <w:pPr>
        <w:pStyle w:val="C-BaseEnglishText"/>
      </w:pPr>
      <w:r w:rsidRPr="00365218">
        <w:t xml:space="preserve">In 1935, ruling in </w:t>
      </w:r>
      <w:r w:rsidRPr="00365218">
        <w:rPr>
          <w:i/>
          <w:iCs/>
        </w:rPr>
        <w:t xml:space="preserve">lis alibi pendens </w:t>
      </w:r>
      <w:r w:rsidRPr="00365218">
        <w:t xml:space="preserve">case </w:t>
      </w:r>
      <w:r w:rsidRPr="00365218">
        <w:rPr>
          <w:i/>
          <w:iCs/>
        </w:rPr>
        <w:t>St. Pierre</w:t>
      </w:r>
      <w:r w:rsidRPr="00365218">
        <w:rPr>
          <w:rStyle w:val="Znakapoznpodarou"/>
        </w:rPr>
        <w:footnoteReference w:id="24"/>
      </w:r>
      <w:r w:rsidRPr="00365218">
        <w:t xml:space="preserve">, albeit applicable to stay </w:t>
      </w:r>
      <w:r w:rsidR="00E9047E" w:rsidRPr="00365218">
        <w:t xml:space="preserve">the </w:t>
      </w:r>
      <w:r w:rsidRPr="00365218">
        <w:t xml:space="preserve">case as well, ceased the progress made by </w:t>
      </w:r>
      <w:r w:rsidRPr="00365218">
        <w:rPr>
          <w:i/>
          <w:iCs/>
        </w:rPr>
        <w:t>Logan v Bank of Scotland, Egbert v Short</w:t>
      </w:r>
      <w:r w:rsidRPr="00365218">
        <w:t xml:space="preserve"> and </w:t>
      </w:r>
      <w:r w:rsidRPr="00365218">
        <w:rPr>
          <w:i/>
          <w:iCs/>
        </w:rPr>
        <w:t xml:space="preserve">In re </w:t>
      </w:r>
      <w:r w:rsidR="00343CA5" w:rsidRPr="00365218">
        <w:rPr>
          <w:i/>
          <w:iCs/>
        </w:rPr>
        <w:t>Norton’s</w:t>
      </w:r>
      <w:r w:rsidRPr="00365218">
        <w:rPr>
          <w:i/>
          <w:iCs/>
        </w:rPr>
        <w:t xml:space="preserve"> Settlement</w:t>
      </w:r>
      <w:r w:rsidRPr="00365218">
        <w:t xml:space="preserve">. </w:t>
      </w:r>
      <w:r w:rsidR="00E9047E" w:rsidRPr="00365218">
        <w:t>The</w:t>
      </w:r>
      <w:r w:rsidRPr="00365218">
        <w:t xml:space="preserve"> following test has been formulated under </w:t>
      </w:r>
      <w:r w:rsidRPr="00365218">
        <w:rPr>
          <w:i/>
          <w:iCs/>
        </w:rPr>
        <w:t>St. Pierre</w:t>
      </w:r>
      <w:r w:rsidRPr="00365218">
        <w:t xml:space="preserve"> ruling </w:t>
      </w:r>
      <w:r w:rsidR="00343CA5" w:rsidRPr="00365218">
        <w:t>“</w:t>
      </w:r>
      <w:r w:rsidRPr="00365218">
        <w:rPr>
          <w:i/>
          <w:iCs/>
        </w:rPr>
        <w:t xml:space="preserve">The true rule about a stay </w:t>
      </w:r>
      <w:r w:rsidR="00EC4083" w:rsidRPr="00365218">
        <w:rPr>
          <w:i/>
          <w:iCs/>
        </w:rPr>
        <w:t>[…]</w:t>
      </w:r>
      <w:r w:rsidRPr="00365218">
        <w:rPr>
          <w:i/>
          <w:iCs/>
        </w:rPr>
        <w:t xml:space="preserve"> may I think be stated thus: (</w:t>
      </w:r>
      <w:r w:rsidR="00EC4083" w:rsidRPr="00365218">
        <w:rPr>
          <w:i/>
          <w:iCs/>
        </w:rPr>
        <w:t>1.</w:t>
      </w:r>
      <w:r w:rsidRPr="00365218">
        <w:rPr>
          <w:i/>
          <w:iCs/>
        </w:rPr>
        <w:t xml:space="preserve">) A mere balance of convenience is not a sufficient ground for depriving a plaintiff of the advantages of prosecuting his action in an English Court if it is otherwise properly brought. The right of access to the </w:t>
      </w:r>
      <w:r w:rsidR="00343CA5" w:rsidRPr="00365218">
        <w:rPr>
          <w:i/>
          <w:iCs/>
        </w:rPr>
        <w:t>King’s</w:t>
      </w:r>
      <w:r w:rsidRPr="00365218">
        <w:rPr>
          <w:i/>
          <w:iCs/>
        </w:rPr>
        <w:t xml:space="preserve"> Court must not be lightly refused. (2.) In order to justify a stay two conditions must be satisfied, one positive and the other negative: (a) the defendant must satisfy the Court that the continuance of the action would work an injustice because it would be oppressive or vexatious to him or would be an abuse of the process of the Court in some other way; and (b) the stay must not cause an injustice to the plaintiff. On both the burden of proof is on the defendant.</w:t>
      </w:r>
      <w:r w:rsidR="00343CA5" w:rsidRPr="00365218">
        <w:t>”</w:t>
      </w:r>
      <w:r w:rsidRPr="00365218">
        <w:rPr>
          <w:rStyle w:val="Znakapoznpodarou"/>
        </w:rPr>
        <w:footnoteReference w:id="25"/>
      </w:r>
      <w:r w:rsidR="00EC4083" w:rsidRPr="00365218">
        <w:t xml:space="preserve"> Consisting of two limbs, the first one endorses </w:t>
      </w:r>
      <w:r w:rsidR="008A0C0E" w:rsidRPr="00365218">
        <w:rPr>
          <w:i/>
          <w:iCs/>
        </w:rPr>
        <w:t xml:space="preserve">In re </w:t>
      </w:r>
      <w:r w:rsidR="00343CA5" w:rsidRPr="00365218">
        <w:rPr>
          <w:i/>
          <w:iCs/>
        </w:rPr>
        <w:t>Norton’s</w:t>
      </w:r>
      <w:r w:rsidR="008A0C0E" w:rsidRPr="00365218">
        <w:rPr>
          <w:i/>
          <w:iCs/>
        </w:rPr>
        <w:t xml:space="preserve"> Settlement </w:t>
      </w:r>
      <w:r w:rsidR="00EC4083" w:rsidRPr="00365218">
        <w:t xml:space="preserve">that balance of convenience </w:t>
      </w:r>
      <w:r w:rsidR="008A0C0E" w:rsidRPr="00365218">
        <w:t xml:space="preserve">on its own is insufficient to grant </w:t>
      </w:r>
      <w:r w:rsidR="00E9047E" w:rsidRPr="00365218">
        <w:t xml:space="preserve">a </w:t>
      </w:r>
      <w:r w:rsidR="008A0C0E" w:rsidRPr="00365218">
        <w:t xml:space="preserve">stay and concurrently protects the plaintiffs right to commence proper proceedings in England. </w:t>
      </w:r>
      <w:r w:rsidR="00E9047E" w:rsidRPr="00365218">
        <w:t>The second</w:t>
      </w:r>
      <w:r w:rsidR="008A0C0E" w:rsidRPr="00365218">
        <w:t xml:space="preserve"> one confirms the position of </w:t>
      </w:r>
      <w:r w:rsidR="008A0C0E" w:rsidRPr="00365218">
        <w:rPr>
          <w:i/>
          <w:iCs/>
        </w:rPr>
        <w:t>Logan v Bank of Scotland</w:t>
      </w:r>
      <w:r w:rsidR="008A0C0E" w:rsidRPr="00365218">
        <w:t xml:space="preserve"> on conduct of balancing exercise.</w:t>
      </w:r>
    </w:p>
    <w:p w14:paraId="2FC5EE46" w14:textId="574B8757" w:rsidR="008A0C0E" w:rsidRPr="00365218" w:rsidRDefault="008A0C0E" w:rsidP="00365218">
      <w:pPr>
        <w:pStyle w:val="C-BaseEnglishText"/>
      </w:pPr>
      <w:r w:rsidRPr="00365218">
        <w:t xml:space="preserve">The decision in St. Pierre </w:t>
      </w:r>
      <w:r w:rsidR="00E9047E" w:rsidRPr="00365218">
        <w:t>then</w:t>
      </w:r>
      <w:r w:rsidRPr="00365218">
        <w:t xml:space="preserve"> served as a plaintiff-oriented approach to </w:t>
      </w:r>
      <w:r w:rsidR="00E9047E" w:rsidRPr="00365218">
        <w:t xml:space="preserve">a </w:t>
      </w:r>
      <w:r w:rsidRPr="00365218">
        <w:t>dismissal of plea for stay</w:t>
      </w:r>
      <w:r w:rsidRPr="00365218">
        <w:rPr>
          <w:rStyle w:val="Znakapoznpodarou"/>
        </w:rPr>
        <w:footnoteReference w:id="26"/>
      </w:r>
      <w:r w:rsidRPr="00365218">
        <w:t xml:space="preserve"> </w:t>
      </w:r>
      <w:r w:rsidR="00831002" w:rsidRPr="00365218">
        <w:t>becoming a</w:t>
      </w:r>
      <w:r w:rsidRPr="00365218">
        <w:t xml:space="preserve"> </w:t>
      </w:r>
      <w:r w:rsidR="00343CA5" w:rsidRPr="00365218">
        <w:t>“</w:t>
      </w:r>
      <w:r w:rsidRPr="00365218">
        <w:t>state of affairs is chiefly a by-product of judicial doctrinal development at common law being as much the result of how a landmark decision has been understood in succeeding cases and commentary as what was actually stated in that decision.</w:t>
      </w:r>
      <w:r w:rsidR="00343CA5" w:rsidRPr="00365218">
        <w:t>”</w:t>
      </w:r>
      <w:r w:rsidRPr="00365218">
        <w:rPr>
          <w:rStyle w:val="Znakapoznpodarou"/>
        </w:rPr>
        <w:footnoteReference w:id="27"/>
      </w:r>
      <w:r w:rsidR="00D31C50" w:rsidRPr="00365218">
        <w:t xml:space="preserve"> </w:t>
      </w:r>
      <w:r w:rsidR="00D00632" w:rsidRPr="00365218">
        <w:t>T</w:t>
      </w:r>
      <w:r w:rsidR="00831002" w:rsidRPr="00365218">
        <w:t>herefore</w:t>
      </w:r>
      <w:r w:rsidR="00E9047E" w:rsidRPr="00365218">
        <w:t>,</w:t>
      </w:r>
      <w:r w:rsidR="00831002" w:rsidRPr="00365218">
        <w:t xml:space="preserve"> </w:t>
      </w:r>
      <w:r w:rsidR="00D00632" w:rsidRPr="00365218">
        <w:t xml:space="preserve">the </w:t>
      </w:r>
      <w:r w:rsidR="00D31C50" w:rsidRPr="00365218">
        <w:t xml:space="preserve">discretionary stay of proceedings became non-existing. This implication, altogether with </w:t>
      </w:r>
      <w:r w:rsidR="00E9047E" w:rsidRPr="00365218">
        <w:t xml:space="preserve">the </w:t>
      </w:r>
      <w:r w:rsidR="00D31C50" w:rsidRPr="00365218">
        <w:t>slowness of English courts</w:t>
      </w:r>
      <w:r w:rsidR="00E9047E" w:rsidRPr="00365218">
        <w:t>,</w:t>
      </w:r>
      <w:r w:rsidR="00D31C50" w:rsidRPr="00365218">
        <w:t xml:space="preserve"> became a cornerstone for </w:t>
      </w:r>
      <w:r w:rsidR="00E9047E" w:rsidRPr="00365218">
        <w:t xml:space="preserve">the </w:t>
      </w:r>
      <w:r w:rsidR="009D7474" w:rsidRPr="00365218">
        <w:t xml:space="preserve">rise of </w:t>
      </w:r>
      <w:r w:rsidR="00D31C50" w:rsidRPr="00365218">
        <w:t>forum shopping in England.</w:t>
      </w:r>
      <w:r w:rsidR="009E5D3E" w:rsidRPr="00365218">
        <w:rPr>
          <w:rStyle w:val="Znakapoznpodarou"/>
        </w:rPr>
        <w:footnoteReference w:id="28"/>
      </w:r>
    </w:p>
    <w:p w14:paraId="1B53B051" w14:textId="7B4BABB4" w:rsidR="00DC2889" w:rsidRPr="00365218" w:rsidRDefault="00DC2889" w:rsidP="00DC2889">
      <w:pPr>
        <w:pStyle w:val="C-HeadingNumbered2"/>
      </w:pPr>
      <w:r w:rsidRPr="00365218">
        <w:t xml:space="preserve">Atlantic Star </w:t>
      </w:r>
      <w:r w:rsidR="00841C4C" w:rsidRPr="00365218">
        <w:t xml:space="preserve">and post-Atlantic Star </w:t>
      </w:r>
      <w:r w:rsidRPr="00365218">
        <w:t>ruling</w:t>
      </w:r>
      <w:r w:rsidR="00841C4C" w:rsidRPr="00365218">
        <w:t>s</w:t>
      </w:r>
    </w:p>
    <w:p w14:paraId="14F197E5" w14:textId="065E69E9" w:rsidR="004C28C0" w:rsidRPr="00365218" w:rsidRDefault="00C61E4B" w:rsidP="00DC2889">
      <w:pPr>
        <w:pStyle w:val="C-BaseText"/>
        <w:rPr>
          <w:sz w:val="22"/>
        </w:rPr>
      </w:pPr>
      <w:r w:rsidRPr="00365218">
        <w:rPr>
          <w:sz w:val="22"/>
        </w:rPr>
        <w:t xml:space="preserve">Nearly 40 years after </w:t>
      </w:r>
      <w:r w:rsidRPr="00365218">
        <w:rPr>
          <w:i/>
          <w:iCs/>
          <w:sz w:val="22"/>
        </w:rPr>
        <w:t>St. Pierre</w:t>
      </w:r>
      <w:r w:rsidR="00E9047E" w:rsidRPr="00365218">
        <w:rPr>
          <w:i/>
          <w:iCs/>
          <w:sz w:val="22"/>
        </w:rPr>
        <w:t>,</w:t>
      </w:r>
      <w:r w:rsidRPr="00365218">
        <w:rPr>
          <w:sz w:val="22"/>
        </w:rPr>
        <w:t xml:space="preserve"> a relaxation</w:t>
      </w:r>
      <w:r w:rsidR="00841C4C" w:rsidRPr="00365218">
        <w:rPr>
          <w:sz w:val="22"/>
        </w:rPr>
        <w:t xml:space="preserve"> and liberalization</w:t>
      </w:r>
      <w:r w:rsidRPr="00365218">
        <w:rPr>
          <w:sz w:val="22"/>
        </w:rPr>
        <w:t xml:space="preserve"> of narrowly interpreted </w:t>
      </w:r>
      <w:r w:rsidRPr="00365218">
        <w:rPr>
          <w:i/>
          <w:iCs/>
          <w:sz w:val="22"/>
        </w:rPr>
        <w:t xml:space="preserve">St. Pierre </w:t>
      </w:r>
      <w:r w:rsidRPr="00365218">
        <w:rPr>
          <w:sz w:val="22"/>
        </w:rPr>
        <w:t xml:space="preserve">test was exercised in </w:t>
      </w:r>
      <w:r w:rsidRPr="00365218">
        <w:rPr>
          <w:i/>
          <w:iCs/>
          <w:sz w:val="22"/>
        </w:rPr>
        <w:t>Atlantic Star</w:t>
      </w:r>
      <w:r w:rsidR="00841C4C" w:rsidRPr="00365218">
        <w:rPr>
          <w:rStyle w:val="Znakapoznpodarou"/>
          <w:i/>
          <w:iCs/>
          <w:sz w:val="22"/>
        </w:rPr>
        <w:footnoteReference w:id="29"/>
      </w:r>
      <w:r w:rsidRPr="00365218">
        <w:rPr>
          <w:sz w:val="22"/>
        </w:rPr>
        <w:t xml:space="preserve">, a case involving a claim of </w:t>
      </w:r>
      <w:r w:rsidR="00E9047E" w:rsidRPr="00365218">
        <w:rPr>
          <w:sz w:val="22"/>
        </w:rPr>
        <w:t xml:space="preserve">a </w:t>
      </w:r>
      <w:r w:rsidRPr="00365218">
        <w:rPr>
          <w:sz w:val="22"/>
        </w:rPr>
        <w:t xml:space="preserve">Dutch ship against </w:t>
      </w:r>
      <w:r w:rsidR="00E9047E" w:rsidRPr="00365218">
        <w:rPr>
          <w:sz w:val="22"/>
        </w:rPr>
        <w:t xml:space="preserve">a </w:t>
      </w:r>
      <w:r w:rsidRPr="00365218">
        <w:rPr>
          <w:sz w:val="22"/>
        </w:rPr>
        <w:t xml:space="preserve">Dutch owner of </w:t>
      </w:r>
      <w:r w:rsidR="00E9047E" w:rsidRPr="00365218">
        <w:rPr>
          <w:sz w:val="22"/>
        </w:rPr>
        <w:t xml:space="preserve">a </w:t>
      </w:r>
      <w:r w:rsidRPr="00365218">
        <w:rPr>
          <w:sz w:val="22"/>
        </w:rPr>
        <w:t xml:space="preserve">container vessel for damages caused by a collision of the ships </w:t>
      </w:r>
      <w:r w:rsidR="004C28C0" w:rsidRPr="00365218">
        <w:rPr>
          <w:sz w:val="22"/>
        </w:rPr>
        <w:t xml:space="preserve">at Belgian </w:t>
      </w:r>
      <w:r w:rsidRPr="00365218">
        <w:rPr>
          <w:sz w:val="22"/>
        </w:rPr>
        <w:t>sea</w:t>
      </w:r>
      <w:r w:rsidR="004C28C0" w:rsidRPr="00365218">
        <w:rPr>
          <w:rStyle w:val="Znakapoznpodarou"/>
          <w:sz w:val="22"/>
        </w:rPr>
        <w:footnoteReference w:id="30"/>
      </w:r>
      <w:r w:rsidRPr="00365218">
        <w:rPr>
          <w:sz w:val="22"/>
        </w:rPr>
        <w:t>.</w:t>
      </w:r>
      <w:r w:rsidR="00841C4C" w:rsidRPr="00365218">
        <w:rPr>
          <w:sz w:val="22"/>
        </w:rPr>
        <w:t xml:space="preserve"> Lord Wilberforce assessed that </w:t>
      </w:r>
      <w:r w:rsidR="00343CA5" w:rsidRPr="00365218">
        <w:rPr>
          <w:sz w:val="22"/>
        </w:rPr>
        <w:t>“</w:t>
      </w:r>
      <w:r w:rsidR="00841C4C" w:rsidRPr="00365218">
        <w:rPr>
          <w:i/>
          <w:iCs/>
          <w:sz w:val="22"/>
        </w:rPr>
        <w:t>close and rigid an application may defeat the spirit which lies behind it</w:t>
      </w:r>
      <w:r w:rsidR="00343CA5" w:rsidRPr="00365218">
        <w:rPr>
          <w:sz w:val="22"/>
        </w:rPr>
        <w:t>”</w:t>
      </w:r>
      <w:r w:rsidR="00841C4C" w:rsidRPr="00365218">
        <w:rPr>
          <w:rStyle w:val="Znakapoznpodarou"/>
          <w:sz w:val="22"/>
        </w:rPr>
        <w:footnoteReference w:id="31"/>
      </w:r>
      <w:r w:rsidR="0053239B" w:rsidRPr="00365218">
        <w:rPr>
          <w:sz w:val="22"/>
        </w:rPr>
        <w:t xml:space="preserve">. </w:t>
      </w:r>
    </w:p>
    <w:p w14:paraId="6ED2DE5B" w14:textId="647E3D69" w:rsidR="00DC2889" w:rsidRPr="00365218" w:rsidRDefault="0053239B" w:rsidP="00DC2889">
      <w:pPr>
        <w:pStyle w:val="C-BaseText"/>
        <w:rPr>
          <w:sz w:val="22"/>
        </w:rPr>
      </w:pPr>
      <w:r w:rsidRPr="00365218">
        <w:rPr>
          <w:sz w:val="22"/>
        </w:rPr>
        <w:t xml:space="preserve">This approach </w:t>
      </w:r>
      <w:r w:rsidR="004C28C0" w:rsidRPr="00365218">
        <w:rPr>
          <w:sz w:val="22"/>
        </w:rPr>
        <w:t>was undertaken in</w:t>
      </w:r>
      <w:r w:rsidRPr="00365218">
        <w:rPr>
          <w:sz w:val="22"/>
        </w:rPr>
        <w:t xml:space="preserve"> </w:t>
      </w:r>
      <w:r w:rsidR="004C28C0" w:rsidRPr="00365218">
        <w:rPr>
          <w:sz w:val="22"/>
        </w:rPr>
        <w:t>13 years of analysis pursued by the House of Lord on undesirability to apply the vexatious and oppressive test narrowly</w:t>
      </w:r>
      <w:r w:rsidR="004C28C0" w:rsidRPr="00365218">
        <w:rPr>
          <w:rStyle w:val="Znakapoznpodarou"/>
          <w:sz w:val="22"/>
        </w:rPr>
        <w:footnoteReference w:id="32"/>
      </w:r>
      <w:r w:rsidR="004C28C0" w:rsidRPr="00365218">
        <w:rPr>
          <w:sz w:val="22"/>
        </w:rPr>
        <w:t xml:space="preserve">, which started with </w:t>
      </w:r>
      <w:r w:rsidR="004C28C0" w:rsidRPr="00365218">
        <w:rPr>
          <w:i/>
          <w:iCs/>
          <w:sz w:val="22"/>
        </w:rPr>
        <w:t xml:space="preserve">Atlantic Star </w:t>
      </w:r>
      <w:r w:rsidR="004C28C0" w:rsidRPr="00365218">
        <w:rPr>
          <w:sz w:val="22"/>
        </w:rPr>
        <w:t xml:space="preserve">and led to the adoption of </w:t>
      </w:r>
      <w:r w:rsidR="00035BFE" w:rsidRPr="00365218">
        <w:rPr>
          <w:sz w:val="22"/>
        </w:rPr>
        <w:t xml:space="preserve">English </w:t>
      </w:r>
      <w:r w:rsidR="004C28C0" w:rsidRPr="00365218">
        <w:rPr>
          <w:i/>
          <w:iCs/>
          <w:sz w:val="22"/>
        </w:rPr>
        <w:t xml:space="preserve">forum non conveniens </w:t>
      </w:r>
      <w:r w:rsidR="004C28C0" w:rsidRPr="00365218">
        <w:rPr>
          <w:sz w:val="22"/>
        </w:rPr>
        <w:t>doctrine</w:t>
      </w:r>
      <w:r w:rsidR="00035BFE" w:rsidRPr="00365218">
        <w:rPr>
          <w:sz w:val="22"/>
        </w:rPr>
        <w:t>.</w:t>
      </w:r>
    </w:p>
    <w:p w14:paraId="6FA35263" w14:textId="03B2A0B9" w:rsidR="00743315" w:rsidRPr="00365218" w:rsidRDefault="00831002" w:rsidP="00DC2889">
      <w:pPr>
        <w:pStyle w:val="C-BaseText"/>
        <w:rPr>
          <w:sz w:val="22"/>
        </w:rPr>
      </w:pPr>
      <w:r w:rsidRPr="00365218">
        <w:rPr>
          <w:sz w:val="22"/>
        </w:rPr>
        <w:t xml:space="preserve">Following </w:t>
      </w:r>
      <w:r w:rsidRPr="00365218">
        <w:rPr>
          <w:i/>
          <w:iCs/>
          <w:sz w:val="22"/>
        </w:rPr>
        <w:t>Atlantic Star</w:t>
      </w:r>
      <w:r w:rsidRPr="00365218">
        <w:rPr>
          <w:sz w:val="22"/>
        </w:rPr>
        <w:t xml:space="preserve">, </w:t>
      </w:r>
      <w:r w:rsidRPr="00365218">
        <w:rPr>
          <w:i/>
          <w:iCs/>
          <w:sz w:val="22"/>
        </w:rPr>
        <w:t>MacShannon</w:t>
      </w:r>
      <w:r w:rsidRPr="00365218">
        <w:rPr>
          <w:rStyle w:val="Znakapoznpodarou"/>
          <w:sz w:val="22"/>
        </w:rPr>
        <w:footnoteReference w:id="33"/>
      </w:r>
      <w:r w:rsidRPr="00365218">
        <w:rPr>
          <w:i/>
          <w:iCs/>
          <w:sz w:val="22"/>
        </w:rPr>
        <w:t xml:space="preserve"> </w:t>
      </w:r>
      <w:r w:rsidRPr="00365218">
        <w:rPr>
          <w:sz w:val="22"/>
        </w:rPr>
        <w:t xml:space="preserve">case marks the </w:t>
      </w:r>
      <w:r w:rsidR="00A65A9E" w:rsidRPr="00365218">
        <w:rPr>
          <w:sz w:val="22"/>
        </w:rPr>
        <w:t xml:space="preserve">reforming </w:t>
      </w:r>
      <w:r w:rsidRPr="00365218">
        <w:rPr>
          <w:sz w:val="22"/>
        </w:rPr>
        <w:t xml:space="preserve">step forward incorporation of </w:t>
      </w:r>
      <w:r w:rsidRPr="00365218">
        <w:rPr>
          <w:i/>
          <w:iCs/>
          <w:sz w:val="22"/>
        </w:rPr>
        <w:t>forum non conveniens</w:t>
      </w:r>
      <w:r w:rsidRPr="00365218">
        <w:rPr>
          <w:sz w:val="22"/>
        </w:rPr>
        <w:t xml:space="preserve"> doctrine through the factor of </w:t>
      </w:r>
      <w:r w:rsidR="00E9047E" w:rsidRPr="00365218">
        <w:rPr>
          <w:sz w:val="22"/>
        </w:rPr>
        <w:t xml:space="preserve">forum </w:t>
      </w:r>
      <w:r w:rsidR="00343CA5" w:rsidRPr="00365218">
        <w:rPr>
          <w:sz w:val="22"/>
        </w:rPr>
        <w:t>“</w:t>
      </w:r>
      <w:r w:rsidRPr="00365218">
        <w:rPr>
          <w:sz w:val="22"/>
        </w:rPr>
        <w:t>appropriateness</w:t>
      </w:r>
      <w:r w:rsidR="00343CA5" w:rsidRPr="00365218">
        <w:rPr>
          <w:sz w:val="22"/>
        </w:rPr>
        <w:t>”</w:t>
      </w:r>
      <w:r w:rsidRPr="00365218">
        <w:rPr>
          <w:sz w:val="22"/>
        </w:rPr>
        <w:t xml:space="preserve">. A case where plaintiffs sued in England based on </w:t>
      </w:r>
      <w:r w:rsidR="00E9047E" w:rsidRPr="00365218">
        <w:rPr>
          <w:sz w:val="22"/>
        </w:rPr>
        <w:t xml:space="preserve">an </w:t>
      </w:r>
      <w:r w:rsidRPr="00365218">
        <w:rPr>
          <w:sz w:val="22"/>
        </w:rPr>
        <w:t xml:space="preserve">expectation of speedier process and </w:t>
      </w:r>
      <w:r w:rsidR="00F66424" w:rsidRPr="00365218">
        <w:rPr>
          <w:sz w:val="22"/>
        </w:rPr>
        <w:t>greater</w:t>
      </w:r>
      <w:r w:rsidRPr="00365218">
        <w:rPr>
          <w:sz w:val="22"/>
        </w:rPr>
        <w:t xml:space="preserve"> damages. The ruling in </w:t>
      </w:r>
      <w:r w:rsidRPr="00365218">
        <w:rPr>
          <w:i/>
          <w:iCs/>
          <w:sz w:val="22"/>
        </w:rPr>
        <w:t>MacShannon</w:t>
      </w:r>
      <w:r w:rsidRPr="00365218">
        <w:rPr>
          <w:sz w:val="22"/>
        </w:rPr>
        <w:t xml:space="preserve"> </w:t>
      </w:r>
      <w:r w:rsidR="00F66424" w:rsidRPr="00365218">
        <w:rPr>
          <w:sz w:val="22"/>
        </w:rPr>
        <w:t>presented</w:t>
      </w:r>
      <w:r w:rsidR="00B83BB3" w:rsidRPr="00365218">
        <w:rPr>
          <w:sz w:val="22"/>
        </w:rPr>
        <w:t xml:space="preserve"> </w:t>
      </w:r>
      <w:r w:rsidR="00F66424" w:rsidRPr="00365218">
        <w:rPr>
          <w:sz w:val="22"/>
        </w:rPr>
        <w:t xml:space="preserve">a </w:t>
      </w:r>
      <w:r w:rsidR="00B83BB3" w:rsidRPr="00365218">
        <w:rPr>
          <w:sz w:val="22"/>
        </w:rPr>
        <w:t xml:space="preserve">revised test and </w:t>
      </w:r>
      <w:r w:rsidRPr="00365218">
        <w:rPr>
          <w:sz w:val="22"/>
        </w:rPr>
        <w:t xml:space="preserve">transferred the burden </w:t>
      </w:r>
      <w:r w:rsidR="00243107" w:rsidRPr="00365218">
        <w:rPr>
          <w:sz w:val="22"/>
        </w:rPr>
        <w:t xml:space="preserve">of proof in the second limb of the test </w:t>
      </w:r>
      <w:r w:rsidRPr="00365218">
        <w:rPr>
          <w:sz w:val="22"/>
        </w:rPr>
        <w:t>f</w:t>
      </w:r>
      <w:r w:rsidR="00243107" w:rsidRPr="00365218">
        <w:rPr>
          <w:sz w:val="22"/>
        </w:rPr>
        <w:t>ro</w:t>
      </w:r>
      <w:r w:rsidRPr="00365218">
        <w:rPr>
          <w:sz w:val="22"/>
        </w:rPr>
        <w:t xml:space="preserve">m </w:t>
      </w:r>
      <w:r w:rsidR="00F66424" w:rsidRPr="00365218">
        <w:rPr>
          <w:sz w:val="22"/>
        </w:rPr>
        <w:t xml:space="preserve">the </w:t>
      </w:r>
      <w:r w:rsidRPr="00365218">
        <w:rPr>
          <w:sz w:val="22"/>
        </w:rPr>
        <w:t xml:space="preserve">defendant to </w:t>
      </w:r>
      <w:r w:rsidR="00F66424" w:rsidRPr="00365218">
        <w:rPr>
          <w:sz w:val="22"/>
        </w:rPr>
        <w:t xml:space="preserve">the </w:t>
      </w:r>
      <w:r w:rsidRPr="00365218">
        <w:rPr>
          <w:sz w:val="22"/>
        </w:rPr>
        <w:t>plaintiff</w:t>
      </w:r>
      <w:r w:rsidR="00F66424" w:rsidRPr="00365218">
        <w:rPr>
          <w:sz w:val="22"/>
        </w:rPr>
        <w:t>,</w:t>
      </w:r>
      <w:r w:rsidRPr="00365218">
        <w:rPr>
          <w:sz w:val="22"/>
        </w:rPr>
        <w:t xml:space="preserve"> who</w:t>
      </w:r>
      <w:r w:rsidR="00743315" w:rsidRPr="00365218">
        <w:rPr>
          <w:sz w:val="22"/>
        </w:rPr>
        <w:t xml:space="preserve"> thus</w:t>
      </w:r>
      <w:r w:rsidRPr="00365218">
        <w:rPr>
          <w:sz w:val="22"/>
        </w:rPr>
        <w:t xml:space="preserve"> must prove a stay of proceeding would create an injustice</w:t>
      </w:r>
      <w:r w:rsidRPr="00365218">
        <w:rPr>
          <w:rStyle w:val="Znakapoznpodarou"/>
          <w:sz w:val="22"/>
        </w:rPr>
        <w:footnoteReference w:id="34"/>
      </w:r>
      <w:r w:rsidR="000D451C" w:rsidRPr="00365218">
        <w:rPr>
          <w:sz w:val="22"/>
        </w:rPr>
        <w:t xml:space="preserve">, while it was still </w:t>
      </w:r>
      <w:r w:rsidR="00F66424" w:rsidRPr="00365218">
        <w:rPr>
          <w:sz w:val="22"/>
        </w:rPr>
        <w:t xml:space="preserve">the </w:t>
      </w:r>
      <w:r w:rsidR="00343CA5" w:rsidRPr="00365218">
        <w:rPr>
          <w:sz w:val="22"/>
        </w:rPr>
        <w:t>defendant’s</w:t>
      </w:r>
      <w:r w:rsidR="000D451C" w:rsidRPr="00365218">
        <w:rPr>
          <w:sz w:val="22"/>
        </w:rPr>
        <w:t xml:space="preserve"> burden to provide the court with </w:t>
      </w:r>
      <w:r w:rsidR="00F66424" w:rsidRPr="00365218">
        <w:rPr>
          <w:sz w:val="22"/>
        </w:rPr>
        <w:t xml:space="preserve">an </w:t>
      </w:r>
      <w:r w:rsidR="000D451C" w:rsidRPr="00365218">
        <w:rPr>
          <w:sz w:val="22"/>
        </w:rPr>
        <w:t xml:space="preserve">alternative forum being the </w:t>
      </w:r>
      <w:r w:rsidR="00343CA5" w:rsidRPr="00365218">
        <w:rPr>
          <w:sz w:val="22"/>
        </w:rPr>
        <w:t>dispute’s</w:t>
      </w:r>
      <w:r w:rsidR="000D451C" w:rsidRPr="00365218">
        <w:rPr>
          <w:sz w:val="22"/>
        </w:rPr>
        <w:t xml:space="preserve"> centre of gravity</w:t>
      </w:r>
      <w:r w:rsidR="000D451C" w:rsidRPr="00365218">
        <w:rPr>
          <w:rStyle w:val="Znakapoznpodarou"/>
          <w:sz w:val="22"/>
        </w:rPr>
        <w:footnoteReference w:id="35"/>
      </w:r>
      <w:r w:rsidRPr="00365218">
        <w:rPr>
          <w:sz w:val="22"/>
        </w:rPr>
        <w:t xml:space="preserve"> </w:t>
      </w:r>
      <w:r w:rsidR="00343CA5" w:rsidRPr="00365218">
        <w:rPr>
          <w:sz w:val="22"/>
        </w:rPr>
        <w:t>“</w:t>
      </w:r>
      <w:r w:rsidR="0006064F" w:rsidRPr="00365218">
        <w:rPr>
          <w:i/>
          <w:iCs/>
          <w:sz w:val="22"/>
        </w:rPr>
        <w:t>[…] in order to justify a stay, two conditions must be satisfied, one positive and the other negative: (a) the defendant must satisfy the court that there is another forum to whose jurisdiction he is amenable in which justice can be done between the parties at substantially less inconvenience or expense, and (b) the stay must not deprive the plaintiff of a legitimate personal or juridical advantage which would be available to him if he invoked the jurisdiction of the English court</w:t>
      </w:r>
      <w:r w:rsidR="00F66424" w:rsidRPr="00365218">
        <w:rPr>
          <w:i/>
          <w:iCs/>
          <w:sz w:val="22"/>
        </w:rPr>
        <w:t>.</w:t>
      </w:r>
      <w:r w:rsidR="00343CA5" w:rsidRPr="00365218">
        <w:rPr>
          <w:sz w:val="22"/>
        </w:rPr>
        <w:t>”</w:t>
      </w:r>
    </w:p>
    <w:p w14:paraId="17C542AE" w14:textId="295B3EF3" w:rsidR="00261436" w:rsidRPr="00365218" w:rsidRDefault="00831002" w:rsidP="00DC2889">
      <w:pPr>
        <w:pStyle w:val="C-BaseText"/>
        <w:rPr>
          <w:sz w:val="22"/>
        </w:rPr>
      </w:pPr>
      <w:r w:rsidRPr="00365218">
        <w:rPr>
          <w:sz w:val="22"/>
        </w:rPr>
        <w:t xml:space="preserve">While liberalizing the </w:t>
      </w:r>
      <w:r w:rsidR="00743315" w:rsidRPr="00365218">
        <w:rPr>
          <w:sz w:val="22"/>
        </w:rPr>
        <w:t xml:space="preserve">test for granting a stay, it is argued </w:t>
      </w:r>
      <w:r w:rsidR="00B6758E" w:rsidRPr="00365218">
        <w:rPr>
          <w:sz w:val="22"/>
        </w:rPr>
        <w:t xml:space="preserve">that </w:t>
      </w:r>
      <w:r w:rsidR="000D451C" w:rsidRPr="00365218">
        <w:rPr>
          <w:sz w:val="22"/>
        </w:rPr>
        <w:t xml:space="preserve">itself </w:t>
      </w:r>
      <w:r w:rsidR="00743315" w:rsidRPr="00365218">
        <w:rPr>
          <w:sz w:val="22"/>
        </w:rPr>
        <w:t>did not prevent forum shopping of England forum.</w:t>
      </w:r>
      <w:r w:rsidR="00743315" w:rsidRPr="00365218">
        <w:rPr>
          <w:rStyle w:val="Znakapoznpodarou"/>
          <w:sz w:val="22"/>
        </w:rPr>
        <w:footnoteReference w:id="36"/>
      </w:r>
      <w:r w:rsidR="0006064F" w:rsidRPr="00365218">
        <w:rPr>
          <w:sz w:val="22"/>
        </w:rPr>
        <w:t xml:space="preserve"> Although the second limb of </w:t>
      </w:r>
      <w:r w:rsidR="00B6758E" w:rsidRPr="00365218">
        <w:rPr>
          <w:sz w:val="22"/>
        </w:rPr>
        <w:t xml:space="preserve">the </w:t>
      </w:r>
      <w:r w:rsidR="0006064F" w:rsidRPr="00365218">
        <w:rPr>
          <w:i/>
          <w:iCs/>
          <w:sz w:val="22"/>
        </w:rPr>
        <w:t xml:space="preserve">MacShannon </w:t>
      </w:r>
      <w:r w:rsidR="0006064F" w:rsidRPr="00365218">
        <w:rPr>
          <w:sz w:val="22"/>
        </w:rPr>
        <w:t xml:space="preserve">test ought to be objective, the courts were able to refuse </w:t>
      </w:r>
      <w:r w:rsidR="00B6758E" w:rsidRPr="00365218">
        <w:rPr>
          <w:sz w:val="22"/>
        </w:rPr>
        <w:t xml:space="preserve">the </w:t>
      </w:r>
      <w:r w:rsidR="0006064F" w:rsidRPr="00365218">
        <w:rPr>
          <w:sz w:val="22"/>
        </w:rPr>
        <w:t xml:space="preserve">grant of stay even when </w:t>
      </w:r>
      <w:r w:rsidR="00B6758E" w:rsidRPr="00365218">
        <w:rPr>
          <w:sz w:val="22"/>
        </w:rPr>
        <w:t xml:space="preserve">a </w:t>
      </w:r>
      <w:r w:rsidR="0006064F" w:rsidRPr="00365218">
        <w:rPr>
          <w:sz w:val="22"/>
        </w:rPr>
        <w:t>more appropriate forum was presented</w:t>
      </w:r>
      <w:r w:rsidR="00A65A9E" w:rsidRPr="00365218">
        <w:rPr>
          <w:sz w:val="22"/>
        </w:rPr>
        <w:t xml:space="preserve"> based on </w:t>
      </w:r>
      <w:r w:rsidR="00B6758E" w:rsidRPr="00365218">
        <w:rPr>
          <w:sz w:val="22"/>
        </w:rPr>
        <w:t xml:space="preserve">the </w:t>
      </w:r>
      <w:r w:rsidR="00343CA5" w:rsidRPr="00365218">
        <w:rPr>
          <w:sz w:val="22"/>
        </w:rPr>
        <w:t>plaintiff’s</w:t>
      </w:r>
      <w:r w:rsidR="00A65A9E" w:rsidRPr="00365218">
        <w:rPr>
          <w:sz w:val="22"/>
        </w:rPr>
        <w:t xml:space="preserve"> juridical advantage in England.</w:t>
      </w:r>
      <w:r w:rsidR="00A65A9E" w:rsidRPr="00365218">
        <w:rPr>
          <w:rStyle w:val="Znakapoznpodarou"/>
          <w:sz w:val="22"/>
        </w:rPr>
        <w:footnoteReference w:id="37"/>
      </w:r>
      <w:r w:rsidR="00A65A9E" w:rsidRPr="00365218">
        <w:rPr>
          <w:sz w:val="22"/>
        </w:rPr>
        <w:t xml:space="preserve"> </w:t>
      </w:r>
      <w:r w:rsidR="00B6758E" w:rsidRPr="00365218">
        <w:rPr>
          <w:sz w:val="22"/>
        </w:rPr>
        <w:t>A similar</w:t>
      </w:r>
      <w:r w:rsidR="00261436" w:rsidRPr="00365218">
        <w:rPr>
          <w:sz w:val="22"/>
        </w:rPr>
        <w:t xml:space="preserve"> approach to still pro-plaintiff behaviour is observed in </w:t>
      </w:r>
      <w:r w:rsidR="00261436" w:rsidRPr="00365218">
        <w:rPr>
          <w:i/>
          <w:iCs/>
          <w:sz w:val="22"/>
        </w:rPr>
        <w:t xml:space="preserve">Astro </w:t>
      </w:r>
      <w:proofErr w:type="spellStart"/>
      <w:r w:rsidR="00261436" w:rsidRPr="00365218">
        <w:rPr>
          <w:i/>
          <w:iCs/>
          <w:sz w:val="22"/>
        </w:rPr>
        <w:t>Exito</w:t>
      </w:r>
      <w:proofErr w:type="spellEnd"/>
      <w:r w:rsidR="00261436" w:rsidRPr="00365218">
        <w:rPr>
          <w:rStyle w:val="Znakapoznpodarou"/>
          <w:sz w:val="22"/>
        </w:rPr>
        <w:footnoteReference w:id="38"/>
      </w:r>
      <w:r w:rsidR="00261436" w:rsidRPr="00365218">
        <w:rPr>
          <w:sz w:val="22"/>
        </w:rPr>
        <w:t>.</w:t>
      </w:r>
    </w:p>
    <w:p w14:paraId="1022304B" w14:textId="2C8AB9EF" w:rsidR="004C28C0" w:rsidRPr="00365218" w:rsidRDefault="000D451C" w:rsidP="00DC2889">
      <w:pPr>
        <w:pStyle w:val="C-BaseText"/>
        <w:rPr>
          <w:sz w:val="22"/>
        </w:rPr>
      </w:pPr>
      <w:r w:rsidRPr="00365218">
        <w:rPr>
          <w:sz w:val="22"/>
        </w:rPr>
        <w:t>However, a</w:t>
      </w:r>
      <w:r w:rsidR="00A65A9E" w:rsidRPr="00365218">
        <w:rPr>
          <w:sz w:val="22"/>
        </w:rPr>
        <w:t xml:space="preserve">rguably, dissenting opinion in </w:t>
      </w:r>
      <w:r w:rsidR="00A65A9E" w:rsidRPr="00365218">
        <w:rPr>
          <w:i/>
          <w:iCs/>
          <w:sz w:val="22"/>
        </w:rPr>
        <w:t>MacShannon</w:t>
      </w:r>
      <w:r w:rsidR="00A65A9E" w:rsidRPr="00365218">
        <w:rPr>
          <w:sz w:val="22"/>
        </w:rPr>
        <w:t xml:space="preserve"> shows the need of English law to start paying due respect to other legal systems </w:t>
      </w:r>
      <w:r w:rsidR="00343CA5" w:rsidRPr="00365218">
        <w:rPr>
          <w:sz w:val="22"/>
        </w:rPr>
        <w:t>“</w:t>
      </w:r>
      <w:r w:rsidR="00A65A9E" w:rsidRPr="00365218">
        <w:rPr>
          <w:i/>
          <w:iCs/>
          <w:sz w:val="22"/>
        </w:rPr>
        <w:t>Time and time again we said that when a plaintiff validly invoked the jurisdiction of these courts […] he is prima facie entitled to pursue it to the end. […] The good old days are gone. Our entry into the Common Market has brought many changes. One of them is the recognition that the legal systems of other countries have their merits</w:t>
      </w:r>
      <w:r w:rsidR="00343CA5" w:rsidRPr="00365218">
        <w:rPr>
          <w:sz w:val="22"/>
        </w:rPr>
        <w:t>”</w:t>
      </w:r>
      <w:r w:rsidR="00A65A9E" w:rsidRPr="00365218">
        <w:rPr>
          <w:rStyle w:val="Znakapoznpodarou"/>
          <w:sz w:val="22"/>
        </w:rPr>
        <w:footnoteReference w:id="39"/>
      </w:r>
      <w:r w:rsidRPr="00365218">
        <w:rPr>
          <w:sz w:val="22"/>
        </w:rPr>
        <w:t xml:space="preserve">. </w:t>
      </w:r>
      <w:r w:rsidR="00F969FB" w:rsidRPr="00365218">
        <w:rPr>
          <w:sz w:val="22"/>
        </w:rPr>
        <w:t xml:space="preserve">The prominence of </w:t>
      </w:r>
      <w:r w:rsidR="00B6758E" w:rsidRPr="00365218">
        <w:rPr>
          <w:sz w:val="22"/>
        </w:rPr>
        <w:t xml:space="preserve">the </w:t>
      </w:r>
      <w:r w:rsidR="00F969FB" w:rsidRPr="00365218">
        <w:rPr>
          <w:i/>
          <w:iCs/>
          <w:sz w:val="22"/>
        </w:rPr>
        <w:t>MacShannon</w:t>
      </w:r>
      <w:r w:rsidR="00F969FB" w:rsidRPr="00365218">
        <w:rPr>
          <w:sz w:val="22"/>
        </w:rPr>
        <w:t xml:space="preserve"> </w:t>
      </w:r>
      <w:r w:rsidRPr="00365218">
        <w:rPr>
          <w:sz w:val="22"/>
        </w:rPr>
        <w:t xml:space="preserve">test </w:t>
      </w:r>
      <w:r w:rsidR="00F969FB" w:rsidRPr="00365218">
        <w:rPr>
          <w:sz w:val="22"/>
        </w:rPr>
        <w:t xml:space="preserve">is best illustrated in its application to other areas of English private international law – decisive test whether an </w:t>
      </w:r>
      <w:r w:rsidR="00D64888" w:rsidRPr="00365218">
        <w:rPr>
          <w:sz w:val="22"/>
        </w:rPr>
        <w:t>anti-suit injunction</w:t>
      </w:r>
      <w:r w:rsidR="00D64888" w:rsidRPr="00365218">
        <w:rPr>
          <w:rStyle w:val="Znakapoznpodarou"/>
          <w:sz w:val="22"/>
        </w:rPr>
        <w:footnoteReference w:id="40"/>
      </w:r>
      <w:r w:rsidR="00F969FB" w:rsidRPr="00365218">
        <w:rPr>
          <w:sz w:val="22"/>
        </w:rPr>
        <w:t xml:space="preserve"> should be issued</w:t>
      </w:r>
      <w:r w:rsidR="00D64888" w:rsidRPr="00365218">
        <w:rPr>
          <w:sz w:val="22"/>
        </w:rPr>
        <w:t xml:space="preserve"> – both carrying similarity as to upholding English jurisdiction.</w:t>
      </w:r>
    </w:p>
    <w:p w14:paraId="0B431257" w14:textId="14585F01" w:rsidR="00EA04BC" w:rsidRPr="00365218" w:rsidRDefault="00261436" w:rsidP="00CE7958">
      <w:pPr>
        <w:pStyle w:val="C-BaseText"/>
        <w:rPr>
          <w:sz w:val="22"/>
        </w:rPr>
      </w:pPr>
      <w:r w:rsidRPr="00365218">
        <w:rPr>
          <w:sz w:val="22"/>
        </w:rPr>
        <w:t xml:space="preserve">In 1984 the House of Lords </w:t>
      </w:r>
      <w:r w:rsidR="00B6758E" w:rsidRPr="00365218">
        <w:rPr>
          <w:sz w:val="22"/>
        </w:rPr>
        <w:t>moved</w:t>
      </w:r>
      <w:r w:rsidRPr="00365218">
        <w:rPr>
          <w:sz w:val="22"/>
        </w:rPr>
        <w:t xml:space="preserve"> even further in the </w:t>
      </w:r>
      <w:r w:rsidRPr="00365218">
        <w:rPr>
          <w:i/>
          <w:iCs/>
          <w:sz w:val="22"/>
        </w:rPr>
        <w:t>Abidin Daver</w:t>
      </w:r>
      <w:r w:rsidRPr="00365218">
        <w:rPr>
          <w:rStyle w:val="Znakapoznpodarou"/>
          <w:sz w:val="22"/>
        </w:rPr>
        <w:footnoteReference w:id="41"/>
      </w:r>
      <w:r w:rsidRPr="00365218">
        <w:rPr>
          <w:sz w:val="22"/>
        </w:rPr>
        <w:t xml:space="preserve"> and incorporated comity principles into the test rationale</w:t>
      </w:r>
      <w:r w:rsidR="00CE7958" w:rsidRPr="00365218">
        <w:rPr>
          <w:sz w:val="22"/>
        </w:rPr>
        <w:t xml:space="preserve"> while refusing </w:t>
      </w:r>
      <w:r w:rsidR="00D00632" w:rsidRPr="00365218">
        <w:rPr>
          <w:sz w:val="22"/>
        </w:rPr>
        <w:t>to exercise the pro-plaintiff behaviour further</w:t>
      </w:r>
      <w:r w:rsidR="00CE7958" w:rsidRPr="00365218">
        <w:rPr>
          <w:sz w:val="22"/>
        </w:rPr>
        <w:t>.</w:t>
      </w:r>
      <w:r w:rsidR="00CE7958" w:rsidRPr="00365218">
        <w:rPr>
          <w:rStyle w:val="Znakapoznpodarou"/>
          <w:sz w:val="22"/>
        </w:rPr>
        <w:footnoteReference w:id="42"/>
      </w:r>
      <w:r w:rsidR="00CE7958" w:rsidRPr="00365218">
        <w:rPr>
          <w:sz w:val="22"/>
        </w:rPr>
        <w:t xml:space="preserve"> Among </w:t>
      </w:r>
      <w:r w:rsidR="00B6758E" w:rsidRPr="00365218">
        <w:rPr>
          <w:sz w:val="22"/>
        </w:rPr>
        <w:t>others</w:t>
      </w:r>
      <w:r w:rsidR="00CE7958" w:rsidRPr="00365218">
        <w:rPr>
          <w:sz w:val="22"/>
        </w:rPr>
        <w:t xml:space="preserve">, the need to present evidence to support injustice on </w:t>
      </w:r>
      <w:r w:rsidR="00B6758E" w:rsidRPr="00365218">
        <w:rPr>
          <w:sz w:val="22"/>
        </w:rPr>
        <w:t xml:space="preserve">the </w:t>
      </w:r>
      <w:r w:rsidR="00CE7958" w:rsidRPr="00365218">
        <w:rPr>
          <w:sz w:val="22"/>
        </w:rPr>
        <w:t>plaintiff side must be based on cogent evidence</w:t>
      </w:r>
      <w:r w:rsidR="00CE7958" w:rsidRPr="00365218">
        <w:rPr>
          <w:rStyle w:val="Znakapoznpodarou"/>
          <w:sz w:val="22"/>
        </w:rPr>
        <w:footnoteReference w:id="43"/>
      </w:r>
      <w:r w:rsidR="00CE7958" w:rsidRPr="00365218">
        <w:rPr>
          <w:sz w:val="22"/>
        </w:rPr>
        <w:t xml:space="preserve">, as well as it pronounced that </w:t>
      </w:r>
      <w:r w:rsidR="00343CA5" w:rsidRPr="00365218">
        <w:rPr>
          <w:sz w:val="22"/>
        </w:rPr>
        <w:t>“</w:t>
      </w:r>
      <w:r w:rsidR="00CE7958" w:rsidRPr="00365218">
        <w:rPr>
          <w:i/>
          <w:iCs/>
          <w:sz w:val="22"/>
        </w:rPr>
        <w:t xml:space="preserve">[…] judicial chauvinism has been replaced by judicial comity to an extent which […] is now ripe to </w:t>
      </w:r>
      <w:r w:rsidR="00B6758E" w:rsidRPr="00365218">
        <w:rPr>
          <w:i/>
          <w:iCs/>
          <w:sz w:val="22"/>
        </w:rPr>
        <w:t>acknowledgement</w:t>
      </w:r>
      <w:r w:rsidR="00343CA5" w:rsidRPr="00365218">
        <w:rPr>
          <w:sz w:val="22"/>
        </w:rPr>
        <w:t>”</w:t>
      </w:r>
      <w:r w:rsidR="00CE7958" w:rsidRPr="00365218">
        <w:rPr>
          <w:rStyle w:val="Znakapoznpodarou"/>
          <w:sz w:val="22"/>
        </w:rPr>
        <w:footnoteReference w:id="44"/>
      </w:r>
      <w:r w:rsidR="00CE7958" w:rsidRPr="00365218">
        <w:rPr>
          <w:sz w:val="22"/>
        </w:rPr>
        <w:t xml:space="preserve"> and that current English law </w:t>
      </w:r>
      <w:r w:rsidR="00343CA5" w:rsidRPr="00365218">
        <w:rPr>
          <w:sz w:val="22"/>
        </w:rPr>
        <w:t>“</w:t>
      </w:r>
      <w:r w:rsidR="00CE7958" w:rsidRPr="00365218">
        <w:rPr>
          <w:i/>
          <w:iCs/>
          <w:sz w:val="22"/>
        </w:rPr>
        <w:t>is indistinguishable from the Scottish legal doctrine of forum non conveniens</w:t>
      </w:r>
      <w:r w:rsidR="00343CA5" w:rsidRPr="00365218">
        <w:rPr>
          <w:sz w:val="22"/>
        </w:rPr>
        <w:t>”</w:t>
      </w:r>
      <w:r w:rsidR="00CE7958" w:rsidRPr="00365218">
        <w:rPr>
          <w:rStyle w:val="Znakapoznpodarou"/>
          <w:sz w:val="22"/>
        </w:rPr>
        <w:footnoteReference w:id="45"/>
      </w:r>
      <w:r w:rsidR="00CE7958" w:rsidRPr="00365218">
        <w:rPr>
          <w:sz w:val="22"/>
        </w:rPr>
        <w:t>.</w:t>
      </w:r>
    </w:p>
    <w:p w14:paraId="03B00EE6" w14:textId="309D00DE" w:rsidR="00CE7958" w:rsidRPr="00365218" w:rsidRDefault="00213902" w:rsidP="00213902">
      <w:pPr>
        <w:pStyle w:val="C-HeadingNumbered2"/>
      </w:pPr>
      <w:r w:rsidRPr="00365218">
        <w:t>Spiliada case as adoption of</w:t>
      </w:r>
      <w:r w:rsidR="00B57724" w:rsidRPr="00365218">
        <w:t xml:space="preserve"> </w:t>
      </w:r>
      <w:r w:rsidR="00B6758E" w:rsidRPr="00365218">
        <w:t xml:space="preserve">the </w:t>
      </w:r>
      <w:r w:rsidR="00B57724" w:rsidRPr="00365218">
        <w:t xml:space="preserve">modern </w:t>
      </w:r>
      <w:r w:rsidR="00B34C3E">
        <w:t xml:space="preserve">English </w:t>
      </w:r>
      <w:r w:rsidR="00B57724" w:rsidRPr="00365218">
        <w:t>form of</w:t>
      </w:r>
      <w:r w:rsidRPr="00365218">
        <w:t xml:space="preserve"> Forum Non Conveniens </w:t>
      </w:r>
      <w:r w:rsidR="00B57724" w:rsidRPr="00365218">
        <w:t>doctrine</w:t>
      </w:r>
    </w:p>
    <w:p w14:paraId="296095E9" w14:textId="5D9309A2" w:rsidR="00201379" w:rsidRPr="00365218" w:rsidRDefault="008844D4" w:rsidP="00365218">
      <w:pPr>
        <w:pStyle w:val="C-BaseEnglishText"/>
      </w:pPr>
      <w:r w:rsidRPr="00365218">
        <w:t xml:space="preserve">The </w:t>
      </w:r>
      <w:r w:rsidR="00893609" w:rsidRPr="00365218">
        <w:t xml:space="preserve">contemporary scope of forum non conveniens doctrine </w:t>
      </w:r>
      <w:r w:rsidR="00BC2718" w:rsidRPr="00365218">
        <w:t xml:space="preserve">was established in 1986 in </w:t>
      </w:r>
      <w:r w:rsidR="00B6758E" w:rsidRPr="00365218">
        <w:t xml:space="preserve">the </w:t>
      </w:r>
      <w:r w:rsidR="00BC2718" w:rsidRPr="00365218">
        <w:rPr>
          <w:i/>
          <w:iCs/>
        </w:rPr>
        <w:t>Spiliada</w:t>
      </w:r>
      <w:r w:rsidR="00BC2718" w:rsidRPr="00365218">
        <w:t xml:space="preserve"> case</w:t>
      </w:r>
      <w:r w:rsidR="00622C2B" w:rsidRPr="00365218">
        <w:t xml:space="preserve"> by express recognition of its existence</w:t>
      </w:r>
      <w:r w:rsidR="00BE091B" w:rsidRPr="00365218">
        <w:t xml:space="preserve"> as as-of-right</w:t>
      </w:r>
      <w:r w:rsidR="00BE091B" w:rsidRPr="00365218">
        <w:rPr>
          <w:rStyle w:val="Znakapoznpodarou"/>
        </w:rPr>
        <w:footnoteReference w:id="46"/>
      </w:r>
      <w:r w:rsidR="00622C2B" w:rsidRPr="00365218">
        <w:t xml:space="preserve">. The modern English </w:t>
      </w:r>
      <w:r w:rsidR="00622C2B" w:rsidRPr="00365218">
        <w:rPr>
          <w:i/>
          <w:iCs/>
        </w:rPr>
        <w:t xml:space="preserve">forum non conveniens </w:t>
      </w:r>
      <w:r w:rsidR="00622C2B" w:rsidRPr="00365218">
        <w:t xml:space="preserve">test consists of </w:t>
      </w:r>
      <w:r w:rsidR="00B6758E" w:rsidRPr="00365218">
        <w:t xml:space="preserve">a </w:t>
      </w:r>
      <w:r w:rsidR="00622C2B" w:rsidRPr="00365218">
        <w:t>twofold procedure</w:t>
      </w:r>
      <w:r w:rsidR="00A424FF" w:rsidRPr="00365218">
        <w:rPr>
          <w:rStyle w:val="Znakapoznpodarou"/>
        </w:rPr>
        <w:footnoteReference w:id="47"/>
      </w:r>
      <w:r w:rsidR="00622C2B" w:rsidRPr="00365218">
        <w:t>. The defendants part</w:t>
      </w:r>
      <w:r w:rsidR="008B6FD5" w:rsidRPr="00365218">
        <w:t xml:space="preserve"> of the procedure</w:t>
      </w:r>
      <w:r w:rsidR="00622C2B" w:rsidRPr="00365218">
        <w:t xml:space="preserve"> consist of 3 steps – (</w:t>
      </w:r>
      <w:r w:rsidR="00622C2B" w:rsidRPr="00365218">
        <w:rPr>
          <w:b/>
          <w:bCs/>
        </w:rPr>
        <w:t>1</w:t>
      </w:r>
      <w:r w:rsidR="00622C2B" w:rsidRPr="00365218">
        <w:t xml:space="preserve">) showing </w:t>
      </w:r>
      <w:r w:rsidR="00B6758E" w:rsidRPr="00365218">
        <w:t xml:space="preserve">the </w:t>
      </w:r>
      <w:r w:rsidR="00622C2B" w:rsidRPr="00365218">
        <w:t xml:space="preserve">availability of competent jurisdiction outside </w:t>
      </w:r>
      <w:r w:rsidR="00035BFE" w:rsidRPr="00365218">
        <w:t>England</w:t>
      </w:r>
      <w:r w:rsidR="00A424FF" w:rsidRPr="00365218">
        <w:rPr>
          <w:rStyle w:val="Znakapoznpodarou"/>
        </w:rPr>
        <w:footnoteReference w:id="48"/>
      </w:r>
      <w:r w:rsidR="00622C2B" w:rsidRPr="00365218">
        <w:t>, which is the appropriate forum for the present dispute</w:t>
      </w:r>
      <w:r w:rsidR="00BF4495" w:rsidRPr="00365218">
        <w:t xml:space="preserve"> and that such forum will assume jurisdiction over the claim</w:t>
      </w:r>
      <w:r w:rsidR="00BF4495" w:rsidRPr="00365218">
        <w:rPr>
          <w:rStyle w:val="Znakapoznpodarou"/>
        </w:rPr>
        <w:footnoteReference w:id="49"/>
      </w:r>
      <w:r w:rsidR="00622C2B" w:rsidRPr="00365218">
        <w:t>, (</w:t>
      </w:r>
      <w:r w:rsidR="00622C2B" w:rsidRPr="00365218">
        <w:rPr>
          <w:b/>
          <w:bCs/>
        </w:rPr>
        <w:t>2</w:t>
      </w:r>
      <w:r w:rsidR="00622C2B" w:rsidRPr="00365218">
        <w:t>) persuading the court to grant a stay of proceedings</w:t>
      </w:r>
      <w:r w:rsidR="00622C2B" w:rsidRPr="00365218">
        <w:rPr>
          <w:rStyle w:val="Znakapoznpodarou"/>
        </w:rPr>
        <w:footnoteReference w:id="50"/>
      </w:r>
      <w:r w:rsidR="00622C2B" w:rsidRPr="00365218">
        <w:t>, for which the defendant and court shall assess (</w:t>
      </w:r>
      <w:r w:rsidR="00622C2B" w:rsidRPr="00365218">
        <w:rPr>
          <w:b/>
          <w:bCs/>
        </w:rPr>
        <w:t>3</w:t>
      </w:r>
      <w:r w:rsidR="00622C2B" w:rsidRPr="00365218">
        <w:t xml:space="preserve">) whether </w:t>
      </w:r>
      <w:r w:rsidR="00B6758E" w:rsidRPr="00365218">
        <w:t xml:space="preserve">the </w:t>
      </w:r>
      <w:r w:rsidR="00622C2B" w:rsidRPr="00365218">
        <w:t xml:space="preserve">presented forum is the </w:t>
      </w:r>
      <w:r w:rsidR="00343CA5" w:rsidRPr="00365218">
        <w:t>“</w:t>
      </w:r>
      <w:r w:rsidR="00622C2B" w:rsidRPr="00365218">
        <w:rPr>
          <w:i/>
          <w:iCs/>
        </w:rPr>
        <w:t>natural</w:t>
      </w:r>
      <w:r w:rsidR="00343CA5" w:rsidRPr="00365218">
        <w:t>”</w:t>
      </w:r>
      <w:r w:rsidR="00622C2B" w:rsidRPr="00365218">
        <w:t xml:space="preserve"> forum of the dispute, taking into consideration (</w:t>
      </w:r>
      <w:proofErr w:type="spellStart"/>
      <w:r w:rsidR="00622C2B" w:rsidRPr="00365218">
        <w:rPr>
          <w:b/>
          <w:bCs/>
        </w:rPr>
        <w:t>i</w:t>
      </w:r>
      <w:proofErr w:type="spellEnd"/>
      <w:r w:rsidR="00622C2B" w:rsidRPr="00365218">
        <w:t>) availability of witnesses, (</w:t>
      </w:r>
      <w:r w:rsidR="00622C2B" w:rsidRPr="00365218">
        <w:rPr>
          <w:b/>
          <w:bCs/>
        </w:rPr>
        <w:t>ii</w:t>
      </w:r>
      <w:r w:rsidR="00622C2B" w:rsidRPr="00365218">
        <w:t>) governing law, and (</w:t>
      </w:r>
      <w:r w:rsidR="00622C2B" w:rsidRPr="00365218">
        <w:rPr>
          <w:b/>
          <w:bCs/>
        </w:rPr>
        <w:t>iii</w:t>
      </w:r>
      <w:r w:rsidR="00622C2B" w:rsidRPr="00365218">
        <w:t xml:space="preserve">) habitual residence of the parties. Should the court </w:t>
      </w:r>
      <w:r w:rsidR="008B6FD5" w:rsidRPr="00365218">
        <w:t xml:space="preserve">be satisfied to </w:t>
      </w:r>
      <w:r w:rsidR="00A4753E" w:rsidRPr="00365218">
        <w:t xml:space="preserve">grant a stay, the </w:t>
      </w:r>
      <w:r w:rsidR="008B6FD5" w:rsidRPr="00365218">
        <w:t>procedure</w:t>
      </w:r>
      <w:r w:rsidR="00A4753E" w:rsidRPr="00365218">
        <w:t xml:space="preserve"> shifts to </w:t>
      </w:r>
      <w:r w:rsidR="00B6758E" w:rsidRPr="00365218">
        <w:t xml:space="preserve">the </w:t>
      </w:r>
      <w:r w:rsidR="00A4753E" w:rsidRPr="00365218">
        <w:t xml:space="preserve">plaintiff who may prove </w:t>
      </w:r>
      <w:r w:rsidR="00343CA5" w:rsidRPr="00365218">
        <w:t>“</w:t>
      </w:r>
      <w:r w:rsidR="00A4753E" w:rsidRPr="00365218">
        <w:rPr>
          <w:i/>
          <w:iCs/>
        </w:rPr>
        <w:t>circumstances by reason of which justice requires that a stay should nevertheless not be granted</w:t>
      </w:r>
      <w:r w:rsidR="00343CA5" w:rsidRPr="00365218">
        <w:t>”</w:t>
      </w:r>
      <w:r w:rsidR="00A4753E" w:rsidRPr="00365218">
        <w:rPr>
          <w:rStyle w:val="Znakapoznpodarou"/>
        </w:rPr>
        <w:footnoteReference w:id="51"/>
      </w:r>
      <w:r w:rsidR="008B6FD5" w:rsidRPr="00365218">
        <w:t>. H</w:t>
      </w:r>
      <w:r w:rsidR="00A4753E" w:rsidRPr="00365218">
        <w:t>owever</w:t>
      </w:r>
      <w:r w:rsidR="008B6FD5" w:rsidRPr="00365218">
        <w:t>,</w:t>
      </w:r>
      <w:r w:rsidR="00A4753E" w:rsidRPr="00365218">
        <w:t xml:space="preserve"> the court will not refuse to grant a stay </w:t>
      </w:r>
      <w:r w:rsidR="00BD3C31" w:rsidRPr="00365218">
        <w:t>if</w:t>
      </w:r>
      <w:r w:rsidR="00A4753E" w:rsidRPr="00365218">
        <w:t xml:space="preserve"> substantial justice</w:t>
      </w:r>
      <w:r w:rsidR="00BD3C31" w:rsidRPr="00365218">
        <w:rPr>
          <w:rStyle w:val="Znakapoznpodarou"/>
        </w:rPr>
        <w:footnoteReference w:id="52"/>
      </w:r>
      <w:r w:rsidR="00A4753E" w:rsidRPr="00365218">
        <w:t xml:space="preserve"> is to be done in the natural forum.</w:t>
      </w:r>
      <w:r w:rsidR="00BD3C31" w:rsidRPr="00365218">
        <w:t xml:space="preserve"> Hence comity plays an important role, a role </w:t>
      </w:r>
      <w:r w:rsidR="00B6758E" w:rsidRPr="00365218">
        <w:t>that</w:t>
      </w:r>
      <w:r w:rsidR="00BD3C31" w:rsidRPr="00365218">
        <w:t xml:space="preserve"> could not be found prior to </w:t>
      </w:r>
      <w:r w:rsidR="00BD3C31" w:rsidRPr="00365218">
        <w:rPr>
          <w:i/>
          <w:iCs/>
        </w:rPr>
        <w:t>Abidin Daver</w:t>
      </w:r>
      <w:r w:rsidR="00BD3C31" w:rsidRPr="00365218">
        <w:t>.</w:t>
      </w:r>
      <w:r w:rsidR="00BD3C31" w:rsidRPr="00365218">
        <w:rPr>
          <w:rStyle w:val="Znakapoznpodarou"/>
        </w:rPr>
        <w:footnoteReference w:id="53"/>
      </w:r>
      <w:r w:rsidR="00201379" w:rsidRPr="00365218">
        <w:t xml:space="preserve"> </w:t>
      </w:r>
    </w:p>
    <w:p w14:paraId="3F7402BE" w14:textId="6CE5725A" w:rsidR="00213902" w:rsidRPr="00365218" w:rsidRDefault="00201379" w:rsidP="00365218">
      <w:pPr>
        <w:pStyle w:val="C-BaseEnglishText"/>
      </w:pPr>
      <w:r w:rsidRPr="00365218">
        <w:t>The stay thus will be refused either if England is the centre of gravity for the presented dispute</w:t>
      </w:r>
      <w:r w:rsidR="005F44C3" w:rsidRPr="00365218">
        <w:rPr>
          <w:rStyle w:val="Znakapoznpodarou"/>
        </w:rPr>
        <w:footnoteReference w:id="54"/>
      </w:r>
      <w:r w:rsidR="005F44C3" w:rsidRPr="00365218">
        <w:t xml:space="preserve"> or should not the foreign forum justly entertain the claim, thus proclaiming the convenience of </w:t>
      </w:r>
      <w:r w:rsidR="00B6758E" w:rsidRPr="00365218">
        <w:t xml:space="preserve">the </w:t>
      </w:r>
      <w:r w:rsidR="005F44C3" w:rsidRPr="00365218">
        <w:t>English forum</w:t>
      </w:r>
      <w:r w:rsidR="005F44C3" w:rsidRPr="00365218">
        <w:rPr>
          <w:rStyle w:val="Znakapoznpodarou"/>
        </w:rPr>
        <w:footnoteReference w:id="55"/>
      </w:r>
      <w:r w:rsidR="005F44C3" w:rsidRPr="00365218">
        <w:t>.</w:t>
      </w:r>
    </w:p>
    <w:p w14:paraId="5254B839" w14:textId="3DC4550C" w:rsidR="009E7FAC" w:rsidRPr="00365218" w:rsidRDefault="001A2696" w:rsidP="00365218">
      <w:pPr>
        <w:pStyle w:val="C-BaseEnglishText"/>
      </w:pPr>
      <w:r w:rsidRPr="00365218">
        <w:t xml:space="preserve">Merely only one part of the </w:t>
      </w:r>
      <w:proofErr w:type="spellStart"/>
      <w:r w:rsidRPr="00365218">
        <w:rPr>
          <w:i/>
          <w:iCs/>
        </w:rPr>
        <w:t>Spiliata</w:t>
      </w:r>
      <w:proofErr w:type="spellEnd"/>
      <w:r w:rsidRPr="00365218">
        <w:rPr>
          <w:i/>
          <w:iCs/>
        </w:rPr>
        <w:t xml:space="preserve"> </w:t>
      </w:r>
      <w:r w:rsidRPr="00365218">
        <w:t xml:space="preserve">test </w:t>
      </w:r>
      <w:r w:rsidR="00772F68" w:rsidRPr="00365218">
        <w:t>underwent</w:t>
      </w:r>
      <w:r w:rsidRPr="00365218">
        <w:t xml:space="preserve"> </w:t>
      </w:r>
      <w:r w:rsidR="00772F68" w:rsidRPr="00365218">
        <w:t xml:space="preserve">tendencies </w:t>
      </w:r>
      <w:r w:rsidRPr="00365218">
        <w:t xml:space="preserve">to judicial change. </w:t>
      </w:r>
      <w:r w:rsidR="00B6758E" w:rsidRPr="00365218">
        <w:t>The first</w:t>
      </w:r>
      <w:r w:rsidRPr="00365218">
        <w:t xml:space="preserve"> stage is the burden to present </w:t>
      </w:r>
      <w:r w:rsidR="00B6758E" w:rsidRPr="00365218">
        <w:t xml:space="preserve">an </w:t>
      </w:r>
      <w:r w:rsidRPr="00365218">
        <w:t xml:space="preserve">available forum with competent jurisdiction outside </w:t>
      </w:r>
      <w:r w:rsidR="00035BFE" w:rsidRPr="00365218">
        <w:t>England</w:t>
      </w:r>
      <w:r w:rsidRPr="00365218">
        <w:t>.</w:t>
      </w:r>
      <w:r w:rsidRPr="00365218">
        <w:rPr>
          <w:rStyle w:val="Znakapoznpodarou"/>
        </w:rPr>
        <w:footnoteReference w:id="56"/>
      </w:r>
      <w:r w:rsidR="00B5561E" w:rsidRPr="00365218">
        <w:t xml:space="preserve"> </w:t>
      </w:r>
      <w:r w:rsidR="009E7FAC" w:rsidRPr="00365218">
        <w:t xml:space="preserve">However, in </w:t>
      </w:r>
      <w:r w:rsidR="00B6758E" w:rsidRPr="00365218">
        <w:t xml:space="preserve">the </w:t>
      </w:r>
      <w:r w:rsidR="009E7FAC" w:rsidRPr="00365218">
        <w:rPr>
          <w:i/>
          <w:iCs/>
        </w:rPr>
        <w:t>Bank of Kuwait</w:t>
      </w:r>
      <w:r w:rsidR="009E7FAC" w:rsidRPr="00365218">
        <w:rPr>
          <w:rStyle w:val="Znakapoznpodarou"/>
        </w:rPr>
        <w:footnoteReference w:id="57"/>
      </w:r>
      <w:r w:rsidR="009E7FAC" w:rsidRPr="00365218">
        <w:t xml:space="preserve"> case</w:t>
      </w:r>
      <w:r w:rsidR="00B6758E" w:rsidRPr="00365218">
        <w:t>,</w:t>
      </w:r>
      <w:r w:rsidR="009E7FAC" w:rsidRPr="00365218">
        <w:t xml:space="preserve"> the court refrained from ascertaining of availability of </w:t>
      </w:r>
      <w:r w:rsidR="00B6758E" w:rsidRPr="00365218">
        <w:t xml:space="preserve">a </w:t>
      </w:r>
      <w:r w:rsidR="009E7FAC" w:rsidRPr="00365218">
        <w:t xml:space="preserve">foreign forum in </w:t>
      </w:r>
      <w:r w:rsidR="00B6758E" w:rsidRPr="00365218">
        <w:t xml:space="preserve">the </w:t>
      </w:r>
      <w:r w:rsidR="009E7FAC" w:rsidRPr="00365218">
        <w:t xml:space="preserve">first stage of </w:t>
      </w:r>
      <w:r w:rsidR="00B6758E" w:rsidRPr="00365218">
        <w:t xml:space="preserve">the </w:t>
      </w:r>
      <w:r w:rsidR="009E7FAC" w:rsidRPr="00365218">
        <w:rPr>
          <w:i/>
          <w:iCs/>
        </w:rPr>
        <w:t xml:space="preserve">Spiliada </w:t>
      </w:r>
      <w:r w:rsidR="009E7FAC" w:rsidRPr="00365218">
        <w:t>test since substantial justice would not be obtained in such forum</w:t>
      </w:r>
      <w:r w:rsidR="009E7FAC" w:rsidRPr="00365218">
        <w:rPr>
          <w:rStyle w:val="Znakapoznpodarou"/>
        </w:rPr>
        <w:footnoteReference w:id="58"/>
      </w:r>
      <w:r w:rsidR="009E7FAC" w:rsidRPr="00365218">
        <w:t xml:space="preserve">, a factor which ought to be assessed in the second limb of </w:t>
      </w:r>
      <w:r w:rsidR="009E7FAC" w:rsidRPr="00365218">
        <w:rPr>
          <w:i/>
          <w:iCs/>
        </w:rPr>
        <w:t>Spiliada</w:t>
      </w:r>
      <w:r w:rsidR="009E7FAC" w:rsidRPr="00365218">
        <w:t xml:space="preserve"> test. This departure was remedied in </w:t>
      </w:r>
      <w:r w:rsidR="00B6758E" w:rsidRPr="00365218">
        <w:t xml:space="preserve">the </w:t>
      </w:r>
      <w:r w:rsidR="009E7FAC" w:rsidRPr="00365218">
        <w:rPr>
          <w:i/>
          <w:iCs/>
        </w:rPr>
        <w:t xml:space="preserve">Connelly </w:t>
      </w:r>
      <w:r w:rsidR="009E7FAC" w:rsidRPr="00365218">
        <w:t>case</w:t>
      </w:r>
      <w:r w:rsidR="009E7FAC" w:rsidRPr="00365218">
        <w:rPr>
          <w:rStyle w:val="Znakapoznpodarou"/>
        </w:rPr>
        <w:footnoteReference w:id="59"/>
      </w:r>
      <w:r w:rsidR="009E7FAC" w:rsidRPr="00365218">
        <w:t xml:space="preserve"> </w:t>
      </w:r>
      <w:r w:rsidR="00B6758E" w:rsidRPr="00365218">
        <w:t xml:space="preserve">, </w:t>
      </w:r>
      <w:r w:rsidR="009E7FAC" w:rsidRPr="00365218">
        <w:t>and a</w:t>
      </w:r>
      <w:r w:rsidR="00B5561E" w:rsidRPr="00365218">
        <w:t>vailability remained even when the plaintiff would experience difficulties in bringing the claim.</w:t>
      </w:r>
      <w:r w:rsidR="00B5561E" w:rsidRPr="00365218">
        <w:rPr>
          <w:rStyle w:val="Znakapoznpodarou"/>
        </w:rPr>
        <w:footnoteReference w:id="60"/>
      </w:r>
      <w:r w:rsidR="00B5561E" w:rsidRPr="00365218">
        <w:t xml:space="preserve"> Therefore any difficulties or injustices on </w:t>
      </w:r>
      <w:r w:rsidR="00B6758E" w:rsidRPr="00365218">
        <w:t xml:space="preserve">the </w:t>
      </w:r>
      <w:r w:rsidR="00343CA5" w:rsidRPr="00365218">
        <w:t>plaintiff’s</w:t>
      </w:r>
      <w:r w:rsidR="00B5561E" w:rsidRPr="00365218">
        <w:t xml:space="preserve"> part was to be assessed only in the second limb of </w:t>
      </w:r>
      <w:r w:rsidR="00B6758E" w:rsidRPr="00365218">
        <w:t xml:space="preserve">the </w:t>
      </w:r>
      <w:r w:rsidR="00B5561E" w:rsidRPr="00365218">
        <w:rPr>
          <w:i/>
          <w:iCs/>
        </w:rPr>
        <w:t>Sp</w:t>
      </w:r>
      <w:r w:rsidR="00772F68" w:rsidRPr="00365218">
        <w:rPr>
          <w:i/>
          <w:iCs/>
        </w:rPr>
        <w:t>i</w:t>
      </w:r>
      <w:r w:rsidR="00B5561E" w:rsidRPr="00365218">
        <w:rPr>
          <w:i/>
          <w:iCs/>
        </w:rPr>
        <w:t>liada</w:t>
      </w:r>
      <w:r w:rsidR="00B5561E" w:rsidRPr="00365218">
        <w:t xml:space="preserve"> test.</w:t>
      </w:r>
      <w:r w:rsidR="00B5561E" w:rsidRPr="00365218">
        <w:rPr>
          <w:rStyle w:val="Znakapoznpodarou"/>
        </w:rPr>
        <w:footnoteReference w:id="61"/>
      </w:r>
    </w:p>
    <w:p w14:paraId="3ABAD011" w14:textId="2FFF7418" w:rsidR="009E7FAC" w:rsidRPr="00365218" w:rsidRDefault="009E7FAC" w:rsidP="00365218">
      <w:pPr>
        <w:pStyle w:val="C-BaseEnglishText"/>
      </w:pPr>
      <w:r w:rsidRPr="00365218">
        <w:t xml:space="preserve">It is hence argued that </w:t>
      </w:r>
      <w:r w:rsidR="00B6758E" w:rsidRPr="00365218">
        <w:t xml:space="preserve">the </w:t>
      </w:r>
      <w:r w:rsidRPr="00365218">
        <w:t xml:space="preserve">current </w:t>
      </w:r>
      <w:r w:rsidR="00537E41" w:rsidRPr="00365218">
        <w:rPr>
          <w:i/>
          <w:iCs/>
        </w:rPr>
        <w:t xml:space="preserve">forum non conveniens </w:t>
      </w:r>
      <w:r w:rsidR="00537E41" w:rsidRPr="00365218">
        <w:t xml:space="preserve">doctrine remains the same as was established in </w:t>
      </w:r>
      <w:r w:rsidR="00537E41" w:rsidRPr="00365218">
        <w:rPr>
          <w:i/>
          <w:iCs/>
        </w:rPr>
        <w:t>Spiliada</w:t>
      </w:r>
      <w:r w:rsidR="00537E41" w:rsidRPr="00365218">
        <w:t>.</w:t>
      </w:r>
      <w:r w:rsidR="00537E41" w:rsidRPr="00365218">
        <w:rPr>
          <w:rStyle w:val="Znakapoznpodarou"/>
        </w:rPr>
        <w:footnoteReference w:id="62"/>
      </w:r>
    </w:p>
    <w:p w14:paraId="06D4C5D3" w14:textId="6BFC184C" w:rsidR="00541B9E" w:rsidRPr="00365218" w:rsidRDefault="00541B9E" w:rsidP="00541B9E">
      <w:pPr>
        <w:pStyle w:val="C-HeadingNumbered1"/>
      </w:pPr>
      <w:r w:rsidRPr="00365218">
        <w:t xml:space="preserve">Applicability of Forum Non Conveniens doctrine </w:t>
      </w:r>
      <w:r w:rsidR="00B34C3E">
        <w:t>with</w:t>
      </w:r>
      <w:r w:rsidRPr="00365218">
        <w:t>in the EU (pre-Brexit)</w:t>
      </w:r>
    </w:p>
    <w:p w14:paraId="0AA7C1AE" w14:textId="5AD3E1FA" w:rsidR="00DD7DD4" w:rsidRPr="00365218" w:rsidRDefault="007B273E" w:rsidP="00365218">
      <w:pPr>
        <w:pStyle w:val="C-BaseEnglishText"/>
      </w:pPr>
      <w:r w:rsidRPr="00365218">
        <w:t>The matter</w:t>
      </w:r>
      <w:r w:rsidR="00A22B9D" w:rsidRPr="00365218">
        <w:t xml:space="preserve"> of </w:t>
      </w:r>
      <w:r w:rsidR="00A22B9D" w:rsidRPr="00365218">
        <w:rPr>
          <w:i/>
          <w:iCs/>
        </w:rPr>
        <w:t xml:space="preserve">forum non conveniens </w:t>
      </w:r>
      <w:r w:rsidR="00A22B9D" w:rsidRPr="00365218">
        <w:t xml:space="preserve">doctrine and its interoperability with EU law could have been resolved in </w:t>
      </w:r>
      <w:r w:rsidR="001B6D35" w:rsidRPr="00365218">
        <w:t>the early</w:t>
      </w:r>
      <w:r w:rsidR="00DD7DD4" w:rsidRPr="00365218">
        <w:t xml:space="preserve"> 1990s in</w:t>
      </w:r>
      <w:r w:rsidR="00A22B9D" w:rsidRPr="00365218">
        <w:t xml:space="preserve"> </w:t>
      </w:r>
      <w:r w:rsidRPr="00365218">
        <w:t xml:space="preserve">the </w:t>
      </w:r>
      <w:r w:rsidR="00A22B9D" w:rsidRPr="00365218">
        <w:t xml:space="preserve">case </w:t>
      </w:r>
      <w:r w:rsidR="00A22B9D" w:rsidRPr="00365218">
        <w:rPr>
          <w:i/>
          <w:iCs/>
        </w:rPr>
        <w:t>Re Harrods</w:t>
      </w:r>
      <w:r w:rsidR="00A22B9D" w:rsidRPr="00365218">
        <w:rPr>
          <w:rStyle w:val="Znakapoznpodarou"/>
          <w:i/>
          <w:iCs/>
        </w:rPr>
        <w:footnoteReference w:id="63"/>
      </w:r>
      <w:r w:rsidR="00DD7DD4" w:rsidRPr="00365218">
        <w:rPr>
          <w:i/>
          <w:iCs/>
        </w:rPr>
        <w:t xml:space="preserve">. </w:t>
      </w:r>
      <w:r w:rsidR="00DD7DD4" w:rsidRPr="00365218">
        <w:t xml:space="preserve">Case concerning </w:t>
      </w:r>
      <w:r w:rsidR="00E75472" w:rsidRPr="00365218">
        <w:t>English corporation accused of unfair prejudice of minority shareholder. Since all business was carried by said company in Argentina, the Court of Appeal ruled that proceedings should be stayed in the forum of incorporation as the forum has no meaningful connection to the dispute itself</w:t>
      </w:r>
      <w:r w:rsidRPr="00365218">
        <w:t>,</w:t>
      </w:r>
      <w:r w:rsidR="00E75472" w:rsidRPr="00365218">
        <w:t xml:space="preserve"> and </w:t>
      </w:r>
      <w:r w:rsidRPr="00365218">
        <w:t xml:space="preserve">the </w:t>
      </w:r>
      <w:r w:rsidR="00E75472" w:rsidRPr="00365218">
        <w:t xml:space="preserve">natural forum is Argentina. The court also assessed that it is not obliged to exercise its jurisdiction as Brussels Convention </w:t>
      </w:r>
      <w:r w:rsidR="00294B6D" w:rsidRPr="00365218">
        <w:t>is not applicable</w:t>
      </w:r>
      <w:r w:rsidR="00E75472" w:rsidRPr="00365218">
        <w:t xml:space="preserve"> since no other </w:t>
      </w:r>
      <w:r w:rsidR="00294B6D" w:rsidRPr="00365218">
        <w:t>C</w:t>
      </w:r>
      <w:r w:rsidR="00E75472" w:rsidRPr="00365218">
        <w:t xml:space="preserve">ontracting </w:t>
      </w:r>
      <w:r w:rsidR="00294B6D" w:rsidRPr="00365218">
        <w:t>S</w:t>
      </w:r>
      <w:r w:rsidR="00E75472" w:rsidRPr="00365218">
        <w:t>tate is involved</w:t>
      </w:r>
      <w:r w:rsidR="00294B6D" w:rsidRPr="00365218">
        <w:t xml:space="preserve">. Hence paying due concern to its character of regulation of jurisdiction between </w:t>
      </w:r>
      <w:r w:rsidRPr="00365218">
        <w:t xml:space="preserve">the </w:t>
      </w:r>
      <w:r w:rsidR="00294B6D" w:rsidRPr="00365218">
        <w:t>Contracting States.</w:t>
      </w:r>
      <w:r w:rsidR="00294B6D" w:rsidRPr="00365218">
        <w:rPr>
          <w:rStyle w:val="Znakapoznpodarou"/>
        </w:rPr>
        <w:footnoteReference w:id="64"/>
      </w:r>
      <w:r w:rsidR="00294B6D" w:rsidRPr="00365218">
        <w:t xml:space="preserve"> </w:t>
      </w:r>
      <w:r w:rsidRPr="00365218">
        <w:t xml:space="preserve">The </w:t>
      </w:r>
      <w:r w:rsidR="002E0909" w:rsidRPr="00365218">
        <w:t>Court of Appeal</w:t>
      </w:r>
      <w:r w:rsidR="00BB4FD5" w:rsidRPr="00365218">
        <w:t>,</w:t>
      </w:r>
      <w:r w:rsidR="002E0909" w:rsidRPr="00365218">
        <w:t xml:space="preserve"> therefore</w:t>
      </w:r>
      <w:r w:rsidR="00BB4FD5" w:rsidRPr="00365218">
        <w:t>,</w:t>
      </w:r>
      <w:r w:rsidR="002E0909" w:rsidRPr="00365218">
        <w:t xml:space="preserve"> </w:t>
      </w:r>
      <w:r w:rsidR="00BB4FD5" w:rsidRPr="00365218">
        <w:t>did not see grounds</w:t>
      </w:r>
      <w:r w:rsidR="002E0909" w:rsidRPr="00365218">
        <w:t xml:space="preserve"> to apply Brussels Convention to </w:t>
      </w:r>
      <w:r w:rsidRPr="00365218">
        <w:t xml:space="preserve">a </w:t>
      </w:r>
      <w:r w:rsidR="002E0909" w:rsidRPr="00365218">
        <w:t xml:space="preserve">case where </w:t>
      </w:r>
      <w:r w:rsidR="00BB4FD5" w:rsidRPr="00365218">
        <w:t>no other Contracting State was concerned.</w:t>
      </w:r>
      <w:r w:rsidR="002E0909" w:rsidRPr="00365218">
        <w:t xml:space="preserve"> </w:t>
      </w:r>
      <w:r w:rsidR="00294B6D" w:rsidRPr="00365218">
        <w:t>House of Lords reference to the CJEU for preliminary ruling might have provided some answers</w:t>
      </w:r>
      <w:r w:rsidRPr="00365218">
        <w:t>. However,</w:t>
      </w:r>
      <w:r w:rsidR="00294B6D" w:rsidRPr="00365218">
        <w:t xml:space="preserve"> the case was settled before the CJEU could reach its decision.</w:t>
      </w:r>
      <w:r w:rsidR="00E8134B" w:rsidRPr="00365218">
        <w:rPr>
          <w:rStyle w:val="Znakapoznpodarou"/>
        </w:rPr>
        <w:footnoteReference w:id="65"/>
      </w:r>
    </w:p>
    <w:p w14:paraId="70738DA0" w14:textId="0B81FB95" w:rsidR="00541B9E" w:rsidRPr="00365218" w:rsidRDefault="00E62919" w:rsidP="00365218">
      <w:pPr>
        <w:pStyle w:val="C-BaseEnglishText"/>
      </w:pPr>
      <w:r w:rsidRPr="00365218">
        <w:t>T</w:t>
      </w:r>
      <w:r w:rsidR="00E8134B" w:rsidRPr="00365218">
        <w:t>herefore, it was not until 2005 when t</w:t>
      </w:r>
      <w:r w:rsidRPr="00365218">
        <w:t xml:space="preserve">he </w:t>
      </w:r>
      <w:r w:rsidRPr="00365218">
        <w:rPr>
          <w:i/>
          <w:iCs/>
        </w:rPr>
        <w:t>forum non conveniens</w:t>
      </w:r>
      <w:r w:rsidRPr="00365218">
        <w:t xml:space="preserve"> doctrine came under </w:t>
      </w:r>
      <w:r w:rsidR="007B273E" w:rsidRPr="00365218">
        <w:t xml:space="preserve">the </w:t>
      </w:r>
      <w:r w:rsidRPr="00365218">
        <w:t xml:space="preserve">purview </w:t>
      </w:r>
      <w:r w:rsidR="00D06C3F" w:rsidRPr="00365218">
        <w:t xml:space="preserve">of CJEU </w:t>
      </w:r>
      <w:r w:rsidR="002F25FB" w:rsidRPr="00365218">
        <w:t xml:space="preserve">in the </w:t>
      </w:r>
      <w:r w:rsidR="000D00FA" w:rsidRPr="00365218">
        <w:rPr>
          <w:i/>
          <w:iCs/>
        </w:rPr>
        <w:t>Owusu</w:t>
      </w:r>
      <w:r w:rsidR="000D00FA" w:rsidRPr="00365218">
        <w:rPr>
          <w:rStyle w:val="Znakapoznpodarou"/>
        </w:rPr>
        <w:footnoteReference w:id="66"/>
      </w:r>
      <w:r w:rsidR="000D00FA" w:rsidRPr="00365218">
        <w:t xml:space="preserve"> case.</w:t>
      </w:r>
      <w:r w:rsidR="00883F56" w:rsidRPr="00365218">
        <w:t xml:space="preserve"> </w:t>
      </w:r>
      <w:r w:rsidR="007433CD" w:rsidRPr="00365218">
        <w:t>A claim brought in the UK</w:t>
      </w:r>
      <w:r w:rsidR="002F25FB" w:rsidRPr="00365218">
        <w:t>,</w:t>
      </w:r>
      <w:r w:rsidR="007433CD" w:rsidRPr="00365218">
        <w:t xml:space="preserve"> by UK plaintiff</w:t>
      </w:r>
      <w:r w:rsidR="002F25FB" w:rsidRPr="00365218">
        <w:t>,</w:t>
      </w:r>
      <w:r w:rsidR="007433CD" w:rsidRPr="00365218">
        <w:t xml:space="preserve"> against UK and Jamaica defendants for injuries sustained in Jamaica, the court found th</w:t>
      </w:r>
      <w:r w:rsidR="00DE3CC8" w:rsidRPr="00365218">
        <w:t>at the</w:t>
      </w:r>
      <w:r w:rsidR="003D3FF7" w:rsidRPr="00365218">
        <w:t xml:space="preserve"> action could not be stayed based on Art. 2</w:t>
      </w:r>
      <w:r w:rsidR="00AD3DCD" w:rsidRPr="00365218">
        <w:rPr>
          <w:rStyle w:val="Znakapoznpodarou"/>
        </w:rPr>
        <w:footnoteReference w:id="67"/>
      </w:r>
      <w:r w:rsidR="003D3FF7" w:rsidRPr="00365218">
        <w:t xml:space="preserve"> of Brussels Convention</w:t>
      </w:r>
      <w:r w:rsidR="00FF5BB9" w:rsidRPr="00365218">
        <w:rPr>
          <w:rStyle w:val="Znakapoznpodarou"/>
        </w:rPr>
        <w:footnoteReference w:id="68"/>
      </w:r>
      <w:r w:rsidR="003D3FF7" w:rsidRPr="00365218">
        <w:t>.</w:t>
      </w:r>
      <w:r w:rsidR="00FF5BB9" w:rsidRPr="00365218">
        <w:t xml:space="preserve"> </w:t>
      </w:r>
      <w:r w:rsidR="001D2E8F" w:rsidRPr="00365218">
        <w:t xml:space="preserve">The appellate court then referred the matter with </w:t>
      </w:r>
      <w:r w:rsidR="007B273E" w:rsidRPr="00365218">
        <w:t xml:space="preserve">the </w:t>
      </w:r>
      <w:r w:rsidR="001D2E8F" w:rsidRPr="00365218">
        <w:t>preliminary question to the CJEU.</w:t>
      </w:r>
      <w:r w:rsidR="00AD3DCD" w:rsidRPr="00365218">
        <w:t xml:space="preserve"> The preliminary question asked </w:t>
      </w:r>
      <w:r w:rsidR="007143A8" w:rsidRPr="00365218">
        <w:t xml:space="preserve">was </w:t>
      </w:r>
      <w:r w:rsidR="007143A8" w:rsidRPr="00365218">
        <w:rPr>
          <w:i/>
          <w:iCs/>
        </w:rPr>
        <w:t>inter alia</w:t>
      </w:r>
      <w:r w:rsidR="007143A8" w:rsidRPr="00365218">
        <w:rPr>
          <w:rStyle w:val="Znakapoznpodarou"/>
        </w:rPr>
        <w:footnoteReference w:id="69"/>
      </w:r>
      <w:r w:rsidR="007143A8" w:rsidRPr="00365218">
        <w:rPr>
          <w:i/>
          <w:iCs/>
        </w:rPr>
        <w:t xml:space="preserve"> </w:t>
      </w:r>
      <w:r w:rsidR="007143A8" w:rsidRPr="00365218">
        <w:t>whether it is inconsistent with Brussels Convention if a contracting state to Brussels Convention would stay its proceedings, based on rules of national law, brought against a person domiciled in that contracting state in favour of non-contracting state court should the jurisdiction be based on</w:t>
      </w:r>
      <w:r w:rsidR="00B00E7B" w:rsidRPr="00365218">
        <w:t xml:space="preserve"> </w:t>
      </w:r>
      <w:r w:rsidR="007B273E" w:rsidRPr="00365218">
        <w:t xml:space="preserve">the </w:t>
      </w:r>
      <w:r w:rsidR="00B00E7B" w:rsidRPr="00365218">
        <w:t>general rule of jurisdiction vested to</w:t>
      </w:r>
      <w:r w:rsidR="007143A8" w:rsidRPr="00365218">
        <w:t xml:space="preserve"> </w:t>
      </w:r>
      <w:r w:rsidR="007B273E" w:rsidRPr="00365218">
        <w:t>art</w:t>
      </w:r>
      <w:r w:rsidR="007143A8" w:rsidRPr="00365218">
        <w:t>. 2 of Brussels Convention (</w:t>
      </w:r>
      <w:r w:rsidR="007143A8" w:rsidRPr="00365218">
        <w:rPr>
          <w:b/>
          <w:bCs/>
        </w:rPr>
        <w:t>a</w:t>
      </w:r>
      <w:r w:rsidR="007143A8" w:rsidRPr="00365218">
        <w:t xml:space="preserve">) if the jurisdiction of no other contracting state </w:t>
      </w:r>
      <w:r w:rsidR="00DE3CC8" w:rsidRPr="00365218">
        <w:t>was</w:t>
      </w:r>
      <w:r w:rsidR="007143A8" w:rsidRPr="00365218">
        <w:t xml:space="preserve"> in issue, and (</w:t>
      </w:r>
      <w:r w:rsidR="007143A8" w:rsidRPr="00365218">
        <w:rPr>
          <w:b/>
          <w:bCs/>
        </w:rPr>
        <w:t>b</w:t>
      </w:r>
      <w:r w:rsidR="007143A8" w:rsidRPr="00365218">
        <w:t>) if the proceedings ha</w:t>
      </w:r>
      <w:r w:rsidR="00DE3CC8" w:rsidRPr="00365218">
        <w:t>d</w:t>
      </w:r>
      <w:r w:rsidR="007143A8" w:rsidRPr="00365218">
        <w:t xml:space="preserve"> no connecting factors to any other contracting state.</w:t>
      </w:r>
      <w:r w:rsidR="007143A8" w:rsidRPr="00365218">
        <w:rPr>
          <w:rStyle w:val="Znakapoznpodarou"/>
        </w:rPr>
        <w:footnoteReference w:id="70"/>
      </w:r>
    </w:p>
    <w:p w14:paraId="48C9AFDC" w14:textId="1E5066BB" w:rsidR="006F4B6D" w:rsidRPr="00365218" w:rsidRDefault="006F4B6D" w:rsidP="00365218">
      <w:pPr>
        <w:pStyle w:val="C-BaseEnglishText"/>
      </w:pPr>
      <w:r w:rsidRPr="00365218">
        <w:t xml:space="preserve">CJEU stated that </w:t>
      </w:r>
      <w:r w:rsidR="007B273E" w:rsidRPr="00365218">
        <w:t xml:space="preserve">the </w:t>
      </w:r>
      <w:r w:rsidR="00721354" w:rsidRPr="00365218">
        <w:t xml:space="preserve">application of </w:t>
      </w:r>
      <w:r w:rsidR="007B273E" w:rsidRPr="00365218">
        <w:t xml:space="preserve">the </w:t>
      </w:r>
      <w:r w:rsidRPr="00365218">
        <w:t xml:space="preserve">Brussels Convention </w:t>
      </w:r>
      <w:r w:rsidR="00721354" w:rsidRPr="00365218">
        <w:t>requires</w:t>
      </w:r>
      <w:r w:rsidR="00241531" w:rsidRPr="00365218">
        <w:t xml:space="preserve"> some international element</w:t>
      </w:r>
      <w:r w:rsidR="00241531" w:rsidRPr="00365218">
        <w:rPr>
          <w:rStyle w:val="Znakapoznpodarou"/>
        </w:rPr>
        <w:footnoteReference w:id="71"/>
      </w:r>
      <w:r w:rsidR="007B273E" w:rsidRPr="00365218">
        <w:t>; conversely,</w:t>
      </w:r>
      <w:r w:rsidR="00241531" w:rsidRPr="00365218">
        <w:t xml:space="preserve"> </w:t>
      </w:r>
      <w:r w:rsidR="007B273E" w:rsidRPr="00365218">
        <w:t xml:space="preserve">it </w:t>
      </w:r>
      <w:r w:rsidR="00721354" w:rsidRPr="00365218">
        <w:t xml:space="preserve">does not predominantly require </w:t>
      </w:r>
      <w:r w:rsidR="002B12EE" w:rsidRPr="00365218">
        <w:t>legal relationship to more than one contracting state</w:t>
      </w:r>
      <w:r w:rsidR="002B12EE" w:rsidRPr="00365218">
        <w:rPr>
          <w:rStyle w:val="Znakapoznpodarou"/>
        </w:rPr>
        <w:footnoteReference w:id="72"/>
      </w:r>
      <w:r w:rsidR="00721354" w:rsidRPr="00365218">
        <w:t>. Hence a</w:t>
      </w:r>
      <w:r w:rsidR="00241531" w:rsidRPr="00365218">
        <w:t xml:space="preserve">n internalization may be produced by </w:t>
      </w:r>
      <w:r w:rsidR="007B273E" w:rsidRPr="00365218">
        <w:t xml:space="preserve">the </w:t>
      </w:r>
      <w:r w:rsidR="00241531" w:rsidRPr="00365218">
        <w:t xml:space="preserve">presence of </w:t>
      </w:r>
      <w:r w:rsidR="007B273E" w:rsidRPr="00365218">
        <w:t xml:space="preserve">a </w:t>
      </w:r>
      <w:r w:rsidR="00241531" w:rsidRPr="00365218">
        <w:t>non-contracting state domiciled person</w:t>
      </w:r>
      <w:r w:rsidR="00241531" w:rsidRPr="00365218">
        <w:rPr>
          <w:rStyle w:val="Znakapoznpodarou"/>
        </w:rPr>
        <w:footnoteReference w:id="73"/>
      </w:r>
      <w:r w:rsidR="00241531" w:rsidRPr="00365218">
        <w:t>.</w:t>
      </w:r>
      <w:r w:rsidR="005832E5" w:rsidRPr="00365218">
        <w:t xml:space="preserve"> Thus, art. 2 being of mandatory nature, no derogation is permitted unless Brussels Conventions explicitly allows</w:t>
      </w:r>
      <w:r w:rsidR="007B273E" w:rsidRPr="00365218">
        <w:t xml:space="preserve"> it</w:t>
      </w:r>
      <w:r w:rsidR="005832E5" w:rsidRPr="00365218">
        <w:t>.</w:t>
      </w:r>
      <w:r w:rsidR="005832E5" w:rsidRPr="00365218">
        <w:rPr>
          <w:rStyle w:val="Znakapoznpodarou"/>
        </w:rPr>
        <w:footnoteReference w:id="74"/>
      </w:r>
      <w:r w:rsidR="005832E5" w:rsidRPr="00365218">
        <w:t xml:space="preserve"> The discretion to stay proceedings based on </w:t>
      </w:r>
      <w:r w:rsidR="005832E5" w:rsidRPr="00365218">
        <w:rPr>
          <w:i/>
          <w:iCs/>
        </w:rPr>
        <w:t xml:space="preserve">forum non conveniens </w:t>
      </w:r>
      <w:r w:rsidR="005832E5" w:rsidRPr="00365218">
        <w:t>is not available under Brussels Convention</w:t>
      </w:r>
      <w:r w:rsidR="005832E5" w:rsidRPr="00365218">
        <w:rPr>
          <w:rStyle w:val="Znakapoznpodarou"/>
        </w:rPr>
        <w:footnoteReference w:id="75"/>
      </w:r>
      <w:r w:rsidR="005832E5" w:rsidRPr="00365218">
        <w:t xml:space="preserve"> as </w:t>
      </w:r>
      <w:r w:rsidR="00343CA5" w:rsidRPr="00365218">
        <w:t>“</w:t>
      </w:r>
      <w:r w:rsidR="005832E5" w:rsidRPr="00365218">
        <w:rPr>
          <w:i/>
          <w:iCs/>
        </w:rPr>
        <w:t>plaintiff must be sure which court has jurisdiction. He should not have to waste his time and money risking that the court concerned may consider itself less competent than another</w:t>
      </w:r>
      <w:r w:rsidR="00343CA5" w:rsidRPr="00365218">
        <w:t>”</w:t>
      </w:r>
      <w:r w:rsidR="005832E5" w:rsidRPr="00365218">
        <w:rPr>
          <w:rStyle w:val="Znakapoznpodarou"/>
        </w:rPr>
        <w:footnoteReference w:id="76"/>
      </w:r>
      <w:r w:rsidR="007B273E" w:rsidRPr="00365218">
        <w:t>. Therefore,</w:t>
      </w:r>
      <w:r w:rsidR="0089630A" w:rsidRPr="00365218">
        <w:t xml:space="preserve"> </w:t>
      </w:r>
      <w:r w:rsidR="007B273E" w:rsidRPr="00365218">
        <w:t xml:space="preserve">the </w:t>
      </w:r>
      <w:r w:rsidR="0089630A" w:rsidRPr="00365218">
        <w:rPr>
          <w:i/>
          <w:iCs/>
        </w:rPr>
        <w:t>forum non conveniens</w:t>
      </w:r>
      <w:r w:rsidR="0089630A" w:rsidRPr="00365218">
        <w:t xml:space="preserve"> doctrine would infringe on the principle of legal certainty</w:t>
      </w:r>
      <w:r w:rsidR="0089630A" w:rsidRPr="00365218">
        <w:rPr>
          <w:rStyle w:val="Znakapoznpodarou"/>
        </w:rPr>
        <w:footnoteReference w:id="77"/>
      </w:r>
      <w:r w:rsidR="0089630A" w:rsidRPr="00365218">
        <w:t xml:space="preserve">, being the cornerstone of </w:t>
      </w:r>
      <w:r w:rsidR="007B273E" w:rsidRPr="00365218">
        <w:t xml:space="preserve">the </w:t>
      </w:r>
      <w:r w:rsidR="0089630A" w:rsidRPr="00365218">
        <w:t>Brussels Convention</w:t>
      </w:r>
      <w:r w:rsidR="0089630A" w:rsidRPr="00365218">
        <w:rPr>
          <w:rStyle w:val="Znakapoznpodarou"/>
        </w:rPr>
        <w:footnoteReference w:id="78"/>
      </w:r>
      <w:r w:rsidR="0089630A" w:rsidRPr="00365218">
        <w:t xml:space="preserve">. On such consideration, the CJEU ruled that </w:t>
      </w:r>
      <w:r w:rsidR="007B273E" w:rsidRPr="00365218">
        <w:t xml:space="preserve">the </w:t>
      </w:r>
      <w:r w:rsidR="0089630A" w:rsidRPr="00365218">
        <w:t xml:space="preserve">applicability of </w:t>
      </w:r>
      <w:r w:rsidR="0089630A" w:rsidRPr="00365218">
        <w:rPr>
          <w:i/>
          <w:iCs/>
        </w:rPr>
        <w:t>forum non convenie</w:t>
      </w:r>
      <w:r w:rsidR="00716E35" w:rsidRPr="00365218">
        <w:rPr>
          <w:i/>
          <w:iCs/>
        </w:rPr>
        <w:t>n</w:t>
      </w:r>
      <w:r w:rsidR="0089630A" w:rsidRPr="00365218">
        <w:rPr>
          <w:i/>
          <w:iCs/>
        </w:rPr>
        <w:t>s</w:t>
      </w:r>
      <w:r w:rsidR="0089630A" w:rsidRPr="00365218">
        <w:t xml:space="preserve"> doctrine is precluded on jurisdiction conferred by art. 2 of the Brussels Convention.</w:t>
      </w:r>
      <w:r w:rsidR="0089630A" w:rsidRPr="00365218">
        <w:rPr>
          <w:rStyle w:val="Znakapoznpodarou"/>
        </w:rPr>
        <w:footnoteReference w:id="79"/>
      </w:r>
      <w:r w:rsidR="00511B36" w:rsidRPr="00365218">
        <w:t xml:space="preserve"> The </w:t>
      </w:r>
      <w:r w:rsidR="00511B36" w:rsidRPr="00365218">
        <w:rPr>
          <w:i/>
          <w:iCs/>
        </w:rPr>
        <w:t>Owusu</w:t>
      </w:r>
      <w:r w:rsidR="00511B36" w:rsidRPr="00365218">
        <w:t xml:space="preserve"> case thus holds in substance that jurisdiction </w:t>
      </w:r>
      <w:r w:rsidR="00E36AFD" w:rsidRPr="00365218">
        <w:t xml:space="preserve">of Member State court is mandatory the courts cannot decline jurisdiction even in </w:t>
      </w:r>
      <w:r w:rsidR="007B273E" w:rsidRPr="00365218">
        <w:t>favour</w:t>
      </w:r>
      <w:r w:rsidR="00E36AFD" w:rsidRPr="00365218">
        <w:t xml:space="preserve"> of third-State courts.</w:t>
      </w:r>
      <w:r w:rsidR="00E36AFD" w:rsidRPr="00365218">
        <w:rPr>
          <w:rStyle w:val="Znakapoznpodarou"/>
        </w:rPr>
        <w:footnoteReference w:id="80"/>
      </w:r>
    </w:p>
    <w:p w14:paraId="7BC526D1" w14:textId="3E525E9E" w:rsidR="0053480B" w:rsidRPr="00365218" w:rsidRDefault="0053480B" w:rsidP="00365218">
      <w:pPr>
        <w:pStyle w:val="C-BaseEnglishText"/>
      </w:pPr>
      <w:r w:rsidRPr="00365218">
        <w:t xml:space="preserve">The CJEU thus </w:t>
      </w:r>
      <w:r w:rsidR="00343CA5" w:rsidRPr="00365218">
        <w:t>“</w:t>
      </w:r>
      <w:r w:rsidRPr="00B34C3E">
        <w:rPr>
          <w:i/>
          <w:iCs/>
        </w:rPr>
        <w:t>significantly restricted the ability of the English courts to refuse jurisdiction over an English-domiciled defendant, even where there is clearly a more appropriate jurisdiction in which to hear the case</w:t>
      </w:r>
      <w:r w:rsidR="00343CA5" w:rsidRPr="00365218">
        <w:t>”</w:t>
      </w:r>
      <w:r w:rsidRPr="00365218">
        <w:rPr>
          <w:rStyle w:val="Znakapoznpodarou"/>
        </w:rPr>
        <w:footnoteReference w:id="81"/>
      </w:r>
      <w:r w:rsidR="00D0662B" w:rsidRPr="00365218">
        <w:t xml:space="preserve">. </w:t>
      </w:r>
      <w:r w:rsidR="00E930BA" w:rsidRPr="00365218">
        <w:t xml:space="preserve">European rules of jurisdiction are </w:t>
      </w:r>
      <w:r w:rsidR="007B273E" w:rsidRPr="00365218">
        <w:t>thus</w:t>
      </w:r>
      <w:r w:rsidR="00E930BA" w:rsidRPr="00365218">
        <w:t xml:space="preserve"> </w:t>
      </w:r>
      <w:r w:rsidR="00343CA5" w:rsidRPr="00365218">
        <w:t>“</w:t>
      </w:r>
      <w:r w:rsidR="00E930BA" w:rsidRPr="00B34C3E">
        <w:rPr>
          <w:i/>
          <w:iCs/>
        </w:rPr>
        <w:t>based on the principles of legal certainty and predictability, refusing any flexibility from considerations of convenience, fairness and justice</w:t>
      </w:r>
      <w:r w:rsidR="00343CA5" w:rsidRPr="00365218">
        <w:t>”</w:t>
      </w:r>
      <w:r w:rsidR="00E930BA" w:rsidRPr="00365218">
        <w:t>.</w:t>
      </w:r>
      <w:r w:rsidR="00A90619" w:rsidRPr="00365218">
        <w:rPr>
          <w:rStyle w:val="Znakapoznpodarou"/>
        </w:rPr>
        <w:footnoteReference w:id="82"/>
      </w:r>
      <w:r w:rsidR="00E930BA" w:rsidRPr="00365218">
        <w:t xml:space="preserve"> </w:t>
      </w:r>
      <w:r w:rsidR="00116C1C" w:rsidRPr="00365218">
        <w:t xml:space="preserve">It was </w:t>
      </w:r>
      <w:r w:rsidR="00E930BA" w:rsidRPr="00365218">
        <w:t>however</w:t>
      </w:r>
      <w:r w:rsidR="00116C1C" w:rsidRPr="00365218">
        <w:t xml:space="preserve"> argue</w:t>
      </w:r>
      <w:r w:rsidR="009746D2" w:rsidRPr="00365218">
        <w:t>d</w:t>
      </w:r>
      <w:r w:rsidR="00116C1C" w:rsidRPr="00365218">
        <w:t xml:space="preserve"> that the CJEU interpreted the rights </w:t>
      </w:r>
      <w:r w:rsidR="00343CA5" w:rsidRPr="00365218">
        <w:t>“</w:t>
      </w:r>
      <w:r w:rsidR="00116C1C" w:rsidRPr="00B34C3E">
        <w:rPr>
          <w:i/>
          <w:iCs/>
        </w:rPr>
        <w:t>as though it gave rights to a claimant rather than defendant, inverting the usual understanding</w:t>
      </w:r>
      <w:r w:rsidR="007B273E" w:rsidRPr="00B34C3E">
        <w:rPr>
          <w:i/>
          <w:iCs/>
        </w:rPr>
        <w:t>.</w:t>
      </w:r>
      <w:r w:rsidR="00343CA5" w:rsidRPr="00365218">
        <w:t>”</w:t>
      </w:r>
      <w:r w:rsidR="00116C1C" w:rsidRPr="00365218">
        <w:rPr>
          <w:rStyle w:val="Znakapoznpodarou"/>
        </w:rPr>
        <w:footnoteReference w:id="83"/>
      </w:r>
    </w:p>
    <w:p w14:paraId="446BC9DA" w14:textId="6EA4E082" w:rsidR="00265B23" w:rsidRPr="00365218" w:rsidRDefault="00265B23" w:rsidP="00365218">
      <w:pPr>
        <w:pStyle w:val="C-BaseEnglishText"/>
      </w:pPr>
      <w:r w:rsidRPr="00365218">
        <w:t xml:space="preserve">English courts </w:t>
      </w:r>
      <w:r w:rsidR="007B273E" w:rsidRPr="00365218">
        <w:t>nevertheless</w:t>
      </w:r>
      <w:r w:rsidRPr="00365218">
        <w:t xml:space="preserve"> remained firm in their position </w:t>
      </w:r>
      <w:r w:rsidR="00D00632" w:rsidRPr="00365218">
        <w:t xml:space="preserve">not to follow </w:t>
      </w:r>
      <w:r w:rsidR="00D00632" w:rsidRPr="00365218">
        <w:rPr>
          <w:i/>
          <w:iCs/>
        </w:rPr>
        <w:t>Owusu</w:t>
      </w:r>
      <w:r w:rsidRPr="00365218">
        <w:t xml:space="preserve"> and affirmed their authority to stay proceedings in </w:t>
      </w:r>
      <w:r w:rsidR="007B273E" w:rsidRPr="00365218">
        <w:t>favour</w:t>
      </w:r>
      <w:r w:rsidRPr="00365218">
        <w:t xml:space="preserve"> of non-contracting </w:t>
      </w:r>
      <w:r w:rsidR="00343CA5" w:rsidRPr="00365218">
        <w:t>state’s</w:t>
      </w:r>
      <w:r w:rsidRPr="00365218">
        <w:t xml:space="preserve"> courts</w:t>
      </w:r>
      <w:r w:rsidR="003807F4" w:rsidRPr="00365218">
        <w:t xml:space="preserve"> and</w:t>
      </w:r>
      <w:r w:rsidR="00992626" w:rsidRPr="00365218">
        <w:t xml:space="preserve"> </w:t>
      </w:r>
      <w:r w:rsidR="00343CA5" w:rsidRPr="00365218">
        <w:t>“</w:t>
      </w:r>
      <w:r w:rsidR="00992626" w:rsidRPr="00365218">
        <w:rPr>
          <w:i/>
          <w:iCs/>
        </w:rPr>
        <w:t xml:space="preserve">continued to limit </w:t>
      </w:r>
      <w:r w:rsidR="00343CA5" w:rsidRPr="00365218">
        <w:rPr>
          <w:i/>
          <w:iCs/>
        </w:rPr>
        <w:t>Owusu’s</w:t>
      </w:r>
      <w:r w:rsidR="00992626" w:rsidRPr="00365218">
        <w:rPr>
          <w:i/>
          <w:iCs/>
        </w:rPr>
        <w:t xml:space="preserve"> influence and applicability</w:t>
      </w:r>
      <w:r w:rsidR="00343CA5" w:rsidRPr="00365218">
        <w:t>”</w:t>
      </w:r>
      <w:r w:rsidR="001A0C27" w:rsidRPr="00365218">
        <w:rPr>
          <w:rStyle w:val="Znakapoznpodarou"/>
        </w:rPr>
        <w:footnoteReference w:id="84"/>
      </w:r>
      <w:r w:rsidR="009746D2" w:rsidRPr="00365218">
        <w:t xml:space="preserve"> unless the case has </w:t>
      </w:r>
      <w:r w:rsidR="007B273E" w:rsidRPr="00365218">
        <w:t xml:space="preserve">a </w:t>
      </w:r>
      <w:r w:rsidR="009746D2" w:rsidRPr="00365218">
        <w:t xml:space="preserve">relationship to </w:t>
      </w:r>
      <w:r w:rsidR="007B273E" w:rsidRPr="00365218">
        <w:t>an</w:t>
      </w:r>
      <w:r w:rsidR="009746D2" w:rsidRPr="00365218">
        <w:t>other EU Member state.</w:t>
      </w:r>
      <w:r w:rsidR="009746D2" w:rsidRPr="00365218">
        <w:rPr>
          <w:rStyle w:val="Znakapoznpodarou"/>
        </w:rPr>
        <w:footnoteReference w:id="85"/>
      </w:r>
      <w:r w:rsidR="002E0909" w:rsidRPr="00365218">
        <w:t xml:space="preserve"> English court hence followed </w:t>
      </w:r>
      <w:r w:rsidR="007B273E" w:rsidRPr="00365218">
        <w:t xml:space="preserve">the </w:t>
      </w:r>
      <w:r w:rsidR="002E0909" w:rsidRPr="00365218">
        <w:t xml:space="preserve">position taken in </w:t>
      </w:r>
      <w:r w:rsidR="002E0909" w:rsidRPr="00365218">
        <w:rPr>
          <w:i/>
          <w:iCs/>
        </w:rPr>
        <w:t>Re Harrods</w:t>
      </w:r>
      <w:r w:rsidR="002E0909" w:rsidRPr="00365218">
        <w:t xml:space="preserve"> as not to apply </w:t>
      </w:r>
      <w:r w:rsidR="002E0909" w:rsidRPr="00365218">
        <w:rPr>
          <w:i/>
          <w:iCs/>
        </w:rPr>
        <w:t>Owusu</w:t>
      </w:r>
      <w:r w:rsidR="002E0909" w:rsidRPr="00365218">
        <w:t xml:space="preserve"> in cases where </w:t>
      </w:r>
      <w:r w:rsidR="00BB4FD5" w:rsidRPr="00365218">
        <w:t xml:space="preserve">jurisdiction was conferred by </w:t>
      </w:r>
      <w:r w:rsidR="007B273E" w:rsidRPr="00365218">
        <w:t xml:space="preserve">the </w:t>
      </w:r>
      <w:r w:rsidR="00BB4FD5" w:rsidRPr="00365218">
        <w:t xml:space="preserve">Brussels </w:t>
      </w:r>
      <w:r w:rsidR="00261B2A" w:rsidRPr="00365218">
        <w:t>regime,</w:t>
      </w:r>
      <w:r w:rsidR="00BB4FD5" w:rsidRPr="00365218">
        <w:t xml:space="preserve"> yet no other Member state was concerned with the proceedings.</w:t>
      </w:r>
    </w:p>
    <w:p w14:paraId="03B5B1CF" w14:textId="2A0CAB97" w:rsidR="009A1805" w:rsidRPr="00365218" w:rsidRDefault="009A1805" w:rsidP="00365218">
      <w:pPr>
        <w:pStyle w:val="C-BaseEnglishText"/>
      </w:pPr>
      <w:r w:rsidRPr="00365218">
        <w:t xml:space="preserve">Consequently, limited </w:t>
      </w:r>
      <w:r w:rsidRPr="00365218">
        <w:rPr>
          <w:i/>
          <w:iCs/>
        </w:rPr>
        <w:t xml:space="preserve">forum non conveniens </w:t>
      </w:r>
      <w:r w:rsidRPr="00365218">
        <w:t>doctrine is arguably present in Brussels Ibis Regulation.</w:t>
      </w:r>
      <w:r w:rsidRPr="00365218">
        <w:rPr>
          <w:rStyle w:val="Znakapoznpodarou"/>
        </w:rPr>
        <w:footnoteReference w:id="86"/>
      </w:r>
      <w:r w:rsidRPr="00365218">
        <w:t xml:space="preserve"> Art. 33(1)(b) stipulates the right of </w:t>
      </w:r>
      <w:r w:rsidR="007B273E" w:rsidRPr="00365218">
        <w:t xml:space="preserve">the </w:t>
      </w:r>
      <w:r w:rsidRPr="00365218">
        <w:t xml:space="preserve">seized court to stay its proceedings should </w:t>
      </w:r>
      <w:r w:rsidRPr="00365218">
        <w:rPr>
          <w:i/>
          <w:iCs/>
        </w:rPr>
        <w:t>lis pendens</w:t>
      </w:r>
      <w:r w:rsidRPr="00365218">
        <w:t xml:space="preserve"> requirements be met in relation to non-EU Member State court</w:t>
      </w:r>
      <w:r w:rsidR="008D58BF" w:rsidRPr="00365218">
        <w:t>,</w:t>
      </w:r>
      <w:r w:rsidRPr="00365218">
        <w:t xml:space="preserve"> and the seized EU court is satisfied that a stay is </w:t>
      </w:r>
      <w:r w:rsidR="00343CA5" w:rsidRPr="00365218">
        <w:t>“</w:t>
      </w:r>
      <w:r w:rsidRPr="00365218">
        <w:rPr>
          <w:i/>
          <w:iCs/>
        </w:rPr>
        <w:t>necessary for the proper administration of justice</w:t>
      </w:r>
      <w:r w:rsidR="00343CA5" w:rsidRPr="00365218">
        <w:t>”</w:t>
      </w:r>
      <w:r w:rsidRPr="00365218">
        <w:rPr>
          <w:rStyle w:val="Znakapoznpodarou"/>
        </w:rPr>
        <w:footnoteReference w:id="87"/>
      </w:r>
      <w:r w:rsidRPr="00365218">
        <w:t>. Assessment</w:t>
      </w:r>
      <w:r w:rsidR="008D58BF" w:rsidRPr="00365218">
        <w:t xml:space="preserve"> of the necessity</w:t>
      </w:r>
      <w:r w:rsidRPr="00365218">
        <w:t xml:space="preserve"> is to be made in accordance </w:t>
      </w:r>
      <w:r w:rsidR="008D58BF" w:rsidRPr="00365218">
        <w:t>with</w:t>
      </w:r>
      <w:r w:rsidRPr="00365218">
        <w:t xml:space="preserve"> recital 24 of the Brussels Ibis Regulation.</w:t>
      </w:r>
    </w:p>
    <w:p w14:paraId="7F3E3C23" w14:textId="0A541D87" w:rsidR="00265B23" w:rsidRPr="00365218" w:rsidRDefault="00B2494A" w:rsidP="00B2494A">
      <w:pPr>
        <w:pStyle w:val="C-HeadingNumbered1"/>
      </w:pPr>
      <w:r w:rsidRPr="00365218">
        <w:t>Brexit and established CJEU case law</w:t>
      </w:r>
    </w:p>
    <w:p w14:paraId="57FD8395" w14:textId="2B38F74A" w:rsidR="00B2494A" w:rsidRPr="00365218" w:rsidRDefault="00B2494A" w:rsidP="00365218">
      <w:pPr>
        <w:pStyle w:val="C-BaseEnglishText"/>
      </w:pPr>
      <w:r w:rsidRPr="00365218">
        <w:t>All England courts but the Supreme Court and High Court of Justiciary</w:t>
      </w:r>
      <w:r w:rsidRPr="00365218">
        <w:rPr>
          <w:rStyle w:val="Znakapoznpodarou"/>
        </w:rPr>
        <w:footnoteReference w:id="88"/>
      </w:r>
      <w:r w:rsidRPr="00365218">
        <w:t xml:space="preserve"> are bound by retained CJEU case law forming part of EU law before the Brexit took place</w:t>
      </w:r>
      <w:r w:rsidRPr="00365218">
        <w:rPr>
          <w:rStyle w:val="Znakapoznpodarou"/>
        </w:rPr>
        <w:footnoteReference w:id="89"/>
      </w:r>
      <w:r w:rsidRPr="00365218">
        <w:t xml:space="preserve">. However, both courts have the </w:t>
      </w:r>
      <w:r w:rsidR="007B273E" w:rsidRPr="00365218">
        <w:t>inherent</w:t>
      </w:r>
      <w:r w:rsidRPr="00365218">
        <w:t xml:space="preserve"> right to depart from such law, the same fashion as it may be departed from previous domestic law.</w:t>
      </w:r>
      <w:r w:rsidRPr="00365218">
        <w:rPr>
          <w:rStyle w:val="Znakapoznpodarou"/>
        </w:rPr>
        <w:footnoteReference w:id="90"/>
      </w:r>
    </w:p>
    <w:p w14:paraId="6E68EB67" w14:textId="4C3D426F" w:rsidR="00B2494A" w:rsidRPr="00365218" w:rsidRDefault="00AA6027" w:rsidP="00365218">
      <w:pPr>
        <w:pStyle w:val="C-BaseEnglishText"/>
      </w:pPr>
      <w:r w:rsidRPr="00365218">
        <w:t>Considering</w:t>
      </w:r>
      <w:r w:rsidR="00B2494A" w:rsidRPr="00365218">
        <w:t xml:space="preserve"> </w:t>
      </w:r>
      <w:r w:rsidR="003807F4" w:rsidRPr="00365218">
        <w:t>the</w:t>
      </w:r>
      <w:r w:rsidRPr="00365218">
        <w:t xml:space="preserve"> return to the position taken in </w:t>
      </w:r>
      <w:r w:rsidRPr="00365218">
        <w:rPr>
          <w:i/>
          <w:iCs/>
        </w:rPr>
        <w:t>Re Harrods</w:t>
      </w:r>
      <w:r w:rsidRPr="00365218">
        <w:t xml:space="preserve"> regarding the refusal of </w:t>
      </w:r>
      <w:r w:rsidR="00D00632" w:rsidRPr="00365218">
        <w:t>proper</w:t>
      </w:r>
      <w:r w:rsidRPr="00365218">
        <w:t xml:space="preserve"> jurisdiction conferred by the Brussels or Lugano regime</w:t>
      </w:r>
      <w:r w:rsidR="003807F4" w:rsidRPr="00365218">
        <w:t xml:space="preserve">. Even after </w:t>
      </w:r>
      <w:r w:rsidR="003807F4" w:rsidRPr="00365218">
        <w:rPr>
          <w:i/>
          <w:iCs/>
        </w:rPr>
        <w:t xml:space="preserve">Owusu </w:t>
      </w:r>
      <w:r w:rsidR="003807F4" w:rsidRPr="00365218">
        <w:t>ruling,</w:t>
      </w:r>
      <w:r w:rsidRPr="00365218">
        <w:t xml:space="preserve"> </w:t>
      </w:r>
      <w:r w:rsidR="00343CA5" w:rsidRPr="00365218">
        <w:t>“</w:t>
      </w:r>
      <w:r w:rsidRPr="00365218">
        <w:rPr>
          <w:i/>
          <w:iCs/>
        </w:rPr>
        <w:t xml:space="preserve">For the English court to refuse jurisdiction, in a case against a person domiciled in England, on the ground that the court of some non-contracting state is the more appropriate court to decide the matters in issue does not in any way impair the object of the Convention of establishing an expeditious, harmonious, and, I would add, certain, procedure for securing the enforcement of judgments, since ex </w:t>
      </w:r>
      <w:proofErr w:type="spellStart"/>
      <w:r w:rsidRPr="00365218">
        <w:rPr>
          <w:i/>
          <w:iCs/>
        </w:rPr>
        <w:t>hypothesi</w:t>
      </w:r>
      <w:proofErr w:type="spellEnd"/>
      <w:r w:rsidRPr="00365218">
        <w:rPr>
          <w:i/>
          <w:iCs/>
        </w:rPr>
        <w:t xml:space="preserve"> if the English court refuses jurisdiction there will be no judgment of the English court to be enforced in the other contracting states. Equally and for the same reason such a refusal of jurisdiction would not impair the object of the Convention that there should, subject to the very large exception of article 4, be a uniform international jurisdiction for obtaining the judgments which are to be so enforced.</w:t>
      </w:r>
      <w:r w:rsidR="00343CA5" w:rsidRPr="00365218">
        <w:t>”</w:t>
      </w:r>
      <w:r w:rsidRPr="00365218">
        <w:rPr>
          <w:rStyle w:val="Znakapoznpodarou"/>
        </w:rPr>
        <w:footnoteReference w:id="91"/>
      </w:r>
      <w:r w:rsidRPr="00365218">
        <w:t>, one might argue the English courts will want to make the as-of-right to stay proceedings again available.</w:t>
      </w:r>
      <w:r w:rsidR="00954D11" w:rsidRPr="00365218">
        <w:rPr>
          <w:rStyle w:val="Znakapoznpodarou"/>
        </w:rPr>
        <w:footnoteReference w:id="92"/>
      </w:r>
    </w:p>
    <w:p w14:paraId="055048CD" w14:textId="30EE3B68" w:rsidR="006A07A2" w:rsidRPr="00365218" w:rsidRDefault="006A07A2" w:rsidP="006A07A2">
      <w:pPr>
        <w:pStyle w:val="C-HeadingNumbered1"/>
      </w:pPr>
      <w:r w:rsidRPr="00365218">
        <w:t>Future of the English judicial model and applicability of Forum Non Conveniens doctrine</w:t>
      </w:r>
    </w:p>
    <w:p w14:paraId="15FCA31B" w14:textId="41B8141B" w:rsidR="006A07A2" w:rsidRPr="00365218" w:rsidRDefault="006A07A2" w:rsidP="00365218">
      <w:pPr>
        <w:pStyle w:val="C-BaseEnglishText"/>
      </w:pPr>
      <w:r w:rsidRPr="00365218">
        <w:t>The UK is currently presented with multiple hypothetical options</w:t>
      </w:r>
      <w:r w:rsidR="00254FBB">
        <w:t>,</w:t>
      </w:r>
      <w:r w:rsidRPr="00365218">
        <w:t xml:space="preserve"> </w:t>
      </w:r>
      <w:r w:rsidR="005F79E0">
        <w:t>part of</w:t>
      </w:r>
      <w:r w:rsidR="005F79E0" w:rsidRPr="00365218">
        <w:t xml:space="preserve"> </w:t>
      </w:r>
      <w:r w:rsidRPr="00365218">
        <w:t xml:space="preserve">which is already known </w:t>
      </w:r>
      <w:r w:rsidR="005F79E0">
        <w:t>not to</w:t>
      </w:r>
      <w:r w:rsidR="0010786C">
        <w:t xml:space="preserve"> </w:t>
      </w:r>
      <w:r w:rsidRPr="00365218">
        <w:t xml:space="preserve">be </w:t>
      </w:r>
      <w:r w:rsidR="008E6BED">
        <w:t xml:space="preserve">currently </w:t>
      </w:r>
      <w:r w:rsidRPr="00365218">
        <w:t xml:space="preserve">feasible. </w:t>
      </w:r>
      <w:r w:rsidR="00BF2CC2" w:rsidRPr="00365218">
        <w:t xml:space="preserve">Concerning the jurisdiction </w:t>
      </w:r>
      <w:r w:rsidR="00444E52" w:rsidRPr="00365218">
        <w:t>allocation,</w:t>
      </w:r>
      <w:r w:rsidR="00BF2CC2" w:rsidRPr="00365218">
        <w:t xml:space="preserve"> t</w:t>
      </w:r>
      <w:r w:rsidRPr="00365218">
        <w:t>he UK may either (</w:t>
      </w:r>
      <w:r w:rsidRPr="00365218">
        <w:rPr>
          <w:b/>
          <w:bCs/>
        </w:rPr>
        <w:t>a</w:t>
      </w:r>
      <w:r w:rsidRPr="00365218">
        <w:t>) join the Lugano Convention</w:t>
      </w:r>
      <w:r w:rsidR="00A60753" w:rsidRPr="00365218">
        <w:rPr>
          <w:rStyle w:val="Znakapoznpodarou"/>
        </w:rPr>
        <w:footnoteReference w:id="93"/>
      </w:r>
      <w:r w:rsidRPr="00365218">
        <w:t xml:space="preserve">, </w:t>
      </w:r>
      <w:r w:rsidRPr="00365218">
        <w:rPr>
          <w:b/>
          <w:bCs/>
        </w:rPr>
        <w:t>(b)</w:t>
      </w:r>
      <w:r w:rsidRPr="00365218">
        <w:t xml:space="preserve"> </w:t>
      </w:r>
      <w:r w:rsidR="00C44C65" w:rsidRPr="00365218">
        <w:t xml:space="preserve">apply the Hague </w:t>
      </w:r>
      <w:r w:rsidR="004A50DE" w:rsidRPr="00365218">
        <w:t>c</w:t>
      </w:r>
      <w:r w:rsidR="00C44C65" w:rsidRPr="00365218">
        <w:t xml:space="preserve">onvention </w:t>
      </w:r>
      <w:r w:rsidR="004A50DE" w:rsidRPr="00365218">
        <w:t>regimes,</w:t>
      </w:r>
      <w:r w:rsidRPr="00365218">
        <w:t xml:space="preserve"> (</w:t>
      </w:r>
      <w:r w:rsidRPr="00365218">
        <w:rPr>
          <w:b/>
          <w:bCs/>
        </w:rPr>
        <w:t>c)</w:t>
      </w:r>
      <w:r w:rsidRPr="00365218">
        <w:t xml:space="preserve"> negotiate a new treaty with the EU, or (</w:t>
      </w:r>
      <w:r w:rsidRPr="00365218">
        <w:rPr>
          <w:b/>
          <w:bCs/>
        </w:rPr>
        <w:t>d</w:t>
      </w:r>
      <w:r w:rsidRPr="00365218">
        <w:t>) refrain from all and resort to national law.</w:t>
      </w:r>
      <w:r w:rsidR="00444E52" w:rsidRPr="00365218">
        <w:t xml:space="preserve"> However, allocation of jurisdiction is not the whole picture of private international law. </w:t>
      </w:r>
      <w:r w:rsidR="00797095">
        <w:t xml:space="preserve">The underlying question is not whether </w:t>
      </w:r>
      <w:r w:rsidR="00FB5D7D">
        <w:t>to</w:t>
      </w:r>
      <w:r w:rsidR="00797095">
        <w:t xml:space="preserve"> rely on national law</w:t>
      </w:r>
      <w:r w:rsidR="008E6BED">
        <w:t xml:space="preserve"> being the general</w:t>
      </w:r>
      <w:r w:rsidR="00FB5D7D">
        <w:t xml:space="preserve"> option for civil disputes where </w:t>
      </w:r>
      <w:r w:rsidR="008E6BED">
        <w:t>no</w:t>
      </w:r>
      <w:r w:rsidR="00FB5D7D">
        <w:t xml:space="preserve"> international treaty (or EU law)</w:t>
      </w:r>
      <w:r w:rsidR="008E6BED">
        <w:t xml:space="preserve"> is applicable</w:t>
      </w:r>
      <w:r w:rsidR="00FB5D7D">
        <w:t xml:space="preserve"> </w:t>
      </w:r>
      <w:r w:rsidR="008E6BED">
        <w:t xml:space="preserve">(hence no unified </w:t>
      </w:r>
      <w:r w:rsidR="00FB5D7D">
        <w:t>promulgation</w:t>
      </w:r>
      <w:r w:rsidR="008E6BED">
        <w:t xml:space="preserve"> on</w:t>
      </w:r>
      <w:r w:rsidR="00FB5D7D">
        <w:t xml:space="preserve"> jurisdiction allocation</w:t>
      </w:r>
      <w:r w:rsidR="008E6BED">
        <w:t xml:space="preserve"> exists)</w:t>
      </w:r>
      <w:r w:rsidR="00FB5D7D">
        <w:t>, however, q</w:t>
      </w:r>
      <w:r w:rsidR="00FB5D7D" w:rsidRPr="00365218">
        <w:t>uestion of enforcement and recognition of judgments is equally essential.</w:t>
      </w:r>
    </w:p>
    <w:p w14:paraId="11F9E84F" w14:textId="0B8611FC" w:rsidR="00192E04" w:rsidRPr="00365218" w:rsidRDefault="00BA73EF" w:rsidP="00365218">
      <w:pPr>
        <w:pStyle w:val="C-BaseEnglishText"/>
      </w:pPr>
      <w:r w:rsidRPr="00365218">
        <w:t>T</w:t>
      </w:r>
      <w:r w:rsidR="00B04A5F">
        <w:t>hinking beyond mere jurisdiction allocation, but from the outset primarily with the enforcement of the judgment, t</w:t>
      </w:r>
      <w:r w:rsidRPr="00365218">
        <w:t>he least</w:t>
      </w:r>
      <w:r w:rsidR="006A07A2" w:rsidRPr="00365218">
        <w:t xml:space="preserve"> </w:t>
      </w:r>
      <w:r w:rsidR="00D00632" w:rsidRPr="00365218">
        <w:t>attractive</w:t>
      </w:r>
      <w:r w:rsidR="006A07A2" w:rsidRPr="00365218">
        <w:t xml:space="preserve"> to private international law is option (</w:t>
      </w:r>
      <w:r w:rsidR="006A07A2" w:rsidRPr="00365218">
        <w:rPr>
          <w:b/>
          <w:bCs/>
        </w:rPr>
        <w:t>d</w:t>
      </w:r>
      <w:r w:rsidR="006A07A2" w:rsidRPr="00365218">
        <w:t>)</w:t>
      </w:r>
      <w:r w:rsidR="003102D9" w:rsidRPr="00365218">
        <w:t>,</w:t>
      </w:r>
      <w:r w:rsidR="006A07A2" w:rsidRPr="00365218">
        <w:t xml:space="preserve"> as the only relevant question would be whether </w:t>
      </w:r>
      <w:r w:rsidR="003102D9" w:rsidRPr="00365218">
        <w:t xml:space="preserve">the </w:t>
      </w:r>
      <w:r w:rsidR="006A07A2" w:rsidRPr="00365218">
        <w:t>UK retains the CJE</w:t>
      </w:r>
      <w:r w:rsidR="00C94ADA" w:rsidRPr="00365218">
        <w:t>U</w:t>
      </w:r>
      <w:r w:rsidR="006A07A2" w:rsidRPr="00365218">
        <w:t xml:space="preserve"> ruling in </w:t>
      </w:r>
      <w:r w:rsidR="006A07A2" w:rsidRPr="00365218">
        <w:rPr>
          <w:i/>
          <w:iCs/>
        </w:rPr>
        <w:t>Owusu</w:t>
      </w:r>
      <w:r w:rsidR="006A07A2" w:rsidRPr="00365218">
        <w:t xml:space="preserve"> or not</w:t>
      </w:r>
      <w:r w:rsidR="00192E04" w:rsidRPr="00365218">
        <w:t xml:space="preserve">. Consequently, this option seems inapplicable in its merits as </w:t>
      </w:r>
      <w:r w:rsidR="003102D9" w:rsidRPr="00365218">
        <w:t xml:space="preserve">the </w:t>
      </w:r>
      <w:r w:rsidR="00192E04" w:rsidRPr="00365218">
        <w:t>UK already acceded to the Hague Convention 2005 framework in its own right</w:t>
      </w:r>
      <w:r w:rsidR="00192E04" w:rsidRPr="00365218">
        <w:rPr>
          <w:rStyle w:val="Znakapoznpodarou"/>
        </w:rPr>
        <w:footnoteReference w:id="94"/>
      </w:r>
      <w:r w:rsidR="00417277" w:rsidRPr="00365218">
        <w:t>. It may</w:t>
      </w:r>
      <w:r w:rsidR="003102D9" w:rsidRPr="00365218">
        <w:t>,</w:t>
      </w:r>
      <w:r w:rsidR="00417277" w:rsidRPr="00365218">
        <w:t xml:space="preserve"> however</w:t>
      </w:r>
      <w:r w:rsidR="003102D9" w:rsidRPr="00365218">
        <w:t>,</w:t>
      </w:r>
      <w:r w:rsidR="00417277" w:rsidRPr="00365218">
        <w:t xml:space="preserve"> be of interest regarding judgment recognition and enforcement.</w:t>
      </w:r>
    </w:p>
    <w:p w14:paraId="3BDF750D" w14:textId="32885964" w:rsidR="006A07A2" w:rsidRPr="00365218" w:rsidRDefault="006A07A2" w:rsidP="00365218">
      <w:pPr>
        <w:pStyle w:val="C-BaseEnglishText"/>
      </w:pPr>
      <w:r w:rsidRPr="00365218">
        <w:t>Second</w:t>
      </w:r>
      <w:r w:rsidR="003102D9" w:rsidRPr="00365218">
        <w:t>,</w:t>
      </w:r>
      <w:r w:rsidRPr="00365218">
        <w:t xml:space="preserve"> to last, option (</w:t>
      </w:r>
      <w:r w:rsidRPr="00365218">
        <w:rPr>
          <w:b/>
          <w:bCs/>
        </w:rPr>
        <w:t>c</w:t>
      </w:r>
      <w:r w:rsidRPr="00365218">
        <w:t>) seems</w:t>
      </w:r>
      <w:r w:rsidR="00954D11" w:rsidRPr="00365218">
        <w:t>,</w:t>
      </w:r>
      <w:r w:rsidRPr="00365218">
        <w:t xml:space="preserve"> in light of the difficulties alongside Brexit and political unfriendliness between UK and EU</w:t>
      </w:r>
      <w:r w:rsidR="00954D11" w:rsidRPr="00365218">
        <w:t>, hardly feasible.</w:t>
      </w:r>
      <w:r w:rsidR="005979FC">
        <w:t xml:space="preserve"> And if applicable, any presumption of its content and scope would be hard to foresee, as no one expected the “hard Brexit” to occur anyway.</w:t>
      </w:r>
      <w:r w:rsidR="00954D11" w:rsidRPr="00365218">
        <w:t xml:space="preserve"> Therefore, we are left with </w:t>
      </w:r>
      <w:r w:rsidR="003102D9" w:rsidRPr="00365218">
        <w:t>options</w:t>
      </w:r>
      <w:r w:rsidR="00954D11" w:rsidRPr="00365218">
        <w:t xml:space="preserve"> (</w:t>
      </w:r>
      <w:r w:rsidR="00954D11" w:rsidRPr="00365218">
        <w:rPr>
          <w:b/>
          <w:bCs/>
        </w:rPr>
        <w:t>a</w:t>
      </w:r>
      <w:r w:rsidR="00954D11" w:rsidRPr="00365218">
        <w:t>) and (</w:t>
      </w:r>
      <w:r w:rsidR="00954D11" w:rsidRPr="00365218">
        <w:rPr>
          <w:b/>
          <w:bCs/>
        </w:rPr>
        <w:t>b</w:t>
      </w:r>
      <w:r w:rsidR="00954D11" w:rsidRPr="00365218">
        <w:t>) to discuss.</w:t>
      </w:r>
    </w:p>
    <w:p w14:paraId="4E2BFA22" w14:textId="277EF83D" w:rsidR="00954D11" w:rsidRPr="00365218" w:rsidRDefault="00954D11" w:rsidP="00954D11">
      <w:pPr>
        <w:pStyle w:val="C-HeadingNumbered2"/>
      </w:pPr>
      <w:bookmarkStart w:id="0" w:name="_Ref80109957"/>
      <w:r w:rsidRPr="00365218">
        <w:t>Lugano Convention and Forum Non Conveniens</w:t>
      </w:r>
      <w:bookmarkEnd w:id="0"/>
      <w:r w:rsidR="00512A71" w:rsidRPr="00365218">
        <w:t xml:space="preserve"> doctrine</w:t>
      </w:r>
    </w:p>
    <w:p w14:paraId="4D05F5C8" w14:textId="59A82E44" w:rsidR="00512A71" w:rsidRPr="00365218" w:rsidRDefault="00512A71" w:rsidP="00512A71">
      <w:pPr>
        <w:pStyle w:val="C-BaseText"/>
        <w:rPr>
          <w:sz w:val="22"/>
        </w:rPr>
      </w:pPr>
      <w:r w:rsidRPr="00365218">
        <w:rPr>
          <w:sz w:val="22"/>
        </w:rPr>
        <w:t xml:space="preserve">As mentioned, </w:t>
      </w:r>
      <w:r w:rsidR="003102D9" w:rsidRPr="00365218">
        <w:rPr>
          <w:sz w:val="22"/>
        </w:rPr>
        <w:t xml:space="preserve">the </w:t>
      </w:r>
      <w:r w:rsidRPr="00365218">
        <w:rPr>
          <w:sz w:val="22"/>
        </w:rPr>
        <w:t>UK may depart from any retained EU law unless accession to Lugano Convention is made.</w:t>
      </w:r>
      <w:r w:rsidRPr="00365218">
        <w:rPr>
          <w:rStyle w:val="Znakapoznpodarou"/>
          <w:sz w:val="22"/>
        </w:rPr>
        <w:footnoteReference w:id="95"/>
      </w:r>
      <w:r w:rsidR="00A60753" w:rsidRPr="00365218">
        <w:rPr>
          <w:sz w:val="22"/>
        </w:rPr>
        <w:t xml:space="preserve"> Pursuant </w:t>
      </w:r>
      <w:r w:rsidR="007B273E" w:rsidRPr="00365218">
        <w:rPr>
          <w:sz w:val="22"/>
        </w:rPr>
        <w:t>art</w:t>
      </w:r>
      <w:r w:rsidR="00A60753" w:rsidRPr="00365218">
        <w:rPr>
          <w:sz w:val="22"/>
        </w:rPr>
        <w:t>. 72(3) of the Lugano Convention</w:t>
      </w:r>
      <w:r w:rsidR="003102D9" w:rsidRPr="00365218">
        <w:rPr>
          <w:sz w:val="22"/>
        </w:rPr>
        <w:t>,</w:t>
      </w:r>
      <w:r w:rsidR="00A60753" w:rsidRPr="00365218">
        <w:rPr>
          <w:sz w:val="22"/>
        </w:rPr>
        <w:t xml:space="preserve"> the accession of </w:t>
      </w:r>
      <w:r w:rsidR="003102D9" w:rsidRPr="00365218">
        <w:rPr>
          <w:sz w:val="22"/>
        </w:rPr>
        <w:t xml:space="preserve">a </w:t>
      </w:r>
      <w:r w:rsidR="00A60753" w:rsidRPr="00365218">
        <w:rPr>
          <w:sz w:val="22"/>
        </w:rPr>
        <w:t xml:space="preserve">new contracting party requires </w:t>
      </w:r>
      <w:r w:rsidR="00DC3EDB" w:rsidRPr="00365218">
        <w:rPr>
          <w:sz w:val="22"/>
        </w:rPr>
        <w:t xml:space="preserve">unanimous agreement. Alternatively, </w:t>
      </w:r>
      <w:r w:rsidR="003102D9" w:rsidRPr="00365218">
        <w:rPr>
          <w:sz w:val="22"/>
        </w:rPr>
        <w:t xml:space="preserve">the </w:t>
      </w:r>
      <w:r w:rsidR="00DC3EDB" w:rsidRPr="00365218">
        <w:rPr>
          <w:sz w:val="22"/>
        </w:rPr>
        <w:t xml:space="preserve">UK might have opted to join EFTA, in which case the </w:t>
      </w:r>
      <w:r w:rsidR="007B273E" w:rsidRPr="00365218">
        <w:rPr>
          <w:sz w:val="22"/>
        </w:rPr>
        <w:t>art</w:t>
      </w:r>
      <w:r w:rsidR="00DC3EDB" w:rsidRPr="00365218">
        <w:rPr>
          <w:sz w:val="22"/>
        </w:rPr>
        <w:t xml:space="preserve">. 71 of the Lugano Convention would supersede </w:t>
      </w:r>
      <w:r w:rsidR="007B273E" w:rsidRPr="00365218">
        <w:rPr>
          <w:sz w:val="22"/>
        </w:rPr>
        <w:t>art</w:t>
      </w:r>
      <w:r w:rsidR="00DC3EDB" w:rsidRPr="00365218">
        <w:rPr>
          <w:sz w:val="22"/>
        </w:rPr>
        <w:t>. 72.</w:t>
      </w:r>
      <w:r w:rsidR="00DC3EDB" w:rsidRPr="00365218">
        <w:rPr>
          <w:rStyle w:val="Znakapoznpodarou"/>
          <w:sz w:val="22"/>
        </w:rPr>
        <w:footnoteReference w:id="96"/>
      </w:r>
      <w:r w:rsidR="00DC3EDB" w:rsidRPr="00365218">
        <w:rPr>
          <w:sz w:val="22"/>
        </w:rPr>
        <w:t xml:space="preserve"> EFTA membership </w:t>
      </w:r>
      <w:r w:rsidR="00D5534B" w:rsidRPr="00365218">
        <w:rPr>
          <w:sz w:val="22"/>
        </w:rPr>
        <w:t>yet</w:t>
      </w:r>
      <w:r w:rsidR="00DC3EDB" w:rsidRPr="00365218">
        <w:rPr>
          <w:sz w:val="22"/>
        </w:rPr>
        <w:t xml:space="preserve"> seems unlikely.</w:t>
      </w:r>
      <w:r w:rsidR="00DC3EDB" w:rsidRPr="00365218">
        <w:rPr>
          <w:rStyle w:val="Znakapoznpodarou"/>
          <w:sz w:val="22"/>
        </w:rPr>
        <w:footnoteReference w:id="97"/>
      </w:r>
    </w:p>
    <w:p w14:paraId="6ABFD001" w14:textId="4FAFB133" w:rsidR="00C907BC" w:rsidRPr="00365218" w:rsidRDefault="00DC3EDB" w:rsidP="00512A71">
      <w:pPr>
        <w:pStyle w:val="C-BaseText"/>
        <w:rPr>
          <w:sz w:val="22"/>
        </w:rPr>
      </w:pPr>
      <w:r w:rsidRPr="00365218">
        <w:rPr>
          <w:sz w:val="22"/>
        </w:rPr>
        <w:t xml:space="preserve">Should </w:t>
      </w:r>
      <w:r w:rsidR="00D5534B" w:rsidRPr="00365218">
        <w:rPr>
          <w:sz w:val="22"/>
        </w:rPr>
        <w:t xml:space="preserve">the </w:t>
      </w:r>
      <w:r w:rsidRPr="00365218">
        <w:rPr>
          <w:sz w:val="22"/>
        </w:rPr>
        <w:t xml:space="preserve">UK accede to the Lugano Convention, the position of </w:t>
      </w:r>
      <w:r w:rsidR="00D5534B" w:rsidRPr="00365218">
        <w:rPr>
          <w:sz w:val="22"/>
        </w:rPr>
        <w:t xml:space="preserve">the </w:t>
      </w:r>
      <w:r w:rsidRPr="00365218">
        <w:rPr>
          <w:sz w:val="22"/>
        </w:rPr>
        <w:t xml:space="preserve">English court </w:t>
      </w:r>
      <w:r w:rsidR="005C5FCD" w:rsidRPr="00365218">
        <w:rPr>
          <w:sz w:val="22"/>
        </w:rPr>
        <w:t>regarding</w:t>
      </w:r>
      <w:r w:rsidRPr="00365218">
        <w:rPr>
          <w:sz w:val="22"/>
        </w:rPr>
        <w:t xml:space="preserve"> </w:t>
      </w:r>
      <w:r w:rsidR="00D5534B" w:rsidRPr="00365218">
        <w:rPr>
          <w:sz w:val="22"/>
        </w:rPr>
        <w:t xml:space="preserve">the </w:t>
      </w:r>
      <w:r w:rsidRPr="00365218">
        <w:rPr>
          <w:sz w:val="22"/>
        </w:rPr>
        <w:t>as-of-right stay of proceedings would remain unchanged based on two paradigms. Brussels instruments</w:t>
      </w:r>
      <w:r w:rsidRPr="00365218">
        <w:rPr>
          <w:rStyle w:val="Znakapoznpodarou"/>
          <w:sz w:val="22"/>
        </w:rPr>
        <w:footnoteReference w:id="98"/>
      </w:r>
      <w:r w:rsidRPr="00365218">
        <w:rPr>
          <w:sz w:val="22"/>
        </w:rPr>
        <w:t xml:space="preserve"> and </w:t>
      </w:r>
      <w:r w:rsidR="00D5534B" w:rsidRPr="00365218">
        <w:rPr>
          <w:sz w:val="22"/>
        </w:rPr>
        <w:t xml:space="preserve">the </w:t>
      </w:r>
      <w:r w:rsidRPr="00365218">
        <w:rPr>
          <w:sz w:val="22"/>
        </w:rPr>
        <w:t xml:space="preserve">Lugano convention form a </w:t>
      </w:r>
      <w:r w:rsidR="00343CA5" w:rsidRPr="00365218">
        <w:rPr>
          <w:sz w:val="22"/>
        </w:rPr>
        <w:t>“</w:t>
      </w:r>
      <w:r w:rsidRPr="00365218">
        <w:rPr>
          <w:i/>
          <w:iCs/>
          <w:sz w:val="22"/>
        </w:rPr>
        <w:t>closed system</w:t>
      </w:r>
      <w:r w:rsidR="00343CA5" w:rsidRPr="00365218">
        <w:rPr>
          <w:sz w:val="22"/>
        </w:rPr>
        <w:t>”</w:t>
      </w:r>
      <w:r w:rsidR="00932539" w:rsidRPr="00365218">
        <w:rPr>
          <w:rStyle w:val="Znakapoznpodarou"/>
          <w:sz w:val="22"/>
        </w:rPr>
        <w:footnoteReference w:id="99"/>
      </w:r>
      <w:r w:rsidRPr="00365218">
        <w:rPr>
          <w:sz w:val="22"/>
        </w:rPr>
        <w:t xml:space="preserve"> of </w:t>
      </w:r>
      <w:r w:rsidR="00D5534B" w:rsidRPr="00365218">
        <w:rPr>
          <w:sz w:val="22"/>
        </w:rPr>
        <w:t xml:space="preserve">the </w:t>
      </w:r>
      <w:r w:rsidRPr="00365218">
        <w:rPr>
          <w:sz w:val="22"/>
        </w:rPr>
        <w:t>Brussels-Lugano zone.</w:t>
      </w:r>
    </w:p>
    <w:p w14:paraId="5BD2C75F" w14:textId="0817C162" w:rsidR="00DC3EDB" w:rsidRPr="00365218" w:rsidRDefault="00C36C70" w:rsidP="00512A71">
      <w:pPr>
        <w:pStyle w:val="C-BaseText"/>
        <w:rPr>
          <w:sz w:val="22"/>
        </w:rPr>
      </w:pPr>
      <w:r w:rsidRPr="00365218">
        <w:rPr>
          <w:sz w:val="22"/>
        </w:rPr>
        <w:t xml:space="preserve">Protocol 2 to Lugano Convention promulgates </w:t>
      </w:r>
      <w:r w:rsidR="00D5534B" w:rsidRPr="00365218">
        <w:rPr>
          <w:sz w:val="22"/>
        </w:rPr>
        <w:t xml:space="preserve">a </w:t>
      </w:r>
      <w:r w:rsidRPr="00365218">
        <w:rPr>
          <w:sz w:val="22"/>
        </w:rPr>
        <w:t xml:space="preserve">substantial link </w:t>
      </w:r>
      <w:r w:rsidR="002D133E" w:rsidRPr="00365218">
        <w:rPr>
          <w:sz w:val="22"/>
        </w:rPr>
        <w:t>to Brussels I Regulation, making both identical in different spheres of territorial application.</w:t>
      </w:r>
      <w:r w:rsidR="002D133E" w:rsidRPr="00365218">
        <w:rPr>
          <w:rStyle w:val="Znakapoznpodarou"/>
          <w:sz w:val="22"/>
        </w:rPr>
        <w:footnoteReference w:id="100"/>
      </w:r>
      <w:r w:rsidR="009275CB" w:rsidRPr="00365218">
        <w:rPr>
          <w:sz w:val="22"/>
        </w:rPr>
        <w:t xml:space="preserve"> Alterations to </w:t>
      </w:r>
      <w:r w:rsidR="00D5534B" w:rsidRPr="00365218">
        <w:rPr>
          <w:sz w:val="22"/>
        </w:rPr>
        <w:t xml:space="preserve">the </w:t>
      </w:r>
      <w:r w:rsidR="009275CB" w:rsidRPr="00365218">
        <w:rPr>
          <w:sz w:val="22"/>
        </w:rPr>
        <w:t>1998 Lugano Convention</w:t>
      </w:r>
      <w:r w:rsidR="009275CB" w:rsidRPr="00365218">
        <w:rPr>
          <w:rStyle w:val="Znakapoznpodarou"/>
          <w:sz w:val="22"/>
        </w:rPr>
        <w:footnoteReference w:id="101"/>
      </w:r>
      <w:r w:rsidR="009275CB" w:rsidRPr="00365218">
        <w:rPr>
          <w:sz w:val="22"/>
        </w:rPr>
        <w:t xml:space="preserve"> were made to reflect changes done in respect to </w:t>
      </w:r>
      <w:r w:rsidR="00C907BC" w:rsidRPr="00365218">
        <w:rPr>
          <w:sz w:val="22"/>
        </w:rPr>
        <w:t xml:space="preserve">Brussels Convention and </w:t>
      </w:r>
      <w:r w:rsidR="009275CB" w:rsidRPr="00365218">
        <w:rPr>
          <w:sz w:val="22"/>
        </w:rPr>
        <w:t>Brussels I Regulation</w:t>
      </w:r>
      <w:r w:rsidR="00C907BC" w:rsidRPr="00365218">
        <w:rPr>
          <w:sz w:val="22"/>
        </w:rPr>
        <w:t xml:space="preserve"> as well as to reflect established CJEU case-law.</w:t>
      </w:r>
      <w:r w:rsidR="00C907BC" w:rsidRPr="00365218">
        <w:rPr>
          <w:rStyle w:val="Znakapoznpodarou"/>
          <w:sz w:val="22"/>
        </w:rPr>
        <w:footnoteReference w:id="102"/>
      </w:r>
      <w:r w:rsidR="00C907BC" w:rsidRPr="00365218">
        <w:rPr>
          <w:sz w:val="22"/>
        </w:rPr>
        <w:t xml:space="preserve"> </w:t>
      </w:r>
      <w:r w:rsidR="00D5534B" w:rsidRPr="00365218">
        <w:rPr>
          <w:sz w:val="22"/>
        </w:rPr>
        <w:t>The material</w:t>
      </w:r>
      <w:r w:rsidR="00C907BC" w:rsidRPr="00365218">
        <w:rPr>
          <w:sz w:val="22"/>
        </w:rPr>
        <w:t xml:space="preserve"> scope has therefore aligned between Lugano Convention and Brussels I Regulation, both in regard to contracting and non-contracting states.</w:t>
      </w:r>
      <w:r w:rsidR="00C907BC" w:rsidRPr="00365218">
        <w:rPr>
          <w:rStyle w:val="Znakapoznpodarou"/>
          <w:sz w:val="22"/>
        </w:rPr>
        <w:footnoteReference w:id="103"/>
      </w:r>
    </w:p>
    <w:p w14:paraId="7C2B5336" w14:textId="4645D7C2" w:rsidR="00C907BC" w:rsidRPr="00365218" w:rsidRDefault="00D70621" w:rsidP="00512A71">
      <w:pPr>
        <w:pStyle w:val="C-BaseText"/>
        <w:rPr>
          <w:sz w:val="22"/>
        </w:rPr>
      </w:pPr>
      <w:r w:rsidRPr="00365218">
        <w:rPr>
          <w:sz w:val="22"/>
        </w:rPr>
        <w:t xml:space="preserve">Consequently, Lugano Convention itself promulgates an obligation of contracting parties </w:t>
      </w:r>
      <w:r w:rsidR="00343CA5" w:rsidRPr="00365218">
        <w:rPr>
          <w:sz w:val="22"/>
        </w:rPr>
        <w:t>“</w:t>
      </w:r>
      <w:r w:rsidRPr="00365218">
        <w:rPr>
          <w:i/>
          <w:iCs/>
          <w:sz w:val="22"/>
        </w:rPr>
        <w:t>pay due account to the principles laid down by any relevant decision [...] by the courts of the States bound by this Convention and by the Court of Justice of the European Communities</w:t>
      </w:r>
      <w:r w:rsidR="00343CA5" w:rsidRPr="00365218">
        <w:rPr>
          <w:sz w:val="22"/>
        </w:rPr>
        <w:t>”</w:t>
      </w:r>
      <w:r w:rsidRPr="00365218">
        <w:rPr>
          <w:rStyle w:val="Znakapoznpodarou"/>
          <w:sz w:val="22"/>
        </w:rPr>
        <w:footnoteReference w:id="104"/>
      </w:r>
      <w:r w:rsidRPr="00365218">
        <w:rPr>
          <w:sz w:val="22"/>
        </w:rPr>
        <w:t xml:space="preserve"> aimed to prevent different interpretation of corresponding provisions of Brussels Regulations and Lugano Convention.</w:t>
      </w:r>
      <w:r w:rsidRPr="00365218">
        <w:rPr>
          <w:rStyle w:val="Znakapoznpodarou"/>
          <w:sz w:val="22"/>
        </w:rPr>
        <w:footnoteReference w:id="105"/>
      </w:r>
      <w:r w:rsidRPr="00365218">
        <w:rPr>
          <w:sz w:val="22"/>
        </w:rPr>
        <w:t xml:space="preserve"> This approach seeks </w:t>
      </w:r>
      <w:r w:rsidR="00343CA5" w:rsidRPr="00365218">
        <w:rPr>
          <w:sz w:val="22"/>
        </w:rPr>
        <w:t>“</w:t>
      </w:r>
      <w:r w:rsidRPr="00365218">
        <w:rPr>
          <w:i/>
          <w:iCs/>
          <w:sz w:val="22"/>
        </w:rPr>
        <w:t>to arrive at as uniform an interpretation as possible</w:t>
      </w:r>
      <w:r w:rsidR="00343CA5" w:rsidRPr="00365218">
        <w:rPr>
          <w:sz w:val="22"/>
        </w:rPr>
        <w:t>”</w:t>
      </w:r>
      <w:r w:rsidRPr="00365218">
        <w:rPr>
          <w:rStyle w:val="Znakapoznpodarou"/>
          <w:sz w:val="22"/>
        </w:rPr>
        <w:footnoteReference w:id="106"/>
      </w:r>
      <w:r w:rsidR="00CE23BA" w:rsidRPr="00365218">
        <w:rPr>
          <w:sz w:val="22"/>
        </w:rPr>
        <w:t>.</w:t>
      </w:r>
      <w:r w:rsidR="00564205" w:rsidRPr="00365218">
        <w:rPr>
          <w:sz w:val="22"/>
        </w:rPr>
        <w:t xml:space="preserve"> CJEU is therefore endowed with the interpretation power to Lugano Convention</w:t>
      </w:r>
      <w:r w:rsidR="00D5534B" w:rsidRPr="00365218">
        <w:rPr>
          <w:sz w:val="22"/>
        </w:rPr>
        <w:t>. Hence</w:t>
      </w:r>
      <w:r w:rsidR="00564205" w:rsidRPr="00365218">
        <w:rPr>
          <w:sz w:val="22"/>
        </w:rPr>
        <w:t xml:space="preserve"> CJEU </w:t>
      </w:r>
      <w:r w:rsidR="00D5534B" w:rsidRPr="00365218">
        <w:rPr>
          <w:sz w:val="22"/>
        </w:rPr>
        <w:t>case law</w:t>
      </w:r>
      <w:r w:rsidR="00564205" w:rsidRPr="00365218">
        <w:rPr>
          <w:sz w:val="22"/>
        </w:rPr>
        <w:t xml:space="preserve"> is precedential to Lugano Convention even when rendered based on corresponding Brussels regime articles.</w:t>
      </w:r>
      <w:r w:rsidR="00564205" w:rsidRPr="00365218">
        <w:rPr>
          <w:rStyle w:val="Znakapoznpodarou"/>
          <w:sz w:val="22"/>
        </w:rPr>
        <w:footnoteReference w:id="107"/>
      </w:r>
      <w:r w:rsidR="00D63C84" w:rsidRPr="00365218">
        <w:rPr>
          <w:sz w:val="22"/>
        </w:rPr>
        <w:t xml:space="preserve"> However, CJEU ought to note non-EU member states when issuing a decision relating to </w:t>
      </w:r>
      <w:r w:rsidR="00D5534B" w:rsidRPr="00365218">
        <w:rPr>
          <w:sz w:val="22"/>
        </w:rPr>
        <w:t xml:space="preserve">the </w:t>
      </w:r>
      <w:r w:rsidR="00D63C84" w:rsidRPr="00365218">
        <w:rPr>
          <w:sz w:val="22"/>
        </w:rPr>
        <w:t xml:space="preserve">Lugano </w:t>
      </w:r>
      <w:r w:rsidR="00D5534B" w:rsidRPr="00365218">
        <w:rPr>
          <w:sz w:val="22"/>
        </w:rPr>
        <w:t>Convention</w:t>
      </w:r>
      <w:r w:rsidR="00D63C84" w:rsidRPr="00365218">
        <w:rPr>
          <w:sz w:val="22"/>
        </w:rPr>
        <w:t>.</w:t>
      </w:r>
      <w:r w:rsidR="00D63C84" w:rsidRPr="00365218">
        <w:rPr>
          <w:rStyle w:val="Znakapoznpodarou"/>
          <w:sz w:val="22"/>
        </w:rPr>
        <w:footnoteReference w:id="108"/>
      </w:r>
      <w:r w:rsidR="00D63C84" w:rsidRPr="00365218">
        <w:rPr>
          <w:sz w:val="22"/>
        </w:rPr>
        <w:t xml:space="preserve"> Even considering such, it is highly improbable </w:t>
      </w:r>
      <w:r w:rsidR="00D00632" w:rsidRPr="00365218">
        <w:rPr>
          <w:sz w:val="22"/>
        </w:rPr>
        <w:t xml:space="preserve">that </w:t>
      </w:r>
      <w:r w:rsidR="00D63C84" w:rsidRPr="00365218">
        <w:rPr>
          <w:sz w:val="22"/>
        </w:rPr>
        <w:t xml:space="preserve">the CJEU would revert its previous decisions in </w:t>
      </w:r>
      <w:r w:rsidR="00D63C84" w:rsidRPr="00365218">
        <w:rPr>
          <w:i/>
          <w:iCs/>
          <w:sz w:val="22"/>
        </w:rPr>
        <w:t>Owusu</w:t>
      </w:r>
      <w:r w:rsidR="00D5534B" w:rsidRPr="00365218">
        <w:rPr>
          <w:sz w:val="22"/>
        </w:rPr>
        <w:t>; thus,</w:t>
      </w:r>
      <w:r w:rsidR="0022131C" w:rsidRPr="00365218">
        <w:rPr>
          <w:sz w:val="22"/>
        </w:rPr>
        <w:t xml:space="preserve"> the </w:t>
      </w:r>
      <w:r w:rsidR="0022131C" w:rsidRPr="00365218">
        <w:rPr>
          <w:i/>
          <w:iCs/>
          <w:sz w:val="22"/>
        </w:rPr>
        <w:t>forum non conveniens</w:t>
      </w:r>
      <w:r w:rsidR="0022131C" w:rsidRPr="00365218">
        <w:rPr>
          <w:sz w:val="22"/>
        </w:rPr>
        <w:t xml:space="preserve"> doctrine would remain inapplicable </w:t>
      </w:r>
      <w:r w:rsidR="00D5534B" w:rsidRPr="00365218">
        <w:rPr>
          <w:sz w:val="22"/>
        </w:rPr>
        <w:t>in</w:t>
      </w:r>
      <w:r w:rsidR="0022131C" w:rsidRPr="00365218">
        <w:rPr>
          <w:sz w:val="22"/>
        </w:rPr>
        <w:t xml:space="preserve"> </w:t>
      </w:r>
      <w:r w:rsidR="00D5534B" w:rsidRPr="00365218">
        <w:rPr>
          <w:sz w:val="22"/>
        </w:rPr>
        <w:t xml:space="preserve">the </w:t>
      </w:r>
      <w:r w:rsidR="0022131C" w:rsidRPr="00365218">
        <w:rPr>
          <w:sz w:val="22"/>
        </w:rPr>
        <w:t xml:space="preserve">Contracting </w:t>
      </w:r>
      <w:r w:rsidR="00D5534B" w:rsidRPr="00365218">
        <w:rPr>
          <w:sz w:val="22"/>
        </w:rPr>
        <w:t>S</w:t>
      </w:r>
      <w:r w:rsidR="0022131C" w:rsidRPr="00365218">
        <w:rPr>
          <w:sz w:val="22"/>
        </w:rPr>
        <w:t>tates.</w:t>
      </w:r>
      <w:r w:rsidR="00B35B9D" w:rsidRPr="00365218">
        <w:rPr>
          <w:rStyle w:val="Znakapoznpodarou"/>
          <w:sz w:val="22"/>
        </w:rPr>
        <w:footnoteReference w:id="109"/>
      </w:r>
    </w:p>
    <w:p w14:paraId="2AEAFA73" w14:textId="5E1B7D1B" w:rsidR="00D63C84" w:rsidRPr="00365218" w:rsidRDefault="00585E0F" w:rsidP="00512A71">
      <w:pPr>
        <w:pStyle w:val="C-BaseText"/>
        <w:rPr>
          <w:sz w:val="22"/>
        </w:rPr>
      </w:pPr>
      <w:r w:rsidRPr="00365218">
        <w:rPr>
          <w:sz w:val="22"/>
        </w:rPr>
        <w:t>While this scenario has been assessed by English commentators to be the most feasible one</w:t>
      </w:r>
      <w:r w:rsidR="00D5534B" w:rsidRPr="00365218">
        <w:rPr>
          <w:sz w:val="22"/>
        </w:rPr>
        <w:t>,</w:t>
      </w:r>
      <w:r w:rsidRPr="00365218">
        <w:rPr>
          <w:sz w:val="22"/>
        </w:rPr>
        <w:t xml:space="preserve"> no one counted on </w:t>
      </w:r>
      <w:r w:rsidR="00D5534B" w:rsidRPr="00365218">
        <w:rPr>
          <w:sz w:val="22"/>
        </w:rPr>
        <w:t xml:space="preserve">the </w:t>
      </w:r>
      <w:r w:rsidRPr="00365218">
        <w:rPr>
          <w:sz w:val="22"/>
        </w:rPr>
        <w:t xml:space="preserve">firm dissenting stance of the </w:t>
      </w:r>
      <w:r w:rsidR="00D14569" w:rsidRPr="00365218">
        <w:rPr>
          <w:sz w:val="22"/>
        </w:rPr>
        <w:t>EU. In May 2021</w:t>
      </w:r>
      <w:r w:rsidR="00D5534B" w:rsidRPr="00365218">
        <w:rPr>
          <w:sz w:val="22"/>
        </w:rPr>
        <w:t>,</w:t>
      </w:r>
      <w:r w:rsidR="00D14569" w:rsidRPr="00365218">
        <w:rPr>
          <w:sz w:val="22"/>
        </w:rPr>
        <w:t xml:space="preserve"> the EU Commission issued its communication to the EP and EC</w:t>
      </w:r>
      <w:r w:rsidR="00D14569" w:rsidRPr="00365218">
        <w:rPr>
          <w:rStyle w:val="Znakapoznpodarou"/>
          <w:sz w:val="22"/>
        </w:rPr>
        <w:footnoteReference w:id="110"/>
      </w:r>
      <w:r w:rsidR="00D14569" w:rsidRPr="00365218">
        <w:rPr>
          <w:sz w:val="22"/>
        </w:rPr>
        <w:t xml:space="preserve"> assessing the application of </w:t>
      </w:r>
      <w:r w:rsidR="00D5534B" w:rsidRPr="00365218">
        <w:rPr>
          <w:sz w:val="22"/>
        </w:rPr>
        <w:t xml:space="preserve">the </w:t>
      </w:r>
      <w:r w:rsidR="00D14569" w:rsidRPr="00365218">
        <w:rPr>
          <w:sz w:val="22"/>
        </w:rPr>
        <w:t xml:space="preserve">UK to accede to the Lugano Convention and stating </w:t>
      </w:r>
      <w:r w:rsidR="00D14569" w:rsidRPr="00365218">
        <w:rPr>
          <w:i/>
          <w:iCs/>
          <w:sz w:val="22"/>
        </w:rPr>
        <w:t>inter alia</w:t>
      </w:r>
      <w:r w:rsidR="00D14569" w:rsidRPr="00365218">
        <w:rPr>
          <w:sz w:val="22"/>
        </w:rPr>
        <w:t xml:space="preserve"> </w:t>
      </w:r>
      <w:r w:rsidR="00343CA5" w:rsidRPr="00365218">
        <w:rPr>
          <w:sz w:val="22"/>
        </w:rPr>
        <w:t>“</w:t>
      </w:r>
      <w:r w:rsidR="00D14569" w:rsidRPr="00365218">
        <w:rPr>
          <w:i/>
          <w:iCs/>
          <w:sz w:val="22"/>
        </w:rPr>
        <w:t>EU should not give its consent to the accession of the United Kingdom to the Lugano Convention</w:t>
      </w:r>
      <w:r w:rsidR="00343CA5" w:rsidRPr="00365218">
        <w:rPr>
          <w:sz w:val="22"/>
        </w:rPr>
        <w:t>”</w:t>
      </w:r>
      <w:r w:rsidR="00D14569" w:rsidRPr="00365218">
        <w:rPr>
          <w:rStyle w:val="Znakapoznpodarou"/>
          <w:sz w:val="22"/>
        </w:rPr>
        <w:footnoteReference w:id="111"/>
      </w:r>
      <w:r w:rsidR="00D14569" w:rsidRPr="00365218">
        <w:rPr>
          <w:sz w:val="22"/>
        </w:rPr>
        <w:t xml:space="preserve">. In </w:t>
      </w:r>
      <w:r w:rsidR="00D00632" w:rsidRPr="00365218">
        <w:rPr>
          <w:sz w:val="22"/>
        </w:rPr>
        <w:t>relatively</w:t>
      </w:r>
      <w:r w:rsidR="00D14569" w:rsidRPr="00365218">
        <w:rPr>
          <w:sz w:val="22"/>
        </w:rPr>
        <w:t xml:space="preserve"> short </w:t>
      </w:r>
      <w:r w:rsidR="00D5534B" w:rsidRPr="00365218">
        <w:rPr>
          <w:sz w:val="22"/>
        </w:rPr>
        <w:t>reasoning,</w:t>
      </w:r>
      <w:r w:rsidR="00D14569" w:rsidRPr="00365218">
        <w:rPr>
          <w:sz w:val="22"/>
        </w:rPr>
        <w:t xml:space="preserve"> the Commission stated that </w:t>
      </w:r>
      <w:r w:rsidR="00343CA5" w:rsidRPr="00365218">
        <w:rPr>
          <w:sz w:val="22"/>
        </w:rPr>
        <w:t>“</w:t>
      </w:r>
      <w:r w:rsidR="00D14569" w:rsidRPr="00365218">
        <w:rPr>
          <w:i/>
          <w:iCs/>
          <w:sz w:val="22"/>
        </w:rPr>
        <w:t xml:space="preserve">current Contracting Parties […] participate, at least partly, in the </w:t>
      </w:r>
      <w:r w:rsidR="00343CA5" w:rsidRPr="00365218">
        <w:rPr>
          <w:i/>
          <w:iCs/>
          <w:sz w:val="22"/>
        </w:rPr>
        <w:t>EU’s</w:t>
      </w:r>
      <w:r w:rsidR="00D14569" w:rsidRPr="00365218">
        <w:rPr>
          <w:i/>
          <w:iCs/>
          <w:sz w:val="22"/>
        </w:rPr>
        <w:t xml:space="preserve"> internal market, comprising of the free movement of goods, services, capital and persons</w:t>
      </w:r>
      <w:r w:rsidR="00343CA5" w:rsidRPr="00365218">
        <w:rPr>
          <w:sz w:val="22"/>
        </w:rPr>
        <w:t>”</w:t>
      </w:r>
      <w:r w:rsidR="00D14569" w:rsidRPr="00365218">
        <w:rPr>
          <w:rStyle w:val="Znakapoznpodarou"/>
          <w:sz w:val="22"/>
        </w:rPr>
        <w:footnoteReference w:id="112"/>
      </w:r>
      <w:r w:rsidR="00D14569" w:rsidRPr="00365218">
        <w:rPr>
          <w:sz w:val="22"/>
        </w:rPr>
        <w:t xml:space="preserve"> and </w:t>
      </w:r>
      <w:r w:rsidR="00343CA5" w:rsidRPr="00365218">
        <w:rPr>
          <w:sz w:val="22"/>
        </w:rPr>
        <w:t>“</w:t>
      </w:r>
      <w:r w:rsidR="00D14569" w:rsidRPr="00365218">
        <w:rPr>
          <w:i/>
          <w:iCs/>
          <w:sz w:val="22"/>
        </w:rPr>
        <w:t xml:space="preserve">Lugano Convention supports the </w:t>
      </w:r>
      <w:r w:rsidR="00343CA5" w:rsidRPr="00365218">
        <w:rPr>
          <w:i/>
          <w:iCs/>
          <w:sz w:val="22"/>
        </w:rPr>
        <w:t>EU’s</w:t>
      </w:r>
      <w:r w:rsidR="00D14569" w:rsidRPr="00365218">
        <w:rPr>
          <w:i/>
          <w:iCs/>
          <w:sz w:val="22"/>
        </w:rPr>
        <w:t xml:space="preserve"> relationship with third countries which have a particularly close regulatory integration with the EU</w:t>
      </w:r>
      <w:r w:rsidR="00343CA5" w:rsidRPr="00365218">
        <w:rPr>
          <w:sz w:val="22"/>
        </w:rPr>
        <w:t>”</w:t>
      </w:r>
      <w:r w:rsidR="00D14569" w:rsidRPr="00365218">
        <w:rPr>
          <w:rStyle w:val="Znakapoznpodarou"/>
          <w:sz w:val="22"/>
        </w:rPr>
        <w:footnoteReference w:id="113"/>
      </w:r>
      <w:r w:rsidR="00D14569" w:rsidRPr="00365218">
        <w:rPr>
          <w:sz w:val="22"/>
        </w:rPr>
        <w:t xml:space="preserve">. </w:t>
      </w:r>
      <w:r w:rsidR="00F0498D" w:rsidRPr="00365218">
        <w:rPr>
          <w:sz w:val="22"/>
        </w:rPr>
        <w:t xml:space="preserve">EU Commission further stated that </w:t>
      </w:r>
      <w:r w:rsidR="00D5534B" w:rsidRPr="00365218">
        <w:rPr>
          <w:sz w:val="22"/>
        </w:rPr>
        <w:t xml:space="preserve">the </w:t>
      </w:r>
      <w:r w:rsidR="00F0498D" w:rsidRPr="00365218">
        <w:rPr>
          <w:sz w:val="22"/>
        </w:rPr>
        <w:t xml:space="preserve">UK is </w:t>
      </w:r>
      <w:r w:rsidR="00D5534B" w:rsidRPr="00365218">
        <w:rPr>
          <w:sz w:val="22"/>
        </w:rPr>
        <w:t>(from the time of</w:t>
      </w:r>
      <w:r w:rsidR="00F0498D" w:rsidRPr="00365218">
        <w:rPr>
          <w:sz w:val="22"/>
        </w:rPr>
        <w:t xml:space="preserve"> Brexit</w:t>
      </w:r>
      <w:r w:rsidR="00D5534B" w:rsidRPr="00365218">
        <w:rPr>
          <w:sz w:val="22"/>
        </w:rPr>
        <w:t>)</w:t>
      </w:r>
      <w:r w:rsidR="00F0498D" w:rsidRPr="00365218">
        <w:rPr>
          <w:sz w:val="22"/>
        </w:rPr>
        <w:t xml:space="preserve"> an ordinary third country without </w:t>
      </w:r>
      <w:r w:rsidR="00D5534B" w:rsidRPr="00365218">
        <w:rPr>
          <w:sz w:val="22"/>
        </w:rPr>
        <w:t xml:space="preserve">a </w:t>
      </w:r>
      <w:r w:rsidR="00F0498D" w:rsidRPr="00365218">
        <w:rPr>
          <w:sz w:val="22"/>
        </w:rPr>
        <w:t xml:space="preserve">high level of mutual trust between Contracting parties and </w:t>
      </w:r>
      <w:r w:rsidR="00D5534B" w:rsidRPr="00365218">
        <w:rPr>
          <w:sz w:val="22"/>
        </w:rPr>
        <w:t xml:space="preserve">the </w:t>
      </w:r>
      <w:r w:rsidR="00F0498D" w:rsidRPr="00365218">
        <w:rPr>
          <w:sz w:val="22"/>
        </w:rPr>
        <w:t>UK since no economic interconnection based on the applicability of four freedoms is present.</w:t>
      </w:r>
      <w:r w:rsidR="00F0498D" w:rsidRPr="00365218">
        <w:rPr>
          <w:rStyle w:val="Znakapoznpodarou"/>
          <w:sz w:val="22"/>
        </w:rPr>
        <w:footnoteReference w:id="114"/>
      </w:r>
      <w:r w:rsidR="00F0498D" w:rsidRPr="00365218">
        <w:rPr>
          <w:sz w:val="22"/>
        </w:rPr>
        <w:t xml:space="preserve"> Hence, the stance of </w:t>
      </w:r>
      <w:r w:rsidR="00D5534B" w:rsidRPr="00365218">
        <w:rPr>
          <w:sz w:val="22"/>
        </w:rPr>
        <w:t xml:space="preserve">the </w:t>
      </w:r>
      <w:r w:rsidR="00F0498D" w:rsidRPr="00365218">
        <w:rPr>
          <w:sz w:val="22"/>
        </w:rPr>
        <w:t xml:space="preserve">EU ought to be that any regulation for judicial cooperation between </w:t>
      </w:r>
      <w:r w:rsidR="00D5534B" w:rsidRPr="00365218">
        <w:rPr>
          <w:sz w:val="22"/>
        </w:rPr>
        <w:t xml:space="preserve">the </w:t>
      </w:r>
      <w:r w:rsidR="00F0498D" w:rsidRPr="00365218">
        <w:rPr>
          <w:sz w:val="22"/>
        </w:rPr>
        <w:t xml:space="preserve">UK and </w:t>
      </w:r>
      <w:r w:rsidR="00D5534B" w:rsidRPr="00365218">
        <w:rPr>
          <w:sz w:val="22"/>
        </w:rPr>
        <w:t xml:space="preserve">the </w:t>
      </w:r>
      <w:r w:rsidR="00F0498D" w:rsidRPr="00365218">
        <w:rPr>
          <w:sz w:val="22"/>
        </w:rPr>
        <w:t>EU is to be done via multilateral Hague Conventions.</w:t>
      </w:r>
      <w:r w:rsidR="00F0498D" w:rsidRPr="00365218">
        <w:rPr>
          <w:rStyle w:val="Znakapoznpodarou"/>
          <w:sz w:val="22"/>
        </w:rPr>
        <w:footnoteReference w:id="115"/>
      </w:r>
    </w:p>
    <w:p w14:paraId="42B8CEBA" w14:textId="1EB8C36E" w:rsidR="00A76D74" w:rsidRPr="00365218" w:rsidRDefault="00A76D74" w:rsidP="00512A71">
      <w:pPr>
        <w:pStyle w:val="C-BaseText"/>
        <w:rPr>
          <w:sz w:val="22"/>
        </w:rPr>
      </w:pPr>
      <w:r w:rsidRPr="00365218">
        <w:rPr>
          <w:sz w:val="22"/>
        </w:rPr>
        <w:t xml:space="preserve">It is </w:t>
      </w:r>
      <w:r w:rsidR="00D5534B" w:rsidRPr="00365218">
        <w:rPr>
          <w:sz w:val="22"/>
        </w:rPr>
        <w:t>consequently</w:t>
      </w:r>
      <w:r w:rsidRPr="00365218">
        <w:rPr>
          <w:sz w:val="22"/>
        </w:rPr>
        <w:t xml:space="preserve"> apparent that Lugano Convention will not be the applicable framework for EU-UK judicial matters</w:t>
      </w:r>
      <w:r w:rsidR="00D5534B" w:rsidRPr="00365218">
        <w:rPr>
          <w:sz w:val="22"/>
        </w:rPr>
        <w:t>. Hence</w:t>
      </w:r>
      <w:r w:rsidRPr="00365218">
        <w:rPr>
          <w:sz w:val="22"/>
        </w:rPr>
        <w:t xml:space="preserve"> Hague Conventions might remain as the most feasible solution.</w:t>
      </w:r>
    </w:p>
    <w:p w14:paraId="3DF219F6" w14:textId="5C8D835D" w:rsidR="00B438DF" w:rsidRPr="00365218" w:rsidRDefault="00B438DF" w:rsidP="00A83FD2">
      <w:pPr>
        <w:pStyle w:val="C-HeadingNumbered2"/>
      </w:pPr>
      <w:r w:rsidRPr="00365218">
        <w:t>Hague Convention 2005</w:t>
      </w:r>
      <w:r w:rsidR="00C44C65" w:rsidRPr="00365218">
        <w:t xml:space="preserve"> and Forum Non Conveniens doctrine</w:t>
      </w:r>
    </w:p>
    <w:p w14:paraId="1B2F1F0D" w14:textId="5ACCCC8C" w:rsidR="0022131C" w:rsidRPr="00365218" w:rsidRDefault="00877E6E" w:rsidP="00365218">
      <w:pPr>
        <w:pStyle w:val="C-BaseEnglishText"/>
      </w:pPr>
      <w:r w:rsidRPr="00365218">
        <w:t xml:space="preserve">Insofar as the international jurisdiction arising out of </w:t>
      </w:r>
      <w:r w:rsidR="00D5534B" w:rsidRPr="00365218">
        <w:t xml:space="preserve">an </w:t>
      </w:r>
      <w:r w:rsidRPr="00365218">
        <w:t>exclusive choice of court clause</w:t>
      </w:r>
      <w:r w:rsidR="00721806" w:rsidRPr="00365218">
        <w:rPr>
          <w:rStyle w:val="Znakapoznpodarou"/>
        </w:rPr>
        <w:footnoteReference w:id="116"/>
      </w:r>
      <w:r w:rsidRPr="00365218">
        <w:t>, however not to asymmetric</w:t>
      </w:r>
      <w:r w:rsidR="00894E85" w:rsidRPr="00365218">
        <w:rPr>
          <w:rStyle w:val="Znakapoznpodarou"/>
        </w:rPr>
        <w:footnoteReference w:id="117"/>
      </w:r>
      <w:r w:rsidRPr="00365218">
        <w:t xml:space="preserve"> or non-exclusive clauses</w:t>
      </w:r>
      <w:r w:rsidR="00721806" w:rsidRPr="00365218">
        <w:rPr>
          <w:rStyle w:val="Znakapoznpodarou"/>
        </w:rPr>
        <w:footnoteReference w:id="118"/>
      </w:r>
      <w:r w:rsidRPr="00365218">
        <w:t>, the Hague Convention 2005</w:t>
      </w:r>
      <w:r w:rsidR="004A50DE" w:rsidRPr="00365218">
        <w:rPr>
          <w:rStyle w:val="Znakapoznpodarou"/>
        </w:rPr>
        <w:footnoteReference w:id="119"/>
      </w:r>
      <w:r w:rsidRPr="00365218">
        <w:t xml:space="preserve"> applies. The UK has been a party to the Hague Convention 2005 through its membership in the EU, </w:t>
      </w:r>
      <w:r w:rsidR="002562D9" w:rsidRPr="00365218">
        <w:t>though</w:t>
      </w:r>
      <w:r w:rsidRPr="00365218">
        <w:t xml:space="preserve">, after the withdrawal from the EU, </w:t>
      </w:r>
      <w:r w:rsidR="002562D9" w:rsidRPr="00365218">
        <w:t xml:space="preserve">the </w:t>
      </w:r>
      <w:r w:rsidRPr="00365218">
        <w:t>UK has acceded to the Hague Convention 2005</w:t>
      </w:r>
      <w:r w:rsidR="00720AC3" w:rsidRPr="00365218">
        <w:t xml:space="preserve"> in its own right</w:t>
      </w:r>
      <w:r w:rsidRPr="00365218">
        <w:t xml:space="preserve"> on 28 September 202</w:t>
      </w:r>
      <w:r w:rsidR="007A5596">
        <w:t>0</w:t>
      </w:r>
      <w:r w:rsidRPr="00365218">
        <w:t>. Hague Convention 2005 then entered into force on 1 January 2021.</w:t>
      </w:r>
      <w:r w:rsidRPr="00365218">
        <w:rPr>
          <w:rStyle w:val="Znakapoznpodarou"/>
        </w:rPr>
        <w:footnoteReference w:id="120"/>
      </w:r>
      <w:r w:rsidR="00720AC3" w:rsidRPr="00365218">
        <w:t xml:space="preserve"> Consequently, Hague Convention 2005 applies solely where an exclusive jurisdiction clause has been entered after the </w:t>
      </w:r>
      <w:r w:rsidR="00343CA5" w:rsidRPr="00365218">
        <w:t>convention’s</w:t>
      </w:r>
      <w:r w:rsidR="00720AC3" w:rsidRPr="00365218">
        <w:t xml:space="preserve"> entry into force in relation to the state granted exclusive jurisdiction.</w:t>
      </w:r>
      <w:r w:rsidR="00720AC3" w:rsidRPr="00365218">
        <w:rPr>
          <w:rStyle w:val="Znakapoznpodarou"/>
        </w:rPr>
        <w:footnoteReference w:id="121"/>
      </w:r>
      <w:r w:rsidR="00720AC3" w:rsidRPr="00365218">
        <w:t xml:space="preserve"> However, the UK government believes </w:t>
      </w:r>
      <w:r w:rsidR="009A5968" w:rsidRPr="00365218">
        <w:t>otherwise,</w:t>
      </w:r>
      <w:r w:rsidR="00720AC3" w:rsidRPr="00365218">
        <w:t xml:space="preserve"> and </w:t>
      </w:r>
      <w:r w:rsidR="002562D9" w:rsidRPr="00365218">
        <w:t xml:space="preserve">the </w:t>
      </w:r>
      <w:r w:rsidR="00720AC3" w:rsidRPr="00365218">
        <w:t>judicial outcome is uncertain.</w:t>
      </w:r>
      <w:r w:rsidR="00720AC3" w:rsidRPr="00365218">
        <w:rPr>
          <w:rStyle w:val="Znakapoznpodarou"/>
        </w:rPr>
        <w:footnoteReference w:id="122"/>
      </w:r>
    </w:p>
    <w:p w14:paraId="075BC8DB" w14:textId="03CEE240" w:rsidR="004E7652" w:rsidRPr="00365218" w:rsidRDefault="00D21559" w:rsidP="00365218">
      <w:pPr>
        <w:pStyle w:val="C-BaseEnglishText"/>
      </w:pPr>
      <w:r w:rsidRPr="00365218">
        <w:t xml:space="preserve">While Hague Convention 2005 framework might be of use to regain the power to issue injunctive measures, the same could not be said about staying jurisdiction of chosen court. Art. 5 (2) of the Hague Convention 2005 clearly states </w:t>
      </w:r>
      <w:r w:rsidR="002562D9" w:rsidRPr="00365218">
        <w:t xml:space="preserve">that </w:t>
      </w:r>
      <w:r w:rsidR="00343CA5" w:rsidRPr="00365218">
        <w:t>“</w:t>
      </w:r>
      <w:r w:rsidRPr="00365218">
        <w:rPr>
          <w:i/>
          <w:iCs/>
        </w:rPr>
        <w:t>A court that has jurisdiction under paragraph 1 shall not decline to exercise jurisdiction on the ground that the dispute should be decided in a court of another State.</w:t>
      </w:r>
      <w:r w:rsidR="00343CA5" w:rsidRPr="00365218">
        <w:t>”</w:t>
      </w:r>
      <w:r w:rsidRPr="00365218">
        <w:rPr>
          <w:rStyle w:val="Znakapoznpodarou"/>
        </w:rPr>
        <w:footnoteReference w:id="123"/>
      </w:r>
      <w:r w:rsidR="00721806" w:rsidRPr="00365218">
        <w:t xml:space="preserve"> Any other Contracting state court must suspend or dismiss the proceedings.</w:t>
      </w:r>
      <w:r w:rsidR="00721806" w:rsidRPr="00365218">
        <w:rPr>
          <w:rStyle w:val="Znakapoznpodarou"/>
        </w:rPr>
        <w:footnoteReference w:id="124"/>
      </w:r>
      <w:r w:rsidR="00721806" w:rsidRPr="00365218">
        <w:t xml:space="preserve"> Hague Convention 2005 thus employs </w:t>
      </w:r>
      <w:r w:rsidR="002562D9" w:rsidRPr="00365218">
        <w:t xml:space="preserve">a </w:t>
      </w:r>
      <w:r w:rsidR="00721806" w:rsidRPr="00365218">
        <w:t xml:space="preserve">clear set </w:t>
      </w:r>
      <w:r w:rsidR="00664E2A" w:rsidRPr="00365218">
        <w:t xml:space="preserve">of rules to prevent </w:t>
      </w:r>
      <w:r w:rsidR="002562D9" w:rsidRPr="00365218">
        <w:t xml:space="preserve">the </w:t>
      </w:r>
      <w:r w:rsidR="00664E2A" w:rsidRPr="00365218">
        <w:t>frustration of litigation</w:t>
      </w:r>
      <w:r w:rsidR="0085365A" w:rsidRPr="00365218">
        <w:rPr>
          <w:rStyle w:val="Znakapoznpodarou"/>
        </w:rPr>
        <w:footnoteReference w:id="125"/>
      </w:r>
      <w:r w:rsidR="00664E2A" w:rsidRPr="00365218">
        <w:t xml:space="preserve"> in the chosen court by </w:t>
      </w:r>
      <w:r w:rsidR="00664E2A" w:rsidRPr="00365218">
        <w:rPr>
          <w:i/>
          <w:iCs/>
        </w:rPr>
        <w:t>forum non conveniens</w:t>
      </w:r>
      <w:r w:rsidR="00664E2A" w:rsidRPr="00365218">
        <w:t xml:space="preserve"> doctrine</w:t>
      </w:r>
      <w:r w:rsidR="0085365A" w:rsidRPr="00365218">
        <w:rPr>
          <w:rStyle w:val="Znakapoznpodarou"/>
        </w:rPr>
        <w:footnoteReference w:id="126"/>
      </w:r>
      <w:r w:rsidR="004E7652" w:rsidRPr="00365218">
        <w:t xml:space="preserve"> </w:t>
      </w:r>
      <w:r w:rsidR="002562D9" w:rsidRPr="00365218">
        <w:t xml:space="preserve">, </w:t>
      </w:r>
      <w:r w:rsidR="004E7652" w:rsidRPr="00365218">
        <w:t xml:space="preserve">and </w:t>
      </w:r>
      <w:r w:rsidR="002562D9" w:rsidRPr="00365218">
        <w:t xml:space="preserve">the </w:t>
      </w:r>
      <w:r w:rsidR="004E7652" w:rsidRPr="00365218">
        <w:t>court must adjudicate the matter, no matter how sensible it could be to grant relief of its jurisdiction</w:t>
      </w:r>
      <w:r w:rsidR="004E7652" w:rsidRPr="00365218">
        <w:rPr>
          <w:rStyle w:val="Znakapoznpodarou"/>
        </w:rPr>
        <w:footnoteReference w:id="127"/>
      </w:r>
      <w:r w:rsidR="004E7652" w:rsidRPr="00365218">
        <w:t>.</w:t>
      </w:r>
      <w:r w:rsidR="00664E2A" w:rsidRPr="00365218">
        <w:t xml:space="preserve"> Consequently, public policy ground for refusal to recognize and enforce judgment</w:t>
      </w:r>
      <w:r w:rsidR="00664E2A" w:rsidRPr="00365218">
        <w:rPr>
          <w:rStyle w:val="Znakapoznpodarou"/>
        </w:rPr>
        <w:footnoteReference w:id="128"/>
      </w:r>
      <w:r w:rsidR="00664E2A" w:rsidRPr="00365218">
        <w:t xml:space="preserve"> does not include invoking </w:t>
      </w:r>
      <w:r w:rsidR="00664E2A" w:rsidRPr="00365218">
        <w:rPr>
          <w:i/>
          <w:iCs/>
        </w:rPr>
        <w:t>forum non convenience</w:t>
      </w:r>
      <w:r w:rsidR="00664E2A" w:rsidRPr="00365218">
        <w:t xml:space="preserve"> defence</w:t>
      </w:r>
      <w:r w:rsidR="00664E2A" w:rsidRPr="00365218">
        <w:rPr>
          <w:rStyle w:val="Znakapoznpodarou"/>
        </w:rPr>
        <w:footnoteReference w:id="129"/>
      </w:r>
      <w:r w:rsidR="00664E2A" w:rsidRPr="00365218">
        <w:t>.</w:t>
      </w:r>
    </w:p>
    <w:p w14:paraId="7F1F02AA" w14:textId="0C0449AB" w:rsidR="00B4418B" w:rsidRPr="00365218" w:rsidRDefault="00B4418B" w:rsidP="00365218">
      <w:pPr>
        <w:pStyle w:val="C-BaseEnglishText"/>
      </w:pPr>
      <w:r w:rsidRPr="00365218">
        <w:t xml:space="preserve">Notwithstanding the previous, limited applicability of </w:t>
      </w:r>
      <w:r w:rsidRPr="00365218">
        <w:rPr>
          <w:i/>
          <w:iCs/>
        </w:rPr>
        <w:t>forum non conveniens</w:t>
      </w:r>
      <w:r w:rsidRPr="00365218">
        <w:t xml:space="preserve"> is conceivable through the negative scope. A state may refuse its jurisdiction should all parties to an international case be resident of the same Contracting State and </w:t>
      </w:r>
      <w:r w:rsidR="00343CA5" w:rsidRPr="00365218">
        <w:t>“</w:t>
      </w:r>
      <w:r w:rsidRPr="00365218">
        <w:rPr>
          <w:i/>
          <w:iCs/>
        </w:rPr>
        <w:t>the relationship of the parties and all other elements relevant to the dispute, regardless of the location of the chosen court, are connected only with that State</w:t>
      </w:r>
      <w:r w:rsidR="00343CA5" w:rsidRPr="00365218">
        <w:t>”</w:t>
      </w:r>
      <w:r w:rsidRPr="00365218">
        <w:rPr>
          <w:rStyle w:val="Znakapoznpodarou"/>
        </w:rPr>
        <w:footnoteReference w:id="130"/>
      </w:r>
      <w:r w:rsidRPr="00365218">
        <w:t xml:space="preserve">. In such specific </w:t>
      </w:r>
      <w:r w:rsidR="002562D9" w:rsidRPr="00365218">
        <w:t>cases,</w:t>
      </w:r>
      <w:r w:rsidRPr="00365218">
        <w:t xml:space="preserve"> the </w:t>
      </w:r>
      <w:r w:rsidRPr="00365218">
        <w:rPr>
          <w:i/>
          <w:iCs/>
        </w:rPr>
        <w:t xml:space="preserve">forum non conveniens </w:t>
      </w:r>
      <w:r w:rsidRPr="00365218">
        <w:t xml:space="preserve">doctrine may </w:t>
      </w:r>
      <w:r w:rsidR="00184FB9" w:rsidRPr="00365218">
        <w:t>be</w:t>
      </w:r>
      <w:r w:rsidRPr="00365218">
        <w:t xml:space="preserve"> </w:t>
      </w:r>
      <w:r w:rsidR="00184FB9" w:rsidRPr="00365218">
        <w:t xml:space="preserve">applicable despite the </w:t>
      </w:r>
      <w:r w:rsidR="007B273E" w:rsidRPr="00365218">
        <w:t>art</w:t>
      </w:r>
      <w:r w:rsidR="00184FB9" w:rsidRPr="00365218">
        <w:t>. 5(2) promulgation.</w:t>
      </w:r>
      <w:r w:rsidR="00184FB9" w:rsidRPr="00365218">
        <w:rPr>
          <w:rStyle w:val="Znakapoznpodarou"/>
        </w:rPr>
        <w:footnoteReference w:id="131"/>
      </w:r>
      <w:r w:rsidR="00071B97" w:rsidRPr="00365218">
        <w:t xml:space="preserve"> However, this hardly seems to be a proper use of </w:t>
      </w:r>
      <w:r w:rsidR="00071B97" w:rsidRPr="00365218">
        <w:rPr>
          <w:i/>
          <w:iCs/>
        </w:rPr>
        <w:t>forum non conveniens</w:t>
      </w:r>
      <w:r w:rsidR="00071B97" w:rsidRPr="00365218">
        <w:t xml:space="preserve"> as it is not exercised against jurisdiction conferred by Hague Convention 2005 since the dispute does not fall within </w:t>
      </w:r>
      <w:r w:rsidR="002562D9" w:rsidRPr="00365218">
        <w:t xml:space="preserve">the </w:t>
      </w:r>
      <w:r w:rsidR="00071B97" w:rsidRPr="00365218">
        <w:t xml:space="preserve">positive scope. Hence the court applies </w:t>
      </w:r>
      <w:r w:rsidR="00071B97" w:rsidRPr="00365218">
        <w:rPr>
          <w:i/>
          <w:iCs/>
        </w:rPr>
        <w:t>forum non conveniens</w:t>
      </w:r>
      <w:r w:rsidR="00071B97" w:rsidRPr="00365218">
        <w:t xml:space="preserve"> to otherwise conferred jurisdiction, should no other instrument prohibit so.</w:t>
      </w:r>
    </w:p>
    <w:p w14:paraId="176C1299" w14:textId="05125D6E" w:rsidR="00184FB9" w:rsidRPr="00365218" w:rsidRDefault="00184FB9" w:rsidP="00365218">
      <w:pPr>
        <w:pStyle w:val="C-BaseEnglishText"/>
      </w:pPr>
      <w:r w:rsidRPr="00365218">
        <w:t xml:space="preserve">Additionally, Contracting State may declare limiting jurisdiction and refuse to exercise jurisdiction over disputes to which an exclusive choice of court agreement applies if </w:t>
      </w:r>
      <w:r w:rsidR="00343CA5" w:rsidRPr="00365218">
        <w:t>“</w:t>
      </w:r>
      <w:r w:rsidRPr="00365218">
        <w:rPr>
          <w:i/>
          <w:iCs/>
        </w:rPr>
        <w:t>except for the location of the chosen court, there is no connection between that State and the parties or the dispute</w:t>
      </w:r>
      <w:r w:rsidR="00343CA5" w:rsidRPr="00365218">
        <w:t>”</w:t>
      </w:r>
      <w:r w:rsidRPr="00365218">
        <w:rPr>
          <w:rStyle w:val="Znakapoznpodarou"/>
        </w:rPr>
        <w:footnoteReference w:id="132"/>
      </w:r>
      <w:r w:rsidRPr="00365218">
        <w:t xml:space="preserve">. Should such declaration be made, </w:t>
      </w:r>
      <w:r w:rsidR="002562D9" w:rsidRPr="00365218">
        <w:t xml:space="preserve">the </w:t>
      </w:r>
      <w:r w:rsidRPr="00365218">
        <w:t xml:space="preserve">neutrality of </w:t>
      </w:r>
      <w:r w:rsidR="002562D9" w:rsidRPr="00365218">
        <w:t xml:space="preserve">the </w:t>
      </w:r>
      <w:r w:rsidRPr="00365218">
        <w:t xml:space="preserve">Hague Convention 2005 </w:t>
      </w:r>
      <w:r w:rsidR="009D4FF9" w:rsidRPr="00365218">
        <w:t xml:space="preserve">and its purpose of predictability and certainty </w:t>
      </w:r>
      <w:r w:rsidRPr="00365218">
        <w:t>could be severely undermined.</w:t>
      </w:r>
      <w:r w:rsidRPr="00365218">
        <w:rPr>
          <w:rStyle w:val="Znakapoznpodarou"/>
        </w:rPr>
        <w:footnoteReference w:id="133"/>
      </w:r>
      <w:r w:rsidRPr="00365218">
        <w:t xml:space="preserve"> However, </w:t>
      </w:r>
      <w:r w:rsidR="008A0887" w:rsidRPr="00365218">
        <w:t xml:space="preserve">the </w:t>
      </w:r>
      <w:r w:rsidRPr="00365218">
        <w:t xml:space="preserve">UK has not made any declarations pursuant </w:t>
      </w:r>
      <w:r w:rsidR="002562D9" w:rsidRPr="00365218">
        <w:t xml:space="preserve">to </w:t>
      </w:r>
      <w:r w:rsidRPr="00365218">
        <w:t>art. 19.</w:t>
      </w:r>
      <w:r w:rsidRPr="00365218">
        <w:rPr>
          <w:rStyle w:val="Znakapoznpodarou"/>
        </w:rPr>
        <w:footnoteReference w:id="134"/>
      </w:r>
      <w:r w:rsidRPr="00365218">
        <w:t xml:space="preserve"> Hence it seems only </w:t>
      </w:r>
      <w:r w:rsidR="002562D9" w:rsidRPr="00365218">
        <w:t xml:space="preserve">a </w:t>
      </w:r>
      <w:r w:rsidRPr="00365218">
        <w:t xml:space="preserve">limited number of cases are eligible for stay of proceedings as being out of scope pursuant </w:t>
      </w:r>
      <w:r w:rsidR="007B273E" w:rsidRPr="00365218">
        <w:t>art</w:t>
      </w:r>
      <w:r w:rsidRPr="00365218">
        <w:t>. 1(2).</w:t>
      </w:r>
    </w:p>
    <w:p w14:paraId="04D9C1E5" w14:textId="42FE0426" w:rsidR="00933B5B" w:rsidRPr="00365218" w:rsidRDefault="005C5FCD" w:rsidP="00365218">
      <w:pPr>
        <w:pStyle w:val="C-BaseEnglishText"/>
      </w:pPr>
      <w:r w:rsidRPr="00365218">
        <w:t>About</w:t>
      </w:r>
      <w:r w:rsidR="004A50DE" w:rsidRPr="00365218">
        <w:t xml:space="preserve"> </w:t>
      </w:r>
      <w:r w:rsidR="002562D9" w:rsidRPr="00365218">
        <w:t xml:space="preserve">the </w:t>
      </w:r>
      <w:r w:rsidR="004A50DE" w:rsidRPr="00365218">
        <w:t>recognition and enforcement of judgments</w:t>
      </w:r>
      <w:r w:rsidR="002562D9" w:rsidRPr="00365218">
        <w:t>,</w:t>
      </w:r>
      <w:r w:rsidR="004A50DE" w:rsidRPr="00365218">
        <w:t xml:space="preserve"> there is very little to discuss. Should a judgment be given pursuant </w:t>
      </w:r>
      <w:r w:rsidR="002562D9" w:rsidRPr="00365218">
        <w:t xml:space="preserve">to </w:t>
      </w:r>
      <w:r w:rsidR="004A50DE" w:rsidRPr="00365218">
        <w:t>Hague Convention 2005, other Contracting States are bound to recognize and enforce such judgment</w:t>
      </w:r>
      <w:r w:rsidR="002562D9" w:rsidRPr="00365218">
        <w:t>,</w:t>
      </w:r>
      <w:r w:rsidR="00933B5B" w:rsidRPr="00365218">
        <w:t xml:space="preserve"> which </w:t>
      </w:r>
      <w:r w:rsidR="002562D9" w:rsidRPr="00365218">
        <w:t>is</w:t>
      </w:r>
      <w:r w:rsidR="00933B5B" w:rsidRPr="00365218">
        <w:t xml:space="preserve"> in effect and enforceable in the state of origin</w:t>
      </w:r>
      <w:r w:rsidR="004A50DE" w:rsidRPr="00365218">
        <w:rPr>
          <w:rStyle w:val="Znakapoznpodarou"/>
        </w:rPr>
        <w:footnoteReference w:id="135"/>
      </w:r>
      <w:r w:rsidR="004A50DE" w:rsidRPr="00365218">
        <w:t xml:space="preserve"> unless an exception can be found</w:t>
      </w:r>
      <w:r w:rsidR="004A50DE" w:rsidRPr="00365218">
        <w:rPr>
          <w:rStyle w:val="Znakapoznpodarou"/>
        </w:rPr>
        <w:footnoteReference w:id="136"/>
      </w:r>
      <w:r w:rsidR="004A50DE" w:rsidRPr="00365218">
        <w:t>.</w:t>
      </w:r>
      <w:r w:rsidR="00933B5B" w:rsidRPr="00365218">
        <w:t xml:space="preserve"> The Hague Convention 2005 stipulates 7 exceptions to the default rule of recognition and enforcement to which all the court has facultative power to refuse recognition and enforcement.</w:t>
      </w:r>
      <w:r w:rsidR="00933B5B" w:rsidRPr="00365218">
        <w:rPr>
          <w:rStyle w:val="Znakapoznpodarou"/>
        </w:rPr>
        <w:footnoteReference w:id="137"/>
      </w:r>
      <w:r w:rsidR="00933B5B" w:rsidRPr="00365218">
        <w:t xml:space="preserve"> </w:t>
      </w:r>
    </w:p>
    <w:p w14:paraId="6AF3F6FC" w14:textId="1A386C53" w:rsidR="004568FF" w:rsidRPr="00365218" w:rsidRDefault="00F53533" w:rsidP="00365218">
      <w:pPr>
        <w:pStyle w:val="C-BaseEnglishText"/>
      </w:pPr>
      <w:r w:rsidRPr="00365218">
        <w:t>Considering</w:t>
      </w:r>
      <w:r w:rsidR="00933B5B" w:rsidRPr="00365218">
        <w:t xml:space="preserve"> the above</w:t>
      </w:r>
      <w:r w:rsidR="002562D9" w:rsidRPr="00365218">
        <w:t>,</w:t>
      </w:r>
      <w:r w:rsidR="00933B5B" w:rsidRPr="00365218">
        <w:t xml:space="preserve"> there </w:t>
      </w:r>
      <w:r w:rsidR="002562D9" w:rsidRPr="00365218">
        <w:t>exist</w:t>
      </w:r>
      <w:r w:rsidR="00933B5B" w:rsidRPr="00365218">
        <w:t xml:space="preserve"> only two possibilities to exercise </w:t>
      </w:r>
      <w:r w:rsidR="00933B5B" w:rsidRPr="00365218">
        <w:rPr>
          <w:i/>
          <w:iCs/>
        </w:rPr>
        <w:t>forum non conveniens</w:t>
      </w:r>
      <w:r w:rsidR="00933B5B" w:rsidRPr="00365218">
        <w:t xml:space="preserve"> doctrine. One would require </w:t>
      </w:r>
      <w:r w:rsidR="002562D9" w:rsidRPr="00365218">
        <w:t xml:space="preserve">a </w:t>
      </w:r>
      <w:r w:rsidR="00933B5B" w:rsidRPr="00365218">
        <w:t xml:space="preserve">declaration pursuant </w:t>
      </w:r>
      <w:r w:rsidR="002562D9" w:rsidRPr="00365218">
        <w:t xml:space="preserve">to </w:t>
      </w:r>
      <w:r w:rsidR="007B273E" w:rsidRPr="00365218">
        <w:t>art</w:t>
      </w:r>
      <w:r w:rsidR="00933B5B" w:rsidRPr="00365218">
        <w:t xml:space="preserve">. 19 – something which has not been done. </w:t>
      </w:r>
      <w:r w:rsidR="002562D9" w:rsidRPr="00365218">
        <w:t>The second</w:t>
      </w:r>
      <w:r w:rsidR="00933B5B" w:rsidRPr="00365218">
        <w:t xml:space="preserve"> one requires </w:t>
      </w:r>
      <w:r w:rsidR="002562D9" w:rsidRPr="00365218">
        <w:t xml:space="preserve">a </w:t>
      </w:r>
      <w:r w:rsidR="00933B5B" w:rsidRPr="00365218">
        <w:t xml:space="preserve">finding of the court that </w:t>
      </w:r>
      <w:r w:rsidR="007B273E" w:rsidRPr="00365218">
        <w:t>art</w:t>
      </w:r>
      <w:r w:rsidR="00933B5B" w:rsidRPr="00365218">
        <w:t>. 1(2) is applicable.</w:t>
      </w:r>
      <w:r w:rsidR="00F259EE" w:rsidRPr="00365218">
        <w:t xml:space="preserve"> If so, the court would </w:t>
      </w:r>
      <w:r w:rsidR="002562D9" w:rsidRPr="00365218">
        <w:t>need</w:t>
      </w:r>
      <w:r w:rsidR="00F259EE" w:rsidRPr="00365218">
        <w:t xml:space="preserve"> to refuse jurisdiction confessed by the Hague Convention 2005 and consequently found otherwise applicable own jurisdiction</w:t>
      </w:r>
      <w:r w:rsidR="002562D9" w:rsidRPr="00365218">
        <w:t>,</w:t>
      </w:r>
      <w:r w:rsidR="00F259EE" w:rsidRPr="00365218">
        <w:t xml:space="preserve"> which would be stayed per </w:t>
      </w:r>
      <w:r w:rsidR="00F259EE" w:rsidRPr="00365218">
        <w:rPr>
          <w:i/>
          <w:iCs/>
        </w:rPr>
        <w:t xml:space="preserve">forum non conveniens </w:t>
      </w:r>
      <w:r w:rsidR="00F259EE" w:rsidRPr="00365218">
        <w:t xml:space="preserve">doctrine. The </w:t>
      </w:r>
      <w:r w:rsidR="00343CA5" w:rsidRPr="00365218">
        <w:t>“</w:t>
      </w:r>
      <w:r w:rsidR="00F259EE" w:rsidRPr="00365218">
        <w:rPr>
          <w:i/>
          <w:iCs/>
        </w:rPr>
        <w:t>more convenient</w:t>
      </w:r>
      <w:r w:rsidR="00343CA5" w:rsidRPr="00365218">
        <w:t>”</w:t>
      </w:r>
      <w:r w:rsidR="00F259EE" w:rsidRPr="00365218">
        <w:t xml:space="preserve"> court would not then be able to confer its jurisdiction by Hague Convention 2005 since its jurisdiction is not based on </w:t>
      </w:r>
      <w:r w:rsidR="002562D9" w:rsidRPr="00365218">
        <w:t xml:space="preserve">an </w:t>
      </w:r>
      <w:r w:rsidR="00F259EE" w:rsidRPr="00365218">
        <w:t>exclusive choice of court</w:t>
      </w:r>
      <w:r w:rsidR="00F259EE" w:rsidRPr="00365218">
        <w:rPr>
          <w:rStyle w:val="Znakapoznpodarou"/>
        </w:rPr>
        <w:footnoteReference w:id="138"/>
      </w:r>
      <w:r w:rsidR="00F259EE" w:rsidRPr="00365218">
        <w:t xml:space="preserve"> made by the parties to the dispute.</w:t>
      </w:r>
      <w:r w:rsidR="00F259EE" w:rsidRPr="00365218">
        <w:rPr>
          <w:rStyle w:val="Znakapoznpodarou"/>
        </w:rPr>
        <w:footnoteReference w:id="139"/>
      </w:r>
      <w:r w:rsidR="00F259EE" w:rsidRPr="00365218">
        <w:t xml:space="preserve"> Hence, recognition and enforcement of </w:t>
      </w:r>
      <w:r w:rsidR="002562D9" w:rsidRPr="00365218">
        <w:t xml:space="preserve">the </w:t>
      </w:r>
      <w:r w:rsidR="00F259EE" w:rsidRPr="00365218">
        <w:t xml:space="preserve">given judgment of </w:t>
      </w:r>
      <w:r w:rsidR="002562D9" w:rsidRPr="00365218">
        <w:t>other state courts</w:t>
      </w:r>
      <w:r w:rsidR="00F259EE" w:rsidRPr="00365218">
        <w:t xml:space="preserve"> would have to be sought through different means.</w:t>
      </w:r>
    </w:p>
    <w:p w14:paraId="71F55987" w14:textId="65B8A331" w:rsidR="00F53533" w:rsidRPr="00365218" w:rsidRDefault="0085691A" w:rsidP="00A83FD2">
      <w:pPr>
        <w:pStyle w:val="C-HeadingNumbered2"/>
      </w:pPr>
      <w:r w:rsidRPr="00365218">
        <w:t>Hague Convention 2019 and Forum Non Conveniens doctrine</w:t>
      </w:r>
    </w:p>
    <w:p w14:paraId="77598868" w14:textId="01A07656" w:rsidR="007A1EFF" w:rsidRPr="00365218" w:rsidRDefault="006F49F3" w:rsidP="00365218">
      <w:pPr>
        <w:pStyle w:val="C-BaseEnglishText"/>
      </w:pPr>
      <w:r w:rsidRPr="00365218">
        <w:t>While Hague Convention 2005 is a mixed convention, Hague Convention 2019</w:t>
      </w:r>
      <w:r w:rsidRPr="00365218">
        <w:rPr>
          <w:rStyle w:val="Znakapoznpodarou"/>
        </w:rPr>
        <w:footnoteReference w:id="140"/>
      </w:r>
      <w:r w:rsidRPr="00365218">
        <w:t xml:space="preserve"> merely </w:t>
      </w:r>
      <w:r w:rsidR="00343CA5" w:rsidRPr="00365218">
        <w:t>“</w:t>
      </w:r>
      <w:r w:rsidRPr="00365218">
        <w:rPr>
          <w:i/>
          <w:iCs/>
        </w:rPr>
        <w:t>facilitates the effective international circulation of judgments in civil or commercial matters</w:t>
      </w:r>
      <w:r w:rsidR="00343CA5" w:rsidRPr="00365218">
        <w:t>”</w:t>
      </w:r>
      <w:r w:rsidRPr="00365218">
        <w:rPr>
          <w:rStyle w:val="Znakapoznpodarou"/>
        </w:rPr>
        <w:footnoteReference w:id="141"/>
      </w:r>
      <w:r w:rsidRPr="00365218">
        <w:t xml:space="preserve"> Notwithstanding only 3 contracting parties to the Hague Convention 2019 to this date, the widely used Hague Convention 2005 has not come into force for mere 10 years either. The process of ratifications is rather slow, and this instrument cannot be dismissed simply due to </w:t>
      </w:r>
      <w:r w:rsidR="002562D9" w:rsidRPr="00365218">
        <w:t xml:space="preserve">the </w:t>
      </w:r>
      <w:r w:rsidRPr="00365218">
        <w:t>UK not being a party to it yet.</w:t>
      </w:r>
      <w:r w:rsidR="00BD1533" w:rsidRPr="00365218">
        <w:t xml:space="preserve"> Therefore, this section does assume the UK accedes to the Hague Convention 2019.</w:t>
      </w:r>
      <w:r w:rsidR="003F503D" w:rsidRPr="00365218">
        <w:rPr>
          <w:rStyle w:val="Znakapoznpodarou"/>
        </w:rPr>
        <w:footnoteReference w:id="142"/>
      </w:r>
    </w:p>
    <w:p w14:paraId="130A6554" w14:textId="03E86DFA" w:rsidR="006F49F3" w:rsidRPr="00365218" w:rsidRDefault="004661B5" w:rsidP="00365218">
      <w:pPr>
        <w:pStyle w:val="C-BaseEnglishText"/>
      </w:pPr>
      <w:r w:rsidRPr="00365218">
        <w:t xml:space="preserve">Many problems regarding </w:t>
      </w:r>
      <w:r w:rsidR="002562D9" w:rsidRPr="00365218">
        <w:t xml:space="preserve">the </w:t>
      </w:r>
      <w:r w:rsidRPr="00365218">
        <w:t xml:space="preserve">applicability of </w:t>
      </w:r>
      <w:r w:rsidRPr="00365218">
        <w:rPr>
          <w:i/>
          <w:iCs/>
        </w:rPr>
        <w:t>forum non conveniens</w:t>
      </w:r>
      <w:r w:rsidRPr="00365218">
        <w:t xml:space="preserve"> doctrine vanish s</w:t>
      </w:r>
      <w:r w:rsidR="00095035" w:rsidRPr="00365218">
        <w:t xml:space="preserve">ince Hague Convention 2019 does not </w:t>
      </w:r>
      <w:r w:rsidRPr="00365218">
        <w:t xml:space="preserve">cover the allocation of international jurisdiction. </w:t>
      </w:r>
      <w:r w:rsidR="00557096" w:rsidRPr="00365218">
        <w:t xml:space="preserve">However, would it be possible to allocate discrepancies related to </w:t>
      </w:r>
      <w:r w:rsidR="00557096" w:rsidRPr="00365218">
        <w:rPr>
          <w:i/>
          <w:iCs/>
        </w:rPr>
        <w:t xml:space="preserve">forum non conveniens </w:t>
      </w:r>
      <w:r w:rsidR="00557096" w:rsidRPr="00365218">
        <w:t>doctrine in recognition and enforcement of judgments?</w:t>
      </w:r>
    </w:p>
    <w:p w14:paraId="4A70C2CD" w14:textId="0FB1C0BF" w:rsidR="00557096" w:rsidRPr="00365218" w:rsidRDefault="00DE5F12" w:rsidP="00365218">
      <w:pPr>
        <w:pStyle w:val="C-BaseEnglishText"/>
      </w:pPr>
      <w:r w:rsidRPr="00365218">
        <w:t xml:space="preserve">In relation to </w:t>
      </w:r>
      <w:r w:rsidR="002562D9" w:rsidRPr="00365218">
        <w:t xml:space="preserve">the </w:t>
      </w:r>
      <w:r w:rsidRPr="00365218">
        <w:t xml:space="preserve">eligibility </w:t>
      </w:r>
      <w:r w:rsidR="00BD1533" w:rsidRPr="00365218">
        <w:t xml:space="preserve">of judgment </w:t>
      </w:r>
      <w:r w:rsidRPr="00365218">
        <w:t>for recognition and enforcement</w:t>
      </w:r>
      <w:r w:rsidR="00BD1533" w:rsidRPr="00365218">
        <w:rPr>
          <w:rStyle w:val="Znakapoznpodarou"/>
        </w:rPr>
        <w:footnoteReference w:id="143"/>
      </w:r>
      <w:r w:rsidR="00BD1533" w:rsidRPr="00365218">
        <w:t xml:space="preserve"> </w:t>
      </w:r>
      <w:r w:rsidR="002562D9" w:rsidRPr="00365218">
        <w:t xml:space="preserve">, </w:t>
      </w:r>
      <w:r w:rsidR="00BD1533" w:rsidRPr="00365218">
        <w:t xml:space="preserve">any judgment given in dispute where the defendant </w:t>
      </w:r>
      <w:r w:rsidR="00343CA5" w:rsidRPr="00365218">
        <w:t>“</w:t>
      </w:r>
      <w:r w:rsidR="00BD1533" w:rsidRPr="00365218">
        <w:rPr>
          <w:i/>
          <w:iCs/>
        </w:rPr>
        <w:t>argued on the merits before the court of origin without contesting jurisdiction</w:t>
      </w:r>
      <w:r w:rsidR="00343CA5" w:rsidRPr="00365218">
        <w:t>”</w:t>
      </w:r>
      <w:r w:rsidR="00BD1533" w:rsidRPr="00365218">
        <w:rPr>
          <w:rStyle w:val="Znakapoznpodarou"/>
        </w:rPr>
        <w:footnoteReference w:id="144"/>
      </w:r>
      <w:r w:rsidR="00BD1533" w:rsidRPr="00365218">
        <w:t xml:space="preserve"> is eligible. </w:t>
      </w:r>
      <w:r w:rsidR="00D71315" w:rsidRPr="00365218">
        <w:t>Subparagraph</w:t>
      </w:r>
      <w:r w:rsidR="00BD1533" w:rsidRPr="00365218">
        <w:t xml:space="preserve"> (f) does not only contain objection to jurisdiction but also to its discretionary non-exercise.</w:t>
      </w:r>
      <w:r w:rsidR="00BD1533" w:rsidRPr="00365218">
        <w:rPr>
          <w:rStyle w:val="Znakapoznpodarou"/>
        </w:rPr>
        <w:footnoteReference w:id="145"/>
      </w:r>
      <w:r w:rsidR="00BD1533" w:rsidRPr="00365218">
        <w:t xml:space="preserve"> </w:t>
      </w:r>
      <w:r w:rsidR="00C44D14" w:rsidRPr="00365218">
        <w:t xml:space="preserve">Therefore, there seems to be no arising problem. Should the defendant fail to challenge jurisdiction or request to decline </w:t>
      </w:r>
      <w:r w:rsidR="00D71315" w:rsidRPr="00365218">
        <w:t xml:space="preserve">the </w:t>
      </w:r>
      <w:r w:rsidR="00C44D14" w:rsidRPr="00365218">
        <w:t>exercise of jurisdiction</w:t>
      </w:r>
      <w:r w:rsidR="00D71315" w:rsidRPr="00365218">
        <w:t>,</w:t>
      </w:r>
      <w:r w:rsidR="00C44D14" w:rsidRPr="00365218">
        <w:t xml:space="preserve"> the defendant conceded to the </w:t>
      </w:r>
      <w:r w:rsidR="00343CA5" w:rsidRPr="00365218">
        <w:t>court’s</w:t>
      </w:r>
      <w:r w:rsidR="00C44D14" w:rsidRPr="00365218">
        <w:t xml:space="preserve"> jurisdiction and consequently to recognition and enforcement in </w:t>
      </w:r>
      <w:r w:rsidR="00D71315" w:rsidRPr="00365218">
        <w:t>the other Contracting States</w:t>
      </w:r>
      <w:r w:rsidR="00C44D14" w:rsidRPr="00365218">
        <w:t>.</w:t>
      </w:r>
      <w:r w:rsidR="00F258E4" w:rsidRPr="00365218">
        <w:rPr>
          <w:rStyle w:val="Znakapoznpodarou"/>
        </w:rPr>
        <w:footnoteReference w:id="146"/>
      </w:r>
      <w:r w:rsidR="00C44D14" w:rsidRPr="00365218">
        <w:t xml:space="preserve"> However</w:t>
      </w:r>
      <w:r w:rsidR="004568FF" w:rsidRPr="00365218">
        <w:t>,</w:t>
      </w:r>
      <w:r w:rsidR="00C44D14" w:rsidRPr="00365218">
        <w:t xml:space="preserve"> should either of the objections – jurisdiction </w:t>
      </w:r>
      <w:r w:rsidR="00C44D14" w:rsidRPr="00365218">
        <w:rPr>
          <w:i/>
          <w:iCs/>
        </w:rPr>
        <w:t>per se</w:t>
      </w:r>
      <w:r w:rsidR="00C44D14" w:rsidRPr="00365218">
        <w:t xml:space="preserve"> or request to stay proceedings based on </w:t>
      </w:r>
      <w:r w:rsidR="00C44D14" w:rsidRPr="00365218">
        <w:rPr>
          <w:i/>
          <w:iCs/>
        </w:rPr>
        <w:t>forum non conveniens</w:t>
      </w:r>
      <w:r w:rsidR="00C44D14" w:rsidRPr="00365218">
        <w:t xml:space="preserve"> doctrine – be successful, it will be until the other forum renders its judgment, which might </w:t>
      </w:r>
      <w:r w:rsidR="004568FF" w:rsidRPr="00365218">
        <w:t>need</w:t>
      </w:r>
      <w:r w:rsidR="00C44D14" w:rsidRPr="00365218">
        <w:t xml:space="preserve"> recognition and enforcement.</w:t>
      </w:r>
      <w:r w:rsidR="004568FF" w:rsidRPr="00365218">
        <w:t xml:space="preserve"> In this case</w:t>
      </w:r>
      <w:r w:rsidR="00D71315" w:rsidRPr="00365218">
        <w:t>,</w:t>
      </w:r>
      <w:r w:rsidR="004568FF" w:rsidRPr="00365218">
        <w:t xml:space="preserve"> an assessment to jurisdiction basis and relevant instrument for recognition and enforcement must be given.</w:t>
      </w:r>
    </w:p>
    <w:p w14:paraId="5EF7D16D" w14:textId="04FA1938" w:rsidR="002754CF" w:rsidRPr="00365218" w:rsidRDefault="004568FF" w:rsidP="00365218">
      <w:pPr>
        <w:pStyle w:val="C-BaseEnglishText"/>
      </w:pPr>
      <w:r w:rsidRPr="00365218">
        <w:t xml:space="preserve">Interestingly, notwithstanding </w:t>
      </w:r>
      <w:r w:rsidR="007B273E" w:rsidRPr="00365218">
        <w:t>art</w:t>
      </w:r>
      <w:r w:rsidRPr="00365218">
        <w:t xml:space="preserve">. 13(1) of the Hague Convention 2019 providing a fallback to </w:t>
      </w:r>
      <w:r w:rsidRPr="00365218">
        <w:rPr>
          <w:i/>
          <w:iCs/>
        </w:rPr>
        <w:t>lex fori</w:t>
      </w:r>
      <w:r w:rsidRPr="00365218">
        <w:t xml:space="preserve"> of requested court in matters of recognition and enforcement (</w:t>
      </w:r>
      <w:r w:rsidR="00D71315" w:rsidRPr="00365218">
        <w:t>e.g.,</w:t>
      </w:r>
      <w:r w:rsidRPr="00365218">
        <w:t xml:space="preserve"> </w:t>
      </w:r>
      <w:r w:rsidR="00343CA5" w:rsidRPr="00365218">
        <w:t>“</w:t>
      </w:r>
      <w:r w:rsidRPr="00365218">
        <w:rPr>
          <w:i/>
          <w:iCs/>
        </w:rPr>
        <w:t>the law of the requested State determines whether recognition is automatic or requires a special procedure</w:t>
      </w:r>
      <w:r w:rsidR="00343CA5" w:rsidRPr="00365218">
        <w:t>”</w:t>
      </w:r>
      <w:r w:rsidRPr="00365218">
        <w:rPr>
          <w:rStyle w:val="Znakapoznpodarou"/>
        </w:rPr>
        <w:footnoteReference w:id="147"/>
      </w:r>
      <w:r w:rsidRPr="00365218">
        <w:t xml:space="preserve">), </w:t>
      </w:r>
      <w:r w:rsidR="007B273E" w:rsidRPr="00365218">
        <w:t>art</w:t>
      </w:r>
      <w:r w:rsidRPr="00365218">
        <w:t>. 13(2)</w:t>
      </w:r>
      <w:r w:rsidRPr="00365218">
        <w:rPr>
          <w:rStyle w:val="Znakapoznpodarou"/>
        </w:rPr>
        <w:footnoteReference w:id="148"/>
      </w:r>
      <w:r w:rsidRPr="00365218">
        <w:t xml:space="preserve"> explicitly forbids the use of </w:t>
      </w:r>
      <w:r w:rsidRPr="00365218">
        <w:rPr>
          <w:i/>
          <w:iCs/>
        </w:rPr>
        <w:t>lex fori forum non conveniens</w:t>
      </w:r>
      <w:r w:rsidRPr="00365218">
        <w:t xml:space="preserve"> doctrine in such recognition and enforcement proceedings</w:t>
      </w:r>
      <w:r w:rsidR="007D0F26" w:rsidRPr="00365218">
        <w:rPr>
          <w:rStyle w:val="Znakapoznpodarou"/>
        </w:rPr>
        <w:footnoteReference w:id="149"/>
      </w:r>
      <w:r w:rsidRPr="00365218">
        <w:t xml:space="preserve">. Hence, </w:t>
      </w:r>
      <w:r w:rsidRPr="00365218">
        <w:rPr>
          <w:i/>
          <w:iCs/>
        </w:rPr>
        <w:t>forum non conveniens</w:t>
      </w:r>
      <w:r w:rsidRPr="00365218">
        <w:t xml:space="preserve"> cannot be a ground for refusal to recognize and enforce judgment</w:t>
      </w:r>
      <w:r w:rsidR="00801237" w:rsidRPr="00365218">
        <w:rPr>
          <w:rStyle w:val="Znakapoznpodarou"/>
        </w:rPr>
        <w:footnoteReference w:id="150"/>
      </w:r>
      <w:r w:rsidRPr="00365218">
        <w:t xml:space="preserve"> satisfying at least one of the filters in art. 5 and general provisions of </w:t>
      </w:r>
      <w:r w:rsidR="007B273E" w:rsidRPr="00365218">
        <w:t>art</w:t>
      </w:r>
      <w:r w:rsidRPr="00365218">
        <w:t>. 4(3).</w:t>
      </w:r>
      <w:r w:rsidR="000627A2" w:rsidRPr="00365218">
        <w:rPr>
          <w:rStyle w:val="Znakapoznpodarou"/>
        </w:rPr>
        <w:footnoteReference w:id="151"/>
      </w:r>
      <w:r w:rsidR="00834C65" w:rsidRPr="00365218">
        <w:t xml:space="preserve"> </w:t>
      </w:r>
    </w:p>
    <w:p w14:paraId="002C429E" w14:textId="36298170" w:rsidR="004568FF" w:rsidRPr="00365218" w:rsidRDefault="00834C65" w:rsidP="00365218">
      <w:pPr>
        <w:pStyle w:val="C-BaseEnglishText"/>
      </w:pPr>
      <w:r w:rsidRPr="00365218">
        <w:t xml:space="preserve">No correlating provision is to be found </w:t>
      </w:r>
      <w:r w:rsidR="002754CF" w:rsidRPr="00365218">
        <w:t>in Hague Convention 2005</w:t>
      </w:r>
      <w:r w:rsidR="00D71315" w:rsidRPr="00365218">
        <w:t>,</w:t>
      </w:r>
      <w:r w:rsidR="002754CF" w:rsidRPr="00365218">
        <w:t xml:space="preserve"> and one can only assume whether this might amount to </w:t>
      </w:r>
      <w:r w:rsidR="00D71315" w:rsidRPr="00365218">
        <w:t xml:space="preserve">the </w:t>
      </w:r>
      <w:r w:rsidR="002754CF" w:rsidRPr="00365218">
        <w:t xml:space="preserve">eligibility of </w:t>
      </w:r>
      <w:r w:rsidR="00D71315" w:rsidRPr="00365218">
        <w:t xml:space="preserve">the </w:t>
      </w:r>
      <w:r w:rsidR="008E6AC2" w:rsidRPr="00365218">
        <w:t xml:space="preserve">requested </w:t>
      </w:r>
      <w:r w:rsidR="002754CF" w:rsidRPr="00365218">
        <w:t xml:space="preserve">court under Hague Convention 2005 to refuse </w:t>
      </w:r>
      <w:r w:rsidR="008E6AC2" w:rsidRPr="00365218">
        <w:t xml:space="preserve">recognition and enforcement </w:t>
      </w:r>
      <w:r w:rsidR="00D71315" w:rsidRPr="00365218">
        <w:t>on the grounds that</w:t>
      </w:r>
      <w:r w:rsidR="002754CF" w:rsidRPr="00365218">
        <w:t xml:space="preserve"> recognition or enforcement should be sought in another State. It is my belief that </w:t>
      </w:r>
      <w:r w:rsidR="007B273E" w:rsidRPr="00365218">
        <w:t>art</w:t>
      </w:r>
      <w:r w:rsidR="002754CF" w:rsidRPr="00365218">
        <w:t xml:space="preserve">. 13(2) Hague Convention 2019 is </w:t>
      </w:r>
      <w:r w:rsidR="005C5FCD" w:rsidRPr="00365218">
        <w:t>considering</w:t>
      </w:r>
      <w:r w:rsidR="008E6AC2" w:rsidRPr="00365218">
        <w:t xml:space="preserve"> </w:t>
      </w:r>
      <w:r w:rsidR="007B273E" w:rsidRPr="00365218">
        <w:t>art</w:t>
      </w:r>
      <w:r w:rsidR="008E6AC2" w:rsidRPr="00365218">
        <w:t xml:space="preserve">. 4(1) second sentence of the Hague Convention 2019 </w:t>
      </w:r>
      <w:r w:rsidR="002754CF" w:rsidRPr="00365218">
        <w:t xml:space="preserve">redundant. If a judgment </w:t>
      </w:r>
      <w:r w:rsidR="00343CA5" w:rsidRPr="00365218">
        <w:t>“</w:t>
      </w:r>
      <w:r w:rsidR="002754CF" w:rsidRPr="00365218">
        <w:rPr>
          <w:i/>
          <w:iCs/>
        </w:rPr>
        <w:t>is eligible for recognition and enforcement within the scope of the Convention, and the criteria laid down in the following provisions of Chapter II are met, it is not open to a State to refuse recognition or enforcement on other grounds under national law</w:t>
      </w:r>
      <w:r w:rsidR="00343CA5" w:rsidRPr="00365218">
        <w:t>”</w:t>
      </w:r>
      <w:r w:rsidR="002754CF" w:rsidRPr="00365218">
        <w:rPr>
          <w:rStyle w:val="Znakapoznpodarou"/>
        </w:rPr>
        <w:footnoteReference w:id="152"/>
      </w:r>
      <w:r w:rsidR="002754CF" w:rsidRPr="00365218">
        <w:t xml:space="preserve">. Therefore, lack of similar provision within </w:t>
      </w:r>
      <w:r w:rsidR="00D71315" w:rsidRPr="00365218">
        <w:t xml:space="preserve">the </w:t>
      </w:r>
      <w:r w:rsidR="002754CF" w:rsidRPr="00365218">
        <w:t xml:space="preserve">Hague Convention 2005 as is embodied in </w:t>
      </w:r>
      <w:r w:rsidR="007B273E" w:rsidRPr="00365218">
        <w:t>art</w:t>
      </w:r>
      <w:r w:rsidR="002754CF" w:rsidRPr="00365218">
        <w:t>. 13(2) Hague Convention 2005 does not entail a right of requested Contracting state to refuse recognition and enforcement based on provisions of national law.</w:t>
      </w:r>
    </w:p>
    <w:p w14:paraId="2EF53315" w14:textId="3C57B0A8" w:rsidR="00F53F78" w:rsidRPr="00365218" w:rsidRDefault="00F53F78" w:rsidP="00F53F78">
      <w:pPr>
        <w:pStyle w:val="C-HeadingNumbered1"/>
      </w:pPr>
      <w:r w:rsidRPr="00365218">
        <w:t>Conclusion</w:t>
      </w:r>
    </w:p>
    <w:p w14:paraId="0B20F201" w14:textId="0DDBC94E" w:rsidR="00CD180D" w:rsidRPr="00365218" w:rsidRDefault="00CD180D" w:rsidP="00365218">
      <w:pPr>
        <w:pStyle w:val="C-BaseEnglishText"/>
      </w:pPr>
      <w:r w:rsidRPr="00365218">
        <w:t>This paper</w:t>
      </w:r>
      <w:r w:rsidR="000862BA" w:rsidRPr="00365218">
        <w:t xml:space="preserve"> </w:t>
      </w:r>
      <w:r w:rsidR="00444EA0" w:rsidRPr="00365218">
        <w:t xml:space="preserve">aims to evaluate the feasibility of </w:t>
      </w:r>
      <w:r w:rsidR="00D71315" w:rsidRPr="00365218">
        <w:t xml:space="preserve">the </w:t>
      </w:r>
      <w:r w:rsidR="00444EA0" w:rsidRPr="00365218">
        <w:rPr>
          <w:i/>
          <w:iCs/>
        </w:rPr>
        <w:t>forum non conveniens</w:t>
      </w:r>
      <w:r w:rsidR="00444EA0" w:rsidRPr="00365218">
        <w:t xml:space="preserve"> doctrine in light of Brexit. </w:t>
      </w:r>
      <w:r w:rsidR="005F7F22" w:rsidRPr="00365218">
        <w:t>The question is not whether</w:t>
      </w:r>
      <w:r w:rsidR="008A0887" w:rsidRPr="00365218">
        <w:t xml:space="preserve"> English</w:t>
      </w:r>
      <w:r w:rsidR="005F7F22" w:rsidRPr="00365218">
        <w:t xml:space="preserve"> courts might </w:t>
      </w:r>
      <w:r w:rsidR="00C6635C" w:rsidRPr="00365218">
        <w:t>want to do so, as it is apparent there were times when th</w:t>
      </w:r>
      <w:r w:rsidR="008A0887" w:rsidRPr="00365218">
        <w:t xml:space="preserve">ose courts </w:t>
      </w:r>
      <w:r w:rsidR="00D71315" w:rsidRPr="00365218">
        <w:t>themselves</w:t>
      </w:r>
      <w:r w:rsidR="00C6635C" w:rsidRPr="00365218">
        <w:t xml:space="preserve"> were reluctant to exercise this power, however</w:t>
      </w:r>
      <w:r w:rsidR="00D71315" w:rsidRPr="00365218">
        <w:t>,</w:t>
      </w:r>
      <w:r w:rsidR="00C6635C" w:rsidRPr="00365218">
        <w:t xml:space="preserve"> whether they even have or would have the tools to do it.</w:t>
      </w:r>
    </w:p>
    <w:p w14:paraId="4C6DD4EF" w14:textId="638F8EB3" w:rsidR="00E5609D" w:rsidRPr="00365218" w:rsidRDefault="00E5609D" w:rsidP="00365218">
      <w:pPr>
        <w:pStyle w:val="C-BaseEnglishText"/>
      </w:pPr>
      <w:r w:rsidRPr="00365218">
        <w:t xml:space="preserve">While doctrinal position regarding </w:t>
      </w:r>
      <w:r w:rsidRPr="00365218">
        <w:rPr>
          <w:i/>
          <w:iCs/>
        </w:rPr>
        <w:t xml:space="preserve">forum non conveniens </w:t>
      </w:r>
      <w:r w:rsidRPr="00365218">
        <w:t xml:space="preserve">is </w:t>
      </w:r>
      <w:r w:rsidR="00D00632" w:rsidRPr="00365218">
        <w:t>relatively</w:t>
      </w:r>
      <w:r w:rsidR="00CC6C31" w:rsidRPr="00365218">
        <w:t xml:space="preserve"> </w:t>
      </w:r>
      <w:r w:rsidRPr="00365218">
        <w:t>coherent</w:t>
      </w:r>
      <w:r w:rsidR="00CC6C31" w:rsidRPr="00365218">
        <w:t>,</w:t>
      </w:r>
      <w:r w:rsidR="00680A7A" w:rsidRPr="00365218">
        <w:t xml:space="preserve"> EU law d</w:t>
      </w:r>
      <w:r w:rsidR="00CC6C31" w:rsidRPr="00365218">
        <w:t>oes</w:t>
      </w:r>
      <w:r w:rsidR="00680A7A" w:rsidRPr="00365218">
        <w:t xml:space="preserve"> not favour its applicability.</w:t>
      </w:r>
      <w:r w:rsidRPr="00365218">
        <w:t xml:space="preserve"> </w:t>
      </w:r>
      <w:r w:rsidR="00680A7A" w:rsidRPr="00365218">
        <w:t>F</w:t>
      </w:r>
      <w:r w:rsidRPr="00365218">
        <w:t>ollowing</w:t>
      </w:r>
      <w:r w:rsidR="008516CA" w:rsidRPr="00365218">
        <w:t xml:space="preserve"> its formation in </w:t>
      </w:r>
      <w:r w:rsidR="008516CA" w:rsidRPr="00365218">
        <w:rPr>
          <w:i/>
          <w:iCs/>
        </w:rPr>
        <w:t>lis alibi pendens</w:t>
      </w:r>
      <w:r w:rsidR="008516CA" w:rsidRPr="00365218">
        <w:t xml:space="preserve"> cases </w:t>
      </w:r>
      <w:r w:rsidR="008516CA" w:rsidRPr="00365218">
        <w:rPr>
          <w:i/>
          <w:iCs/>
        </w:rPr>
        <w:t>Logan v Bank of Scotland</w:t>
      </w:r>
      <w:r w:rsidR="008516CA" w:rsidRPr="00365218">
        <w:t xml:space="preserve">, </w:t>
      </w:r>
      <w:r w:rsidR="008516CA" w:rsidRPr="00365218">
        <w:rPr>
          <w:i/>
          <w:iCs/>
        </w:rPr>
        <w:t>Egbert v Short</w:t>
      </w:r>
      <w:r w:rsidR="008516CA" w:rsidRPr="00365218">
        <w:t xml:space="preserve"> and </w:t>
      </w:r>
      <w:r w:rsidR="008516CA" w:rsidRPr="00365218">
        <w:rPr>
          <w:i/>
          <w:iCs/>
        </w:rPr>
        <w:t xml:space="preserve">In re </w:t>
      </w:r>
      <w:r w:rsidR="00343CA5" w:rsidRPr="00365218">
        <w:rPr>
          <w:i/>
          <w:iCs/>
        </w:rPr>
        <w:t>Norton’s</w:t>
      </w:r>
      <w:r w:rsidR="008516CA" w:rsidRPr="00365218">
        <w:rPr>
          <w:i/>
          <w:iCs/>
        </w:rPr>
        <w:t xml:space="preserve"> Settlement</w:t>
      </w:r>
      <w:r w:rsidR="00D71315" w:rsidRPr="00365218">
        <w:rPr>
          <w:i/>
          <w:iCs/>
        </w:rPr>
        <w:t>,</w:t>
      </w:r>
      <w:r w:rsidR="00680A7A" w:rsidRPr="00365218">
        <w:t xml:space="preserve"> the modern </w:t>
      </w:r>
      <w:r w:rsidR="00680A7A" w:rsidRPr="00365218">
        <w:rPr>
          <w:i/>
          <w:iCs/>
        </w:rPr>
        <w:t>forum non conveniens</w:t>
      </w:r>
      <w:r w:rsidR="00680A7A" w:rsidRPr="00365218">
        <w:t xml:space="preserve"> doctrine and its test was established under another </w:t>
      </w:r>
      <w:r w:rsidR="00680A7A" w:rsidRPr="00365218">
        <w:rPr>
          <w:i/>
          <w:iCs/>
        </w:rPr>
        <w:t>lis alibi pendens</w:t>
      </w:r>
      <w:r w:rsidR="00680A7A" w:rsidRPr="00365218">
        <w:t xml:space="preserve"> case </w:t>
      </w:r>
      <w:r w:rsidR="00680A7A" w:rsidRPr="00365218">
        <w:rPr>
          <w:i/>
          <w:iCs/>
        </w:rPr>
        <w:t>St. Pierre</w:t>
      </w:r>
      <w:r w:rsidR="00680A7A" w:rsidRPr="00365218">
        <w:t xml:space="preserve">. </w:t>
      </w:r>
      <w:r w:rsidR="001134E5" w:rsidRPr="00365218">
        <w:t xml:space="preserve">In conjuncture with anti-suit injunctions, both doctrines assessed their applicability on </w:t>
      </w:r>
      <w:r w:rsidR="00D71315" w:rsidRPr="00365218">
        <w:t xml:space="preserve">the </w:t>
      </w:r>
      <w:r w:rsidR="001134E5" w:rsidRPr="00365218">
        <w:t xml:space="preserve">vexatious and oppressive test. However, the judicial practice under </w:t>
      </w:r>
      <w:r w:rsidR="001134E5" w:rsidRPr="00365218">
        <w:rPr>
          <w:i/>
          <w:iCs/>
        </w:rPr>
        <w:t>St. Pierre</w:t>
      </w:r>
      <w:r w:rsidR="001134E5" w:rsidRPr="00365218">
        <w:t xml:space="preserve"> was so radically plaintiff oriented that stay of proceeding on </w:t>
      </w:r>
      <w:r w:rsidR="00D71315" w:rsidRPr="00365218">
        <w:t xml:space="preserve">the </w:t>
      </w:r>
      <w:r w:rsidR="001134E5" w:rsidRPr="00365218">
        <w:t xml:space="preserve">ground of </w:t>
      </w:r>
      <w:r w:rsidR="001134E5" w:rsidRPr="00365218">
        <w:rPr>
          <w:i/>
          <w:iCs/>
        </w:rPr>
        <w:t>forum non conveniens</w:t>
      </w:r>
      <w:r w:rsidR="001134E5" w:rsidRPr="00365218">
        <w:t xml:space="preserve"> became non-existent.</w:t>
      </w:r>
    </w:p>
    <w:p w14:paraId="38A12404" w14:textId="6D355F8C" w:rsidR="00CC6C31" w:rsidRPr="00365218" w:rsidRDefault="00CC6C31" w:rsidP="00365218">
      <w:pPr>
        <w:pStyle w:val="C-BaseEnglishText"/>
      </w:pPr>
      <w:r w:rsidRPr="00365218">
        <w:t xml:space="preserve">In 40 years following </w:t>
      </w:r>
      <w:r w:rsidRPr="00365218">
        <w:rPr>
          <w:i/>
          <w:iCs/>
        </w:rPr>
        <w:t>St. Pierre</w:t>
      </w:r>
      <w:r w:rsidR="00D71315" w:rsidRPr="00365218">
        <w:rPr>
          <w:i/>
          <w:iCs/>
        </w:rPr>
        <w:t>,</w:t>
      </w:r>
      <w:r w:rsidRPr="00365218">
        <w:t xml:space="preserve"> the test for </w:t>
      </w:r>
      <w:r w:rsidR="00D71315" w:rsidRPr="00365218">
        <w:t xml:space="preserve">the </w:t>
      </w:r>
      <w:r w:rsidRPr="00365218">
        <w:t xml:space="preserve">grant of stay reformed from narrow interpretation to liberal use in </w:t>
      </w:r>
      <w:r w:rsidRPr="00365218">
        <w:rPr>
          <w:i/>
          <w:iCs/>
        </w:rPr>
        <w:t>Atlantic Star</w:t>
      </w:r>
      <w:r w:rsidRPr="00365218">
        <w:t xml:space="preserve"> and from vexatious and oppressive factor to factor of appropriateness in </w:t>
      </w:r>
      <w:r w:rsidRPr="00365218">
        <w:rPr>
          <w:i/>
          <w:iCs/>
        </w:rPr>
        <w:t>MacShannon</w:t>
      </w:r>
      <w:r w:rsidRPr="00365218">
        <w:t xml:space="preserve">. </w:t>
      </w:r>
      <w:r w:rsidR="00133FA3" w:rsidRPr="00365218">
        <w:t xml:space="preserve">Defendant argues for foreign </w:t>
      </w:r>
      <w:r w:rsidR="00343CA5" w:rsidRPr="00365218">
        <w:t>dispute’s</w:t>
      </w:r>
      <w:r w:rsidR="00133FA3" w:rsidRPr="00365218">
        <w:t xml:space="preserve"> centre of gravity</w:t>
      </w:r>
      <w:r w:rsidR="00D71315" w:rsidRPr="00365218">
        <w:t>. Plaintiff</w:t>
      </w:r>
      <w:r w:rsidR="00133FA3" w:rsidRPr="00365218">
        <w:t xml:space="preserve"> argues the injustice a stay would cause. </w:t>
      </w:r>
      <w:r w:rsidR="00D71315" w:rsidRPr="00365218">
        <w:t>The cause</w:t>
      </w:r>
      <w:r w:rsidR="00133FA3" w:rsidRPr="00365218">
        <w:t xml:space="preserve"> for injustice was then further specified in </w:t>
      </w:r>
      <w:r w:rsidR="00133FA3" w:rsidRPr="00365218">
        <w:rPr>
          <w:i/>
          <w:iCs/>
        </w:rPr>
        <w:t>Abidin Daver</w:t>
      </w:r>
      <w:r w:rsidR="00133FA3" w:rsidRPr="00365218">
        <w:t>.</w:t>
      </w:r>
    </w:p>
    <w:p w14:paraId="19D57E3F" w14:textId="5FE66C9B" w:rsidR="00FF1940" w:rsidRPr="00365218" w:rsidRDefault="00FF1940" w:rsidP="00365218">
      <w:pPr>
        <w:pStyle w:val="C-BaseEnglishText"/>
      </w:pPr>
      <w:r w:rsidRPr="00365218">
        <w:t xml:space="preserve">Modern </w:t>
      </w:r>
      <w:r w:rsidRPr="00365218">
        <w:rPr>
          <w:i/>
          <w:iCs/>
        </w:rPr>
        <w:t>forum non conveniens</w:t>
      </w:r>
      <w:r w:rsidRPr="00365218">
        <w:t xml:space="preserve"> was finally recognized as as-of-right in </w:t>
      </w:r>
      <w:r w:rsidRPr="00365218">
        <w:rPr>
          <w:i/>
          <w:iCs/>
        </w:rPr>
        <w:t>Spiliada</w:t>
      </w:r>
      <w:r w:rsidRPr="00365218">
        <w:t xml:space="preserve">, taking a position argued under </w:t>
      </w:r>
      <w:r w:rsidRPr="00365218">
        <w:rPr>
          <w:i/>
          <w:iCs/>
        </w:rPr>
        <w:t xml:space="preserve">MacShannon </w:t>
      </w:r>
      <w:r w:rsidRPr="00365218">
        <w:t xml:space="preserve">and </w:t>
      </w:r>
      <w:r w:rsidRPr="00365218">
        <w:rPr>
          <w:i/>
          <w:iCs/>
        </w:rPr>
        <w:t>Abidin Daver</w:t>
      </w:r>
      <w:r w:rsidRPr="00365218">
        <w:t>. The doctrine remains the same to this date.</w:t>
      </w:r>
    </w:p>
    <w:p w14:paraId="25E14F8D" w14:textId="24FCE963" w:rsidR="00D21AAB" w:rsidRPr="00365218" w:rsidRDefault="00D71315" w:rsidP="00365218">
      <w:pPr>
        <w:pStyle w:val="C-BaseEnglishText"/>
      </w:pPr>
      <w:r w:rsidRPr="00365218">
        <w:t>The inherent</w:t>
      </w:r>
      <w:r w:rsidR="00A2364D" w:rsidRPr="00365218">
        <w:t xml:space="preserve"> power of </w:t>
      </w:r>
      <w:r w:rsidR="008A0887" w:rsidRPr="00365218">
        <w:t>English</w:t>
      </w:r>
      <w:r w:rsidR="00A2364D" w:rsidRPr="00365218">
        <w:t xml:space="preserve"> courts to stay proceeding </w:t>
      </w:r>
      <w:r w:rsidRPr="00365218">
        <w:t>on the grounds of</w:t>
      </w:r>
      <w:r w:rsidR="00A2364D" w:rsidRPr="00365218">
        <w:t xml:space="preserve"> </w:t>
      </w:r>
      <w:r w:rsidR="00A2364D" w:rsidRPr="00365218">
        <w:rPr>
          <w:i/>
          <w:iCs/>
        </w:rPr>
        <w:t>forum non conveniens</w:t>
      </w:r>
      <w:r w:rsidR="00A2364D" w:rsidRPr="00365218">
        <w:t xml:space="preserve"> was exercised during </w:t>
      </w:r>
      <w:r w:rsidR="00343CA5" w:rsidRPr="00365218">
        <w:t>UK’s</w:t>
      </w:r>
      <w:r w:rsidR="00A2364D" w:rsidRPr="00365218">
        <w:t xml:space="preserve"> membership in the EU on multiple occasions until 2005 and </w:t>
      </w:r>
      <w:r w:rsidR="00343CA5" w:rsidRPr="00365218">
        <w:t>CJEU’s</w:t>
      </w:r>
      <w:r w:rsidR="00A2364D" w:rsidRPr="00365218">
        <w:t xml:space="preserve"> ruling in </w:t>
      </w:r>
      <w:r w:rsidR="00A2364D" w:rsidRPr="00365218">
        <w:rPr>
          <w:i/>
          <w:iCs/>
        </w:rPr>
        <w:t>Owusu</w:t>
      </w:r>
      <w:r w:rsidR="00A2364D" w:rsidRPr="00365218">
        <w:t xml:space="preserve">. CJEU went far and beyond to reject the application of </w:t>
      </w:r>
      <w:r w:rsidR="00A2364D" w:rsidRPr="00365218">
        <w:rPr>
          <w:i/>
          <w:iCs/>
        </w:rPr>
        <w:t>forum non conveniens</w:t>
      </w:r>
      <w:r w:rsidR="00A2364D" w:rsidRPr="00365218">
        <w:t xml:space="preserve">. CJEU held that while </w:t>
      </w:r>
      <w:r w:rsidRPr="00365218">
        <w:t xml:space="preserve">the </w:t>
      </w:r>
      <w:r w:rsidR="00A2364D" w:rsidRPr="00365218">
        <w:t xml:space="preserve">international element is required under Brussels Convention, this does not have to be </w:t>
      </w:r>
      <w:r w:rsidR="00FF1883" w:rsidRPr="00365218">
        <w:t>in the presence of</w:t>
      </w:r>
      <w:r w:rsidR="00A2364D" w:rsidRPr="00365218">
        <w:t xml:space="preserve"> more than one </w:t>
      </w:r>
      <w:r w:rsidR="00FF1883" w:rsidRPr="00365218">
        <w:t>C</w:t>
      </w:r>
      <w:r w:rsidR="00A2364D" w:rsidRPr="00365218">
        <w:t xml:space="preserve">ontracting </w:t>
      </w:r>
      <w:r w:rsidR="00FF1883" w:rsidRPr="00365218">
        <w:t>S</w:t>
      </w:r>
      <w:r w:rsidR="00A2364D" w:rsidRPr="00365218">
        <w:t>tate (</w:t>
      </w:r>
      <w:r w:rsidR="00FF1883" w:rsidRPr="00365218">
        <w:t>M</w:t>
      </w:r>
      <w:r w:rsidR="00A2364D" w:rsidRPr="00365218">
        <w:t xml:space="preserve">ember </w:t>
      </w:r>
      <w:r w:rsidR="00FF1883" w:rsidRPr="00365218">
        <w:t>S</w:t>
      </w:r>
      <w:r w:rsidR="00A2364D" w:rsidRPr="00365218">
        <w:t xml:space="preserve">tate under Brussels I and Brussels Ibis Regulation). Therefore, </w:t>
      </w:r>
      <w:r w:rsidR="00FF1883" w:rsidRPr="00365218">
        <w:t xml:space="preserve">the </w:t>
      </w:r>
      <w:r w:rsidR="00A2364D" w:rsidRPr="00365218">
        <w:t xml:space="preserve">Brussels regime applies if it is part of </w:t>
      </w:r>
      <w:r w:rsidR="00FF1883" w:rsidRPr="00365218">
        <w:t xml:space="preserve">the </w:t>
      </w:r>
      <w:r w:rsidR="00A2364D" w:rsidRPr="00365218">
        <w:rPr>
          <w:i/>
          <w:iCs/>
        </w:rPr>
        <w:t>lex fori</w:t>
      </w:r>
      <w:r w:rsidR="00A2364D" w:rsidRPr="00365218">
        <w:t xml:space="preserve"> of the court and the dispute is somehow international. Consequently, general jurisdiction conferred by </w:t>
      </w:r>
      <w:r w:rsidR="00FF1883" w:rsidRPr="00365218">
        <w:t xml:space="preserve">the </w:t>
      </w:r>
      <w:r w:rsidR="00A2364D" w:rsidRPr="00365218">
        <w:t>Brussels regime is mandatory and cannot be declined unless otherwise</w:t>
      </w:r>
      <w:r w:rsidR="00FF1883" w:rsidRPr="00365218">
        <w:t xml:space="preserve"> allowed</w:t>
      </w:r>
      <w:r w:rsidR="00A2364D" w:rsidRPr="00365218">
        <w:t xml:space="preserve"> by </w:t>
      </w:r>
      <w:r w:rsidR="00FF1883" w:rsidRPr="00365218">
        <w:t xml:space="preserve">the </w:t>
      </w:r>
      <w:r w:rsidR="00A2364D" w:rsidRPr="00365218">
        <w:t>Brussels regime</w:t>
      </w:r>
      <w:r w:rsidR="00F4108E" w:rsidRPr="00365218">
        <w:t xml:space="preserve">, even when the other forum would be outside </w:t>
      </w:r>
      <w:r w:rsidR="00FF1883" w:rsidRPr="00365218">
        <w:t xml:space="preserve">the </w:t>
      </w:r>
      <w:r w:rsidR="00F4108E" w:rsidRPr="00365218">
        <w:t>EU.</w:t>
      </w:r>
    </w:p>
    <w:p w14:paraId="413B5CEF" w14:textId="750D43C4" w:rsidR="00F4108E" w:rsidRPr="00365218" w:rsidRDefault="008A0887" w:rsidP="00365218">
      <w:pPr>
        <w:pStyle w:val="C-BaseEnglishText"/>
      </w:pPr>
      <w:r w:rsidRPr="00365218">
        <w:t>English</w:t>
      </w:r>
      <w:r w:rsidR="00F4108E" w:rsidRPr="00365218">
        <w:t xml:space="preserve"> courts</w:t>
      </w:r>
      <w:r w:rsidR="00FF1883" w:rsidRPr="00365218">
        <w:t>,</w:t>
      </w:r>
      <w:r w:rsidR="00F4108E" w:rsidRPr="00365218">
        <w:t xml:space="preserve"> </w:t>
      </w:r>
      <w:r w:rsidR="00FF1883" w:rsidRPr="00365218">
        <w:t>nevertheless,</w:t>
      </w:r>
      <w:r w:rsidR="00F4108E" w:rsidRPr="00365218">
        <w:t xml:space="preserve"> refused to follow </w:t>
      </w:r>
      <w:r w:rsidR="00F4108E" w:rsidRPr="00365218">
        <w:rPr>
          <w:i/>
          <w:iCs/>
        </w:rPr>
        <w:t>Owusu</w:t>
      </w:r>
      <w:r w:rsidR="00F4108E" w:rsidRPr="00365218">
        <w:t xml:space="preserve"> </w:t>
      </w:r>
      <w:r w:rsidR="003807F4" w:rsidRPr="00365218">
        <w:t>and followed</w:t>
      </w:r>
      <w:r w:rsidR="00D94BAC" w:rsidRPr="00365218">
        <w:t xml:space="preserve"> </w:t>
      </w:r>
      <w:r w:rsidR="00D94BAC" w:rsidRPr="00365218">
        <w:rPr>
          <w:i/>
          <w:iCs/>
        </w:rPr>
        <w:t xml:space="preserve">Re Harrods </w:t>
      </w:r>
      <w:r w:rsidR="003807F4" w:rsidRPr="00365218">
        <w:t>to retain</w:t>
      </w:r>
      <w:r w:rsidR="00F4108E" w:rsidRPr="00365218">
        <w:t xml:space="preserve"> their authority to stay proceeding in </w:t>
      </w:r>
      <w:r w:rsidR="00FF1883" w:rsidRPr="00365218">
        <w:t>favour</w:t>
      </w:r>
      <w:r w:rsidR="00F4108E" w:rsidRPr="00365218">
        <w:t xml:space="preserve"> of non-EU courts</w:t>
      </w:r>
      <w:r w:rsidR="00FF1883" w:rsidRPr="00365218">
        <w:t xml:space="preserve"> when no other Member State is involved</w:t>
      </w:r>
      <w:r w:rsidR="00F4108E" w:rsidRPr="00365218">
        <w:t>.</w:t>
      </w:r>
    </w:p>
    <w:p w14:paraId="313E39C9" w14:textId="4E6E3741" w:rsidR="00FF1940" w:rsidRPr="00365218" w:rsidRDefault="00D21AAB" w:rsidP="00365218">
      <w:pPr>
        <w:pStyle w:val="C-BaseEnglishText"/>
      </w:pPr>
      <w:r w:rsidRPr="00365218">
        <w:t>The question is</w:t>
      </w:r>
      <w:r w:rsidR="00FF1883" w:rsidRPr="00365218">
        <w:t>,</w:t>
      </w:r>
      <w:r w:rsidRPr="00365218">
        <w:t xml:space="preserve"> then</w:t>
      </w:r>
      <w:r w:rsidR="00FF1883" w:rsidRPr="00365218">
        <w:t>,</w:t>
      </w:r>
      <w:r w:rsidRPr="00365218">
        <w:t xml:space="preserve"> what can be done </w:t>
      </w:r>
      <w:r w:rsidR="00F4108E" w:rsidRPr="00365218">
        <w:t xml:space="preserve">with this situation. </w:t>
      </w:r>
      <w:r w:rsidRPr="00365218">
        <w:t>Speaking purely without any international cooperation in mind, should</w:t>
      </w:r>
      <w:r w:rsidR="00F4108E" w:rsidRPr="00365218">
        <w:t xml:space="preserve"> England want to </w:t>
      </w:r>
      <w:r w:rsidR="00B75E4B" w:rsidRPr="00365218">
        <w:t xml:space="preserve">be free to utilize </w:t>
      </w:r>
      <w:r w:rsidR="00B75E4B" w:rsidRPr="00365218">
        <w:rPr>
          <w:i/>
          <w:iCs/>
        </w:rPr>
        <w:t>forum non conveniens</w:t>
      </w:r>
      <w:r w:rsidR="00FF1883" w:rsidRPr="00365218">
        <w:rPr>
          <w:i/>
          <w:iCs/>
        </w:rPr>
        <w:t>,</w:t>
      </w:r>
      <w:r w:rsidR="00B75E4B" w:rsidRPr="00365218">
        <w:t xml:space="preserve"> they may do so by </w:t>
      </w:r>
      <w:r w:rsidR="00D94BAC" w:rsidRPr="00365218">
        <w:t>departing from</w:t>
      </w:r>
      <w:r w:rsidR="00B75E4B" w:rsidRPr="00365218">
        <w:t xml:space="preserve"> established CJEU case-law and not concluding or acceding to any international convention.</w:t>
      </w:r>
      <w:r w:rsidR="00D94BAC" w:rsidRPr="00365218">
        <w:t xml:space="preserve"> This approach is nowhere to be sound in </w:t>
      </w:r>
      <w:r w:rsidR="00FF1883" w:rsidRPr="00365218">
        <w:t xml:space="preserve">the </w:t>
      </w:r>
      <w:r w:rsidR="00D94BAC" w:rsidRPr="00365218">
        <w:t>21</w:t>
      </w:r>
      <w:r w:rsidR="00D94BAC" w:rsidRPr="00365218">
        <w:rPr>
          <w:vertAlign w:val="superscript"/>
        </w:rPr>
        <w:t>st</w:t>
      </w:r>
      <w:r w:rsidR="00D94BAC" w:rsidRPr="00365218">
        <w:t xml:space="preserve"> century and does not promote transnational litigation. It is also something </w:t>
      </w:r>
      <w:r w:rsidR="00FF1883" w:rsidRPr="00365218">
        <w:t xml:space="preserve">the </w:t>
      </w:r>
      <w:r w:rsidR="00D94BAC" w:rsidRPr="00365218">
        <w:t xml:space="preserve">UK does not want to do as </w:t>
      </w:r>
      <w:r w:rsidR="00FF1883" w:rsidRPr="00365218">
        <w:t xml:space="preserve">a </w:t>
      </w:r>
      <w:r w:rsidR="00D94BAC" w:rsidRPr="00365218">
        <w:t>request for accession to Lugano Convention was deposited</w:t>
      </w:r>
      <w:r w:rsidR="00FF1883" w:rsidRPr="00365218">
        <w:t>,</w:t>
      </w:r>
      <w:r w:rsidR="00D94BAC" w:rsidRPr="00365218">
        <w:t xml:space="preserve"> and </w:t>
      </w:r>
      <w:r w:rsidR="00FF1883" w:rsidRPr="00365218">
        <w:t xml:space="preserve">the </w:t>
      </w:r>
      <w:r w:rsidR="00D94BAC" w:rsidRPr="00365218">
        <w:t xml:space="preserve">UK became </w:t>
      </w:r>
      <w:r w:rsidR="00FF1883" w:rsidRPr="00365218">
        <w:t xml:space="preserve">a </w:t>
      </w:r>
      <w:r w:rsidR="00D94BAC" w:rsidRPr="00365218">
        <w:t>contracting state of Hague Convention 2005 in its own right.</w:t>
      </w:r>
    </w:p>
    <w:p w14:paraId="1FED3A0F" w14:textId="05551860" w:rsidR="00D94BAC" w:rsidRPr="00365218" w:rsidRDefault="009F69E0" w:rsidP="00365218">
      <w:pPr>
        <w:pStyle w:val="C-BaseEnglishText"/>
      </w:pPr>
      <w:r w:rsidRPr="00365218">
        <w:t xml:space="preserve">Lugano Convention framework, as part of </w:t>
      </w:r>
      <w:r w:rsidR="00FF1883" w:rsidRPr="00365218">
        <w:t xml:space="preserve">the </w:t>
      </w:r>
      <w:r w:rsidRPr="00365218">
        <w:t xml:space="preserve">Brussels-Lugano zone, would ultimately ban </w:t>
      </w:r>
      <w:r w:rsidR="00FF1883" w:rsidRPr="00365218">
        <w:t xml:space="preserve">the </w:t>
      </w:r>
      <w:r w:rsidRPr="00365218">
        <w:t xml:space="preserve">use of </w:t>
      </w:r>
      <w:r w:rsidRPr="00365218">
        <w:rPr>
          <w:i/>
          <w:iCs/>
        </w:rPr>
        <w:t>forum non conveniens</w:t>
      </w:r>
      <w:r w:rsidRPr="00365218">
        <w:t xml:space="preserve"> in </w:t>
      </w:r>
      <w:r w:rsidR="00FF1883" w:rsidRPr="00365218">
        <w:t xml:space="preserve">the </w:t>
      </w:r>
      <w:r w:rsidRPr="00365218">
        <w:t xml:space="preserve">same manner as </w:t>
      </w:r>
      <w:r w:rsidR="00B470DC" w:rsidRPr="00365218">
        <w:t xml:space="preserve">adjudicated in </w:t>
      </w:r>
      <w:r w:rsidR="00B470DC" w:rsidRPr="00365218">
        <w:rPr>
          <w:i/>
          <w:iCs/>
        </w:rPr>
        <w:t>Owusu</w:t>
      </w:r>
      <w:r w:rsidR="00B470DC" w:rsidRPr="00365218">
        <w:t xml:space="preserve">. </w:t>
      </w:r>
      <w:r w:rsidR="00343CA5" w:rsidRPr="00365218">
        <w:t>UK’s</w:t>
      </w:r>
      <w:r w:rsidR="00B470DC" w:rsidRPr="00365218">
        <w:t xml:space="preserve"> accession to Lugano Convention also seems highly improbable since </w:t>
      </w:r>
      <w:r w:rsidR="00FF1883" w:rsidRPr="00365218">
        <w:t xml:space="preserve">a </w:t>
      </w:r>
      <w:r w:rsidR="00B470DC" w:rsidRPr="00365218">
        <w:t>unilateral agreement on new accessions is needed</w:t>
      </w:r>
      <w:r w:rsidR="00FF1883" w:rsidRPr="00365218">
        <w:t>,</w:t>
      </w:r>
      <w:r w:rsidR="00B470DC" w:rsidRPr="00365218">
        <w:t xml:space="preserve"> and </w:t>
      </w:r>
      <w:r w:rsidR="00FF1883" w:rsidRPr="00365218">
        <w:t xml:space="preserve">the </w:t>
      </w:r>
      <w:r w:rsidR="00B470DC" w:rsidRPr="00365218">
        <w:t xml:space="preserve">EU refuses to allow UK to participate in </w:t>
      </w:r>
      <w:r w:rsidR="00FF1883" w:rsidRPr="00365218">
        <w:t xml:space="preserve">the </w:t>
      </w:r>
      <w:r w:rsidR="00B470DC" w:rsidRPr="00365218">
        <w:t>Lugano framework.</w:t>
      </w:r>
      <w:r w:rsidR="00A97763" w:rsidRPr="00365218">
        <w:t xml:space="preserve"> This correspondingly answers hypothesis (</w:t>
      </w:r>
      <w:r w:rsidR="00A97763" w:rsidRPr="00365218">
        <w:rPr>
          <w:b/>
          <w:bCs/>
        </w:rPr>
        <w:t>b</w:t>
      </w:r>
      <w:r w:rsidR="00A97763" w:rsidRPr="00365218">
        <w:t>).</w:t>
      </w:r>
    </w:p>
    <w:p w14:paraId="625EA456" w14:textId="5711AFAD" w:rsidR="00B470DC" w:rsidRPr="00365218" w:rsidRDefault="009B5C5C" w:rsidP="00365218">
      <w:pPr>
        <w:pStyle w:val="C-BaseEnglishText"/>
      </w:pPr>
      <w:r w:rsidRPr="00365218">
        <w:t xml:space="preserve">Being said that </w:t>
      </w:r>
      <w:r w:rsidR="00FF1883" w:rsidRPr="00365218">
        <w:t xml:space="preserve">the </w:t>
      </w:r>
      <w:r w:rsidRPr="00365218">
        <w:t xml:space="preserve">UK has already acceded to Hague Convention 2005, what does that mean for </w:t>
      </w:r>
      <w:r w:rsidRPr="00365218">
        <w:rPr>
          <w:i/>
          <w:iCs/>
        </w:rPr>
        <w:t>forum non conveniens</w:t>
      </w:r>
      <w:r w:rsidRPr="00365218">
        <w:t xml:space="preserve">? </w:t>
      </w:r>
      <w:r w:rsidR="005C5FCD" w:rsidRPr="00365218">
        <w:t>First</w:t>
      </w:r>
      <w:r w:rsidR="005C5FCD">
        <w:t>ly</w:t>
      </w:r>
      <w:r w:rsidRPr="00365218">
        <w:t xml:space="preserve">, this applies solely to exclusive choice of court clauses, merely a part of how the jurisdiction can be conferred. </w:t>
      </w:r>
      <w:r w:rsidR="00071B97" w:rsidRPr="00365218">
        <w:t>In this narrow scope</w:t>
      </w:r>
      <w:r w:rsidR="00FF1883" w:rsidRPr="00365218">
        <w:t>,</w:t>
      </w:r>
      <w:r w:rsidR="00071B97" w:rsidRPr="00365218">
        <w:t xml:space="preserve"> the Hague Convention 2005 prohibits </w:t>
      </w:r>
      <w:r w:rsidR="00FF1883" w:rsidRPr="00365218">
        <w:t xml:space="preserve">the </w:t>
      </w:r>
      <w:r w:rsidR="00071B97" w:rsidRPr="00365218">
        <w:t xml:space="preserve">use of </w:t>
      </w:r>
      <w:r w:rsidR="00071B97" w:rsidRPr="00365218">
        <w:rPr>
          <w:i/>
          <w:iCs/>
        </w:rPr>
        <w:t>forum non conveniens</w:t>
      </w:r>
      <w:r w:rsidR="00071B97" w:rsidRPr="00365218">
        <w:t xml:space="preserve">, neither in jurisdiction allocation nor in recognition and enforcement proceedings. The only exception to the general rule is </w:t>
      </w:r>
      <w:r w:rsidR="00FF1883" w:rsidRPr="00365218">
        <w:t xml:space="preserve">a </w:t>
      </w:r>
      <w:r w:rsidR="00071B97" w:rsidRPr="00365218">
        <w:t xml:space="preserve">hypothetical declaration made by </w:t>
      </w:r>
      <w:r w:rsidR="00FF1883" w:rsidRPr="00365218">
        <w:t xml:space="preserve">the </w:t>
      </w:r>
      <w:r w:rsidR="00071B97" w:rsidRPr="00365218">
        <w:t xml:space="preserve">contracting state regarding </w:t>
      </w:r>
      <w:r w:rsidR="00FF1883" w:rsidRPr="00365218">
        <w:t xml:space="preserve">the </w:t>
      </w:r>
      <w:r w:rsidR="00071B97" w:rsidRPr="00365218">
        <w:t xml:space="preserve">link between </w:t>
      </w:r>
      <w:r w:rsidR="00FF1883" w:rsidRPr="00365218">
        <w:t xml:space="preserve">the </w:t>
      </w:r>
      <w:r w:rsidR="00071B97" w:rsidRPr="00365218">
        <w:t xml:space="preserve">forum and parties of the dispute. </w:t>
      </w:r>
      <w:r w:rsidR="00FF1883" w:rsidRPr="00365218">
        <w:t xml:space="preserve">The </w:t>
      </w:r>
      <w:r w:rsidR="00071B97" w:rsidRPr="00365218">
        <w:t xml:space="preserve">UK has not made such </w:t>
      </w:r>
      <w:r w:rsidR="00FF1883" w:rsidRPr="00365218">
        <w:t xml:space="preserve">a </w:t>
      </w:r>
      <w:r w:rsidR="00071B97" w:rsidRPr="00365218">
        <w:t xml:space="preserve">declaration, which is deemed positively as this would undermine the purpose of </w:t>
      </w:r>
      <w:r w:rsidR="00FF1883" w:rsidRPr="00365218">
        <w:t xml:space="preserve">the </w:t>
      </w:r>
      <w:r w:rsidR="00071B97" w:rsidRPr="00365218">
        <w:t>Hague Convention 2005.</w:t>
      </w:r>
    </w:p>
    <w:p w14:paraId="46D424F3" w14:textId="5135284A" w:rsidR="00CC0550" w:rsidRPr="00365218" w:rsidRDefault="00CC0550" w:rsidP="00365218">
      <w:pPr>
        <w:pStyle w:val="C-BaseEnglishText"/>
      </w:pPr>
      <w:r w:rsidRPr="00365218">
        <w:t xml:space="preserve">Considering second of Hague instruments, Hague Convention 2019 does not </w:t>
      </w:r>
      <w:r w:rsidR="00FF1883" w:rsidRPr="00365218">
        <w:t>regulate</w:t>
      </w:r>
      <w:r w:rsidRPr="00365218">
        <w:t xml:space="preserve"> jurisdiction allocation, merely with recognition and enforcement of judgments. As </w:t>
      </w:r>
      <w:r w:rsidRPr="00365218">
        <w:rPr>
          <w:i/>
          <w:iCs/>
        </w:rPr>
        <w:t>forum non conveniens</w:t>
      </w:r>
      <w:r w:rsidRPr="00365218">
        <w:t xml:space="preserve"> is </w:t>
      </w:r>
      <w:r w:rsidR="00D00632" w:rsidRPr="00365218">
        <w:t>mainly used</w:t>
      </w:r>
      <w:r w:rsidRPr="00365218">
        <w:t xml:space="preserve"> to rebut </w:t>
      </w:r>
      <w:r w:rsidR="00D00632" w:rsidRPr="00365218">
        <w:t xml:space="preserve">the </w:t>
      </w:r>
      <w:r w:rsidRPr="00365218">
        <w:t xml:space="preserve">jurisdiction of </w:t>
      </w:r>
      <w:r w:rsidR="00FF1883" w:rsidRPr="00365218">
        <w:t xml:space="preserve">the </w:t>
      </w:r>
      <w:r w:rsidRPr="00365218">
        <w:t xml:space="preserve">court, it is much less used in further proceedings. Presuming </w:t>
      </w:r>
      <w:r w:rsidR="00FF1883" w:rsidRPr="00365218">
        <w:t xml:space="preserve">the </w:t>
      </w:r>
      <w:r w:rsidRPr="00365218">
        <w:t xml:space="preserve">UK accedes to Hague Convention 2019 since it is the most favourable instrument for recognition and enforcement available to date apart from </w:t>
      </w:r>
      <w:r w:rsidR="00FF1883" w:rsidRPr="00365218">
        <w:t xml:space="preserve">the </w:t>
      </w:r>
      <w:r w:rsidRPr="00365218">
        <w:t xml:space="preserve">Brussels-Lugano zone, </w:t>
      </w:r>
      <w:r w:rsidRPr="00365218">
        <w:rPr>
          <w:i/>
          <w:iCs/>
        </w:rPr>
        <w:t xml:space="preserve">forum non conveniens </w:t>
      </w:r>
      <w:r w:rsidRPr="00365218">
        <w:t>cannot be a ground for refusal.</w:t>
      </w:r>
    </w:p>
    <w:p w14:paraId="7A094CBB" w14:textId="00730320" w:rsidR="008707A5" w:rsidRPr="00365218" w:rsidRDefault="005B493A" w:rsidP="00365218">
      <w:pPr>
        <w:pStyle w:val="C-BaseEnglishText"/>
      </w:pPr>
      <w:r w:rsidRPr="00365218">
        <w:t>Following the expressed hypothesis</w:t>
      </w:r>
      <w:r w:rsidR="00FF1883" w:rsidRPr="00365218">
        <w:t>,</w:t>
      </w:r>
      <w:r w:rsidR="00A97763" w:rsidRPr="00365218">
        <w:t xml:space="preserve"> </w:t>
      </w:r>
      <w:r w:rsidR="005C162D" w:rsidRPr="00365218">
        <w:t xml:space="preserve">since accession to Lugano Convention seems to be ultimately off the table </w:t>
      </w:r>
      <w:r w:rsidRPr="00365218">
        <w:rPr>
          <w:i/>
          <w:iCs/>
        </w:rPr>
        <w:t>forum non conveniens</w:t>
      </w:r>
      <w:r w:rsidRPr="00365218">
        <w:t xml:space="preserve"> </w:t>
      </w:r>
      <w:r w:rsidR="005C162D" w:rsidRPr="00365218">
        <w:t xml:space="preserve">may be exercised by English courts </w:t>
      </w:r>
      <w:r w:rsidR="00A97763" w:rsidRPr="00365218">
        <w:t>so long</w:t>
      </w:r>
      <w:r w:rsidR="005C162D" w:rsidRPr="00365218">
        <w:t xml:space="preserve"> the </w:t>
      </w:r>
      <w:r w:rsidR="00A97763" w:rsidRPr="00365218">
        <w:t xml:space="preserve">suit was not brought to English courts pursuant exclusive prorogation clause. To retain some degree of international cooperation, at least recognition and enforcement of judgment wise, </w:t>
      </w:r>
      <w:r w:rsidR="00FF1883" w:rsidRPr="00365218">
        <w:t xml:space="preserve">the </w:t>
      </w:r>
      <w:r w:rsidR="00A97763" w:rsidRPr="00365218">
        <w:t xml:space="preserve">UK must have confidence </w:t>
      </w:r>
      <w:r w:rsidR="00D00632" w:rsidRPr="00365218">
        <w:t xml:space="preserve">that </w:t>
      </w:r>
      <w:r w:rsidR="00A97763" w:rsidRPr="00365218">
        <w:t xml:space="preserve">the Hague Convention 2019 becomes </w:t>
      </w:r>
      <w:r w:rsidR="00FF1883" w:rsidRPr="00365218">
        <w:t xml:space="preserve">a </w:t>
      </w:r>
      <w:r w:rsidR="00A97763" w:rsidRPr="00365218">
        <w:t>widely used instrument and accede to it as well. In regard to international jurisdiction</w:t>
      </w:r>
      <w:r w:rsidR="00FF1883" w:rsidRPr="00365218">
        <w:t>,</w:t>
      </w:r>
      <w:r w:rsidR="00A97763" w:rsidRPr="00365218">
        <w:t xml:space="preserve"> an exclusive prorogation is ultimately covered. However, an approach to </w:t>
      </w:r>
      <w:r w:rsidR="00FF1883" w:rsidRPr="00365218">
        <w:t xml:space="preserve">the </w:t>
      </w:r>
      <w:r w:rsidR="00A97763" w:rsidRPr="00365218">
        <w:t xml:space="preserve">international allocation of </w:t>
      </w:r>
      <w:r w:rsidR="00FF1883" w:rsidRPr="00365218">
        <w:t xml:space="preserve">the </w:t>
      </w:r>
      <w:r w:rsidR="00A97763" w:rsidRPr="00365218">
        <w:t xml:space="preserve">jurisdiction where jurisdiction was not exclusively prorogated still remains </w:t>
      </w:r>
      <w:r w:rsidR="00AA614C" w:rsidRPr="00365218">
        <w:t xml:space="preserve">a </w:t>
      </w:r>
      <w:r w:rsidR="00A97763" w:rsidRPr="00365218">
        <w:t>mystery.</w:t>
      </w:r>
    </w:p>
    <w:p w14:paraId="465A9FA6" w14:textId="26AF03C9" w:rsidR="001E03A3" w:rsidRPr="001660F9" w:rsidRDefault="001E03A3" w:rsidP="00365218">
      <w:pPr>
        <w:pStyle w:val="C-Contact"/>
      </w:pPr>
    </w:p>
    <w:sectPr w:rsidR="001E03A3" w:rsidRPr="001660F9" w:rsidSect="00C23341">
      <w:footerReference w:type="default" r:id="rId8"/>
      <w:pgSz w:w="11906" w:h="16838"/>
      <w:pgMar w:top="1418" w:right="1985" w:bottom="2552"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D61DC" w14:textId="77777777" w:rsidR="0084491A" w:rsidRDefault="0084491A" w:rsidP="00352763">
      <w:r>
        <w:separator/>
      </w:r>
    </w:p>
  </w:endnote>
  <w:endnote w:type="continuationSeparator" w:id="0">
    <w:p w14:paraId="756EDC0E" w14:textId="77777777" w:rsidR="0084491A" w:rsidRDefault="0084491A" w:rsidP="0035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tantia">
    <w:panose1 w:val="02030602050306030303"/>
    <w:charset w:val="EE"/>
    <w:family w:val="roman"/>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6E20" w14:textId="77777777" w:rsidR="00352763" w:rsidRDefault="00352763" w:rsidP="00352763">
    <w:pPr>
      <w:pStyle w:val="C-Footer"/>
    </w:pPr>
    <w:r>
      <w:fldChar w:fldCharType="begin"/>
    </w:r>
    <w:r>
      <w:instrText xml:space="preserve"> PAGE  \* Arabic  \* MERGEFORMAT </w:instrText>
    </w:r>
    <w:r>
      <w:fldChar w:fldCharType="separate"/>
    </w:r>
    <w:r w:rsidR="00006A7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33A3" w14:textId="77777777" w:rsidR="0084491A" w:rsidRDefault="0084491A" w:rsidP="00352763">
      <w:r>
        <w:separator/>
      </w:r>
    </w:p>
  </w:footnote>
  <w:footnote w:type="continuationSeparator" w:id="0">
    <w:p w14:paraId="71CB0C73" w14:textId="77777777" w:rsidR="0084491A" w:rsidRDefault="0084491A" w:rsidP="00352763">
      <w:r>
        <w:continuationSeparator/>
      </w:r>
    </w:p>
  </w:footnote>
  <w:footnote w:id="1">
    <w:p w14:paraId="23B4B202" w14:textId="55A4AF27" w:rsidR="00417CF4" w:rsidRPr="00417CF4" w:rsidRDefault="00417CF4">
      <w:pPr>
        <w:pStyle w:val="Textpoznpodarou"/>
        <w:rPr>
          <w:lang w:val="cs-CZ"/>
        </w:rPr>
      </w:pPr>
      <w:r>
        <w:rPr>
          <w:rStyle w:val="Znakapoznpodarou"/>
        </w:rPr>
        <w:t>*</w:t>
      </w:r>
      <w:r>
        <w:t xml:space="preserve"> </w:t>
      </w:r>
      <w:r w:rsidRPr="00417CF4">
        <w:t>This</w:t>
      </w:r>
      <w:r>
        <w:t xml:space="preserve"> </w:t>
      </w:r>
      <w:r w:rsidRPr="00417CF4">
        <w:t>article was supported by ERDF project</w:t>
      </w:r>
      <w:r>
        <w:t xml:space="preserve"> </w:t>
      </w:r>
      <w:r w:rsidRPr="00417CF4">
        <w:t>"Internal grant agency of Masaryk University"</w:t>
      </w:r>
      <w:r>
        <w:t xml:space="preserve"> </w:t>
      </w:r>
      <w:r w:rsidRPr="00417CF4">
        <w:t>(No. CZ.02.2.69/0.0/0.0/19_073/0016943).</w:t>
      </w:r>
    </w:p>
  </w:footnote>
  <w:footnote w:id="2">
    <w:p w14:paraId="36C4B6EE" w14:textId="0D4D3A94" w:rsidR="00427F05" w:rsidRPr="00427F05" w:rsidRDefault="00427F05" w:rsidP="00427F05">
      <w:pPr>
        <w:pStyle w:val="Textpoznpodarou"/>
      </w:pPr>
      <w:r>
        <w:rPr>
          <w:rStyle w:val="Znakapoznpodarou"/>
        </w:rPr>
        <w:footnoteRef/>
      </w:r>
      <w:r>
        <w:t xml:space="preserve"> MAY, Theresa. </w:t>
      </w:r>
      <w:r w:rsidRPr="00427F05">
        <w:t>Prime Minister’s letter to Donald Tusk triggering Article 50</w:t>
      </w:r>
      <w:r>
        <w:t xml:space="preserve">. </w:t>
      </w:r>
      <w:r w:rsidRPr="00427F05">
        <w:rPr>
          <w:i/>
          <w:iCs/>
        </w:rPr>
        <w:t>gov.uk</w:t>
      </w:r>
      <w:r>
        <w:t xml:space="preserve"> [online]. 29. 3. 2017 [cit. 30. 8. 2021]. Available at: https://www.gov.uk/government/publications/prime-ministers-letter-to-donald-tusk-triggering- article-50</w:t>
      </w:r>
    </w:p>
  </w:footnote>
  <w:footnote w:id="3">
    <w:p w14:paraId="40F0BD68" w14:textId="212790E9" w:rsidR="00B476C7" w:rsidRPr="00EC089D" w:rsidRDefault="00B476C7" w:rsidP="00B476C7">
      <w:pPr>
        <w:pStyle w:val="Textpoznpodarou"/>
        <w:rPr>
          <w:lang w:val="cs-CZ"/>
        </w:rPr>
      </w:pPr>
      <w:r>
        <w:rPr>
          <w:rStyle w:val="Znakapoznpodarou"/>
        </w:rPr>
        <w:footnoteRef/>
      </w:r>
      <w:r>
        <w:t xml:space="preserve"> </w:t>
      </w:r>
      <w:r w:rsidRPr="000C15B2">
        <w:t xml:space="preserve">ARZANDEH, Ardavan. </w:t>
      </w:r>
      <w:r w:rsidRPr="000C15B2">
        <w:rPr>
          <w:i/>
          <w:iCs/>
        </w:rPr>
        <w:t>Forum (non) conveniens in England: past, present, and future</w:t>
      </w:r>
      <w:r w:rsidRPr="000C15B2">
        <w:t>. Oxford: Hart, 2019, p</w:t>
      </w:r>
      <w:r>
        <w:t>p</w:t>
      </w:r>
      <w:r w:rsidRPr="000C15B2">
        <w:t xml:space="preserve">. </w:t>
      </w:r>
      <w:r>
        <w:t>8, 28–29, 79–83</w:t>
      </w:r>
      <w:r w:rsidRPr="000C15B2">
        <w:t>. Studies in private international law. ISBN 978-1-78225-640-3.</w:t>
      </w:r>
      <w:r>
        <w:t>;</w:t>
      </w:r>
      <w:r w:rsidRPr="00EC089D">
        <w:t xml:space="preserve"> </w:t>
      </w:r>
      <w:r w:rsidRPr="00894E85">
        <w:t xml:space="preserve">BRIGGS, Adrian. </w:t>
      </w:r>
      <w:r w:rsidRPr="00894E85">
        <w:rPr>
          <w:i/>
          <w:iCs/>
        </w:rPr>
        <w:t>Civil jurisdiction and judgments</w:t>
      </w:r>
      <w:r w:rsidRPr="00894E85">
        <w:t xml:space="preserve">. Seventh edition. Abingdon, Oxon: </w:t>
      </w:r>
      <w:r w:rsidR="007D68EF">
        <w:t>Informa law from Routledge, 2021</w:t>
      </w:r>
      <w:r w:rsidRPr="00894E85">
        <w:t>, p</w:t>
      </w:r>
      <w:r>
        <w:t>p. 480–540</w:t>
      </w:r>
      <w:r w:rsidRPr="00894E85">
        <w:t>. ISBN 9780367415327.</w:t>
      </w:r>
    </w:p>
  </w:footnote>
  <w:footnote w:id="4">
    <w:p w14:paraId="6E9F0822" w14:textId="1777F72E" w:rsidR="00B476C7" w:rsidRPr="001660F9" w:rsidRDefault="00B476C7" w:rsidP="00B476C7">
      <w:pPr>
        <w:pStyle w:val="Textpoznpodarou"/>
        <w:rPr>
          <w:lang w:val="cs-CZ"/>
        </w:rPr>
      </w:pPr>
      <w:r>
        <w:rPr>
          <w:rStyle w:val="Znakapoznpodarou"/>
        </w:rPr>
        <w:footnoteRef/>
      </w:r>
      <w:r>
        <w:t xml:space="preserve"> </w:t>
      </w:r>
      <w:r w:rsidRPr="000C15B2">
        <w:t>Spiliada Maritime Corp. v Cansulex Ltd. [1987] A.C. 460 (H.L.)</w:t>
      </w:r>
      <w:r>
        <w:t xml:space="preserve">; </w:t>
      </w:r>
      <w:r w:rsidRPr="000C15B2">
        <w:t>[1986] 3 All ER 843, [1987] AC 460, [1987] 1 Lloyd's Rep 1, [1987] ECC 168, [1987] 1 FTLR 103, [1986] UKHL 10, [1986] 3 WLR 972</w:t>
      </w:r>
      <w:r w:rsidR="007D68EF">
        <w:t>.</w:t>
      </w:r>
    </w:p>
  </w:footnote>
  <w:footnote w:id="5">
    <w:p w14:paraId="23864F75" w14:textId="3C4CD3DF" w:rsidR="00DA51DA" w:rsidRPr="001660F9" w:rsidRDefault="00DA51DA" w:rsidP="00DA51DA">
      <w:pPr>
        <w:pStyle w:val="Textpoznpodarou"/>
      </w:pPr>
      <w:r w:rsidRPr="000C15B2">
        <w:rPr>
          <w:rStyle w:val="Znakapoznpodarou"/>
        </w:rPr>
        <w:footnoteRef/>
      </w:r>
      <w:r w:rsidRPr="000C15B2">
        <w:t xml:space="preserve"> </w:t>
      </w:r>
      <w:r w:rsidRPr="000C15B2">
        <w:rPr>
          <w:i/>
          <w:iCs/>
        </w:rPr>
        <w:t>Spiliada</w:t>
      </w:r>
    </w:p>
  </w:footnote>
  <w:footnote w:id="6">
    <w:p w14:paraId="2CC041EC" w14:textId="7D2207DB" w:rsidR="000C15B2" w:rsidRPr="000C15B2" w:rsidRDefault="000C15B2">
      <w:pPr>
        <w:pStyle w:val="Textpoznpodarou"/>
      </w:pPr>
      <w:r w:rsidRPr="000C15B2">
        <w:rPr>
          <w:rStyle w:val="Znakapoznpodarou"/>
        </w:rPr>
        <w:footnoteRef/>
      </w:r>
      <w:r w:rsidRPr="000C15B2">
        <w:t xml:space="preserve"> Scotland and Quebec to name an exception to the </w:t>
      </w:r>
      <w:r w:rsidR="00DB7935">
        <w:t xml:space="preserve">general </w:t>
      </w:r>
      <w:r w:rsidRPr="000C15B2">
        <w:t>rule.</w:t>
      </w:r>
    </w:p>
  </w:footnote>
  <w:footnote w:id="7">
    <w:p w14:paraId="1F32B44B" w14:textId="21663B51" w:rsidR="0022091B" w:rsidRPr="0022091B" w:rsidRDefault="0022091B">
      <w:pPr>
        <w:pStyle w:val="Textpoznpodarou"/>
        <w:rPr>
          <w:lang w:val="cs-CZ"/>
        </w:rPr>
      </w:pPr>
      <w:r>
        <w:rPr>
          <w:rStyle w:val="Znakapoznpodarou"/>
        </w:rPr>
        <w:footnoteRef/>
      </w:r>
      <w:r>
        <w:t xml:space="preserve"> </w:t>
      </w:r>
      <w:r w:rsidRPr="00894E85">
        <w:t>BRIGGS</w:t>
      </w:r>
      <w:r w:rsidR="0027402A">
        <w:t xml:space="preserve"> 2021</w:t>
      </w:r>
      <w:r w:rsidRPr="00894E85">
        <w:t xml:space="preserve">, </w:t>
      </w:r>
      <w:r w:rsidR="00AE31E2">
        <w:t>op. cit.,</w:t>
      </w:r>
      <w:r w:rsidRPr="00894E85">
        <w:t xml:space="preserve"> p. </w:t>
      </w:r>
      <w:r>
        <w:t>410</w:t>
      </w:r>
      <w:r w:rsidRPr="00894E85">
        <w:t>.</w:t>
      </w:r>
    </w:p>
  </w:footnote>
  <w:footnote w:id="8">
    <w:p w14:paraId="4644B51D" w14:textId="610E15CC" w:rsidR="0022091B" w:rsidRPr="0022091B" w:rsidRDefault="0022091B">
      <w:pPr>
        <w:pStyle w:val="Textpoznpodarou"/>
        <w:rPr>
          <w:lang w:val="cs-CZ"/>
        </w:rPr>
      </w:pPr>
      <w:r>
        <w:rPr>
          <w:rStyle w:val="Znakapoznpodarou"/>
        </w:rPr>
        <w:footnoteRef/>
      </w:r>
      <w:r>
        <w:t xml:space="preserve"> </w:t>
      </w:r>
      <w:r w:rsidR="00132B76">
        <w:t>Ibid.</w:t>
      </w:r>
    </w:p>
  </w:footnote>
  <w:footnote w:id="9">
    <w:p w14:paraId="20210C04" w14:textId="0F151997" w:rsidR="0022091B" w:rsidRPr="0022091B" w:rsidRDefault="0022091B">
      <w:pPr>
        <w:pStyle w:val="Textpoznpodarou"/>
        <w:rPr>
          <w:lang w:val="cs-CZ"/>
        </w:rPr>
      </w:pPr>
      <w:r>
        <w:rPr>
          <w:rStyle w:val="Znakapoznpodarou"/>
        </w:rPr>
        <w:footnoteRef/>
      </w:r>
      <w:r>
        <w:t xml:space="preserve"> </w:t>
      </w:r>
      <w:r w:rsidR="00132B76">
        <w:t>Ibid.</w:t>
      </w:r>
    </w:p>
  </w:footnote>
  <w:footnote w:id="10">
    <w:p w14:paraId="6AFC5DCC" w14:textId="4CA894E6" w:rsidR="00DB0924" w:rsidRPr="000C15B2" w:rsidRDefault="00DB0924">
      <w:pPr>
        <w:pStyle w:val="Textpoznpodarou"/>
      </w:pPr>
      <w:r w:rsidRPr="000C15B2">
        <w:rPr>
          <w:rStyle w:val="Znakapoznpodarou"/>
        </w:rPr>
        <w:footnoteRef/>
      </w:r>
      <w:r w:rsidRPr="000C15B2">
        <w:t xml:space="preserve"> E.g. Vernor v Elvies, 6 Dict. of Dec. 4788 (1610)</w:t>
      </w:r>
      <w:r w:rsidR="00886CEA" w:rsidRPr="000C15B2">
        <w:t xml:space="preserve"> and consequently M’Morine v Cowie, 7 D 270 IH (1845).</w:t>
      </w:r>
    </w:p>
  </w:footnote>
  <w:footnote w:id="11">
    <w:p w14:paraId="7C701A3B" w14:textId="5FC5D5DD" w:rsidR="00DB0924" w:rsidRPr="000C15B2" w:rsidRDefault="00DB0924">
      <w:pPr>
        <w:pStyle w:val="Textpoznpodarou"/>
      </w:pPr>
      <w:r w:rsidRPr="000C15B2">
        <w:rPr>
          <w:rStyle w:val="Znakapoznpodarou"/>
        </w:rPr>
        <w:footnoteRef/>
      </w:r>
      <w:r w:rsidRPr="000C15B2">
        <w:t xml:space="preserve"> BRAND, Ronald A. a</w:t>
      </w:r>
      <w:r w:rsidR="00DB7935">
        <w:t>nd</w:t>
      </w:r>
      <w:r w:rsidRPr="000C15B2">
        <w:t xml:space="preserve"> Scott R. JABLONSKI. </w:t>
      </w:r>
      <w:r w:rsidRPr="000C15B2">
        <w:rPr>
          <w:i/>
          <w:iCs/>
        </w:rPr>
        <w:t>Forum non conveniens: history, global practice, and future under the Hague convention on choice of court agreements</w:t>
      </w:r>
      <w:r w:rsidRPr="000C15B2">
        <w:t>. New York: Oxford University Press, 2007, p. 7. CILE studies. ISBN 978-0-19-532927-8.</w:t>
      </w:r>
    </w:p>
  </w:footnote>
  <w:footnote w:id="12">
    <w:p w14:paraId="12DE4FE1" w14:textId="04F3A3A1" w:rsidR="00886CEA" w:rsidRPr="000C15B2" w:rsidRDefault="00886CEA">
      <w:pPr>
        <w:pStyle w:val="Textpoznpodarou"/>
      </w:pPr>
      <w:r w:rsidRPr="000C15B2">
        <w:rPr>
          <w:rStyle w:val="Znakapoznpodarou"/>
        </w:rPr>
        <w:footnoteRef/>
      </w:r>
      <w:r w:rsidRPr="000C15B2">
        <w:t xml:space="preserve"> Macadam v Macadam, 11 M 860 (1873)</w:t>
      </w:r>
      <w:r w:rsidR="00AE31E2">
        <w:t>.</w:t>
      </w:r>
    </w:p>
  </w:footnote>
  <w:footnote w:id="13">
    <w:p w14:paraId="2319F1D6" w14:textId="119B7828" w:rsidR="003E42C0" w:rsidRPr="000C15B2" w:rsidRDefault="003E42C0">
      <w:pPr>
        <w:pStyle w:val="Textpoznpodarou"/>
      </w:pPr>
      <w:r w:rsidRPr="000C15B2">
        <w:rPr>
          <w:rStyle w:val="Znakapoznpodarou"/>
        </w:rPr>
        <w:footnoteRef/>
      </w:r>
      <w:r w:rsidRPr="000C15B2">
        <w:t xml:space="preserve"> </w:t>
      </w:r>
      <w:r w:rsidR="003818DD" w:rsidRPr="000C15B2">
        <w:t xml:space="preserve">On the transformation of Scottish </w:t>
      </w:r>
      <w:r w:rsidR="003818DD" w:rsidRPr="000C15B2">
        <w:rPr>
          <w:i/>
          <w:iCs/>
        </w:rPr>
        <w:t>forum non competens</w:t>
      </w:r>
      <w:r w:rsidR="003818DD" w:rsidRPr="000C15B2">
        <w:t xml:space="preserve"> to early 1900 English </w:t>
      </w:r>
      <w:r w:rsidR="003818DD" w:rsidRPr="000C15B2">
        <w:rPr>
          <w:i/>
          <w:iCs/>
        </w:rPr>
        <w:t>forum non conveniens</w:t>
      </w:r>
      <w:r w:rsidRPr="000C15B2">
        <w:t xml:space="preserve"> </w:t>
      </w:r>
      <w:r w:rsidR="003818DD" w:rsidRPr="000C15B2">
        <w:t xml:space="preserve">see </w:t>
      </w:r>
      <w:r w:rsidRPr="000C15B2">
        <w:t xml:space="preserve">ARZANDEH, </w:t>
      </w:r>
      <w:r w:rsidR="00AE31E2">
        <w:t>op. cit.</w:t>
      </w:r>
      <w:r w:rsidRPr="000C15B2">
        <w:t xml:space="preserve">, pp. </w:t>
      </w:r>
      <w:r w:rsidR="003818DD" w:rsidRPr="000C15B2">
        <w:t>24–34</w:t>
      </w:r>
      <w:r w:rsidRPr="000C15B2">
        <w:t>.</w:t>
      </w:r>
      <w:r w:rsidR="003818DD" w:rsidRPr="000C15B2">
        <w:t>; BRAND, JABLONSKI</w:t>
      </w:r>
      <w:r w:rsidR="00AE31E2">
        <w:t>, op. cit.</w:t>
      </w:r>
      <w:r w:rsidR="003818DD" w:rsidRPr="000C15B2">
        <w:t>, pp. 7–10.</w:t>
      </w:r>
    </w:p>
  </w:footnote>
  <w:footnote w:id="14">
    <w:p w14:paraId="047AE882" w14:textId="30332DAF" w:rsidR="003E42C0" w:rsidRPr="000C15B2" w:rsidRDefault="003E42C0">
      <w:pPr>
        <w:pStyle w:val="Textpoznpodarou"/>
      </w:pPr>
      <w:r w:rsidRPr="000C15B2">
        <w:rPr>
          <w:rStyle w:val="Znakapoznpodarou"/>
        </w:rPr>
        <w:footnoteRef/>
      </w:r>
      <w:r w:rsidRPr="000C15B2">
        <w:t xml:space="preserve"> ARZANDEH, </w:t>
      </w:r>
      <w:r w:rsidR="00AE31E2">
        <w:t>op. cit.</w:t>
      </w:r>
      <w:r w:rsidRPr="000C15B2">
        <w:t>, p. 35.</w:t>
      </w:r>
    </w:p>
  </w:footnote>
  <w:footnote w:id="15">
    <w:p w14:paraId="70D828E4" w14:textId="366C709C" w:rsidR="003E42C0" w:rsidRPr="000C15B2" w:rsidRDefault="003E42C0">
      <w:pPr>
        <w:pStyle w:val="Textpoznpodarou"/>
      </w:pPr>
      <w:r w:rsidRPr="000C15B2">
        <w:rPr>
          <w:rStyle w:val="Znakapoznpodarou"/>
        </w:rPr>
        <w:footnoteRef/>
      </w:r>
      <w:r w:rsidRPr="000C15B2">
        <w:t xml:space="preserve"> Logan v Bank of Scotland [1906] 1 KB 141 (CA 1905)</w:t>
      </w:r>
      <w:r w:rsidR="00AE31E2">
        <w:t>.</w:t>
      </w:r>
    </w:p>
  </w:footnote>
  <w:footnote w:id="16">
    <w:p w14:paraId="36E63C92" w14:textId="7928E8EF" w:rsidR="003E42C0" w:rsidRPr="000C15B2" w:rsidRDefault="003E42C0">
      <w:pPr>
        <w:pStyle w:val="Textpoznpodarou"/>
      </w:pPr>
      <w:r w:rsidRPr="000C15B2">
        <w:rPr>
          <w:rStyle w:val="Znakapoznpodarou"/>
        </w:rPr>
        <w:footnoteRef/>
      </w:r>
      <w:r w:rsidRPr="000C15B2">
        <w:t xml:space="preserve"> Egbert v Short [1907] 2 Ch 205</w:t>
      </w:r>
      <w:r w:rsidR="00AE31E2">
        <w:t>.</w:t>
      </w:r>
    </w:p>
  </w:footnote>
  <w:footnote w:id="17">
    <w:p w14:paraId="4A09665A" w14:textId="317D17FB" w:rsidR="003E42C0" w:rsidRPr="000C15B2" w:rsidRDefault="003E42C0">
      <w:pPr>
        <w:pStyle w:val="Textpoznpodarou"/>
      </w:pPr>
      <w:r w:rsidRPr="000C15B2">
        <w:rPr>
          <w:rStyle w:val="Znakapoznpodarou"/>
        </w:rPr>
        <w:footnoteRef/>
      </w:r>
      <w:r w:rsidRPr="000C15B2">
        <w:t xml:space="preserve"> In re Norton’s Settlement [1908] 1 Ch 471 (CA)</w:t>
      </w:r>
      <w:r w:rsidR="00AE31E2">
        <w:t>.</w:t>
      </w:r>
    </w:p>
  </w:footnote>
  <w:footnote w:id="18">
    <w:p w14:paraId="35AFC417" w14:textId="27C597B2" w:rsidR="00C348E8" w:rsidRPr="000C15B2" w:rsidRDefault="00C348E8">
      <w:pPr>
        <w:pStyle w:val="Textpoznpodarou"/>
      </w:pPr>
      <w:r w:rsidRPr="000C15B2">
        <w:rPr>
          <w:rStyle w:val="Znakapoznpodarou"/>
        </w:rPr>
        <w:footnoteRef/>
      </w:r>
      <w:r w:rsidRPr="000C15B2">
        <w:t xml:space="preserve"> ARZANDEH, </w:t>
      </w:r>
      <w:r w:rsidR="00AE31E2">
        <w:t>op. cit.</w:t>
      </w:r>
      <w:r w:rsidRPr="000C15B2">
        <w:t>, p. 36.</w:t>
      </w:r>
    </w:p>
  </w:footnote>
  <w:footnote w:id="19">
    <w:p w14:paraId="7D4E5644" w14:textId="509C6074" w:rsidR="00C348E8" w:rsidRPr="000C15B2" w:rsidRDefault="00C348E8">
      <w:pPr>
        <w:pStyle w:val="Textpoznpodarou"/>
      </w:pPr>
      <w:r w:rsidRPr="000C15B2">
        <w:rPr>
          <w:rStyle w:val="Znakapoznpodarou"/>
        </w:rPr>
        <w:footnoteRef/>
      </w:r>
      <w:r w:rsidRPr="000C15B2">
        <w:t xml:space="preserve"> </w:t>
      </w:r>
      <w:r w:rsidRPr="000C15B2">
        <w:rPr>
          <w:i/>
          <w:iCs/>
        </w:rPr>
        <w:t>Logan v Bank of Scotland</w:t>
      </w:r>
      <w:r w:rsidRPr="000C15B2">
        <w:t>, para. 150.</w:t>
      </w:r>
    </w:p>
  </w:footnote>
  <w:footnote w:id="20">
    <w:p w14:paraId="575E34F8" w14:textId="0A485667" w:rsidR="00C348E8" w:rsidRPr="000C15B2" w:rsidRDefault="00C348E8">
      <w:pPr>
        <w:pStyle w:val="Textpoznpodarou"/>
      </w:pPr>
      <w:r w:rsidRPr="000C15B2">
        <w:rPr>
          <w:rStyle w:val="Znakapoznpodarou"/>
        </w:rPr>
        <w:footnoteRef/>
      </w:r>
      <w:r w:rsidRPr="000C15B2">
        <w:t xml:space="preserve"> ARZANDEH, </w:t>
      </w:r>
      <w:r w:rsidR="00AE31E2">
        <w:t>op. cit.</w:t>
      </w:r>
      <w:r w:rsidRPr="000C15B2">
        <w:t>, p. 36</w:t>
      </w:r>
      <w:r w:rsidR="00AE31E2">
        <w:t xml:space="preserve"> </w:t>
      </w:r>
      <w:r w:rsidRPr="000C15B2">
        <w:t xml:space="preserve">with reference to </w:t>
      </w:r>
      <w:r w:rsidRPr="000C15B2">
        <w:rPr>
          <w:i/>
          <w:iCs/>
        </w:rPr>
        <w:t>Logan v Bank of Scotland</w:t>
      </w:r>
      <w:r w:rsidRPr="000C15B2">
        <w:t>, para. 150.</w:t>
      </w:r>
    </w:p>
  </w:footnote>
  <w:footnote w:id="21">
    <w:p w14:paraId="04C525F1" w14:textId="2D6C5C43" w:rsidR="007737CB" w:rsidRPr="000C15B2" w:rsidRDefault="007737CB">
      <w:pPr>
        <w:pStyle w:val="Textpoznpodarou"/>
      </w:pPr>
      <w:r w:rsidRPr="000C15B2">
        <w:rPr>
          <w:rStyle w:val="Znakapoznpodarou"/>
        </w:rPr>
        <w:footnoteRef/>
      </w:r>
      <w:r w:rsidRPr="000C15B2">
        <w:t xml:space="preserve"> </w:t>
      </w:r>
      <w:r w:rsidR="00132B76">
        <w:t>Ibid., p. 37.</w:t>
      </w:r>
    </w:p>
  </w:footnote>
  <w:footnote w:id="22">
    <w:p w14:paraId="5F4973A8" w14:textId="30A487D9" w:rsidR="00E402B8" w:rsidRPr="000C15B2" w:rsidRDefault="00E402B8">
      <w:pPr>
        <w:pStyle w:val="Textpoznpodarou"/>
      </w:pPr>
      <w:r w:rsidRPr="000C15B2">
        <w:rPr>
          <w:rStyle w:val="Znakapoznpodarou"/>
        </w:rPr>
        <w:footnoteRef/>
      </w:r>
      <w:r w:rsidRPr="000C15B2">
        <w:t xml:space="preserve"> </w:t>
      </w:r>
      <w:r w:rsidRPr="000C15B2">
        <w:rPr>
          <w:i/>
          <w:iCs/>
        </w:rPr>
        <w:t>Egbert v Short</w:t>
      </w:r>
      <w:r w:rsidRPr="000C15B2">
        <w:t xml:space="preserve">, para. 212; </w:t>
      </w:r>
      <w:r w:rsidRPr="000C15B2">
        <w:rPr>
          <w:i/>
          <w:iCs/>
        </w:rPr>
        <w:t>In re Norton’s Settlement</w:t>
      </w:r>
      <w:r w:rsidRPr="000C15B2">
        <w:t>, para. 479.</w:t>
      </w:r>
    </w:p>
  </w:footnote>
  <w:footnote w:id="23">
    <w:p w14:paraId="6FF93ECA" w14:textId="4D5442E8" w:rsidR="00E402B8" w:rsidRPr="000C15B2" w:rsidRDefault="00E402B8">
      <w:pPr>
        <w:pStyle w:val="Textpoznpodarou"/>
      </w:pPr>
      <w:r w:rsidRPr="000C15B2">
        <w:rPr>
          <w:rStyle w:val="Znakapoznpodarou"/>
        </w:rPr>
        <w:footnoteRef/>
      </w:r>
      <w:r w:rsidRPr="000C15B2">
        <w:t xml:space="preserve"> </w:t>
      </w:r>
      <w:r w:rsidRPr="000C15B2">
        <w:rPr>
          <w:i/>
          <w:iCs/>
        </w:rPr>
        <w:t>In re Norton’s Settlement</w:t>
      </w:r>
      <w:r w:rsidRPr="000C15B2">
        <w:t>, para. 479, 486.</w:t>
      </w:r>
    </w:p>
  </w:footnote>
  <w:footnote w:id="24">
    <w:p w14:paraId="1F21D6E6" w14:textId="4F1509CC" w:rsidR="00FF5E9C" w:rsidRPr="000C15B2" w:rsidRDefault="00FF5E9C">
      <w:pPr>
        <w:pStyle w:val="Textpoznpodarou"/>
      </w:pPr>
      <w:r w:rsidRPr="000C15B2">
        <w:rPr>
          <w:rStyle w:val="Znakapoznpodarou"/>
        </w:rPr>
        <w:footnoteRef/>
      </w:r>
      <w:r w:rsidRPr="000C15B2">
        <w:t xml:space="preserve"> St. Pierre v South American Stores (Gath &amp; </w:t>
      </w:r>
      <w:proofErr w:type="spellStart"/>
      <w:r w:rsidRPr="000C15B2">
        <w:t>Chaves</w:t>
      </w:r>
      <w:proofErr w:type="spellEnd"/>
      <w:r w:rsidRPr="000C15B2">
        <w:t>), Ltd. [1936] 1. K.B. 382 (C.A.)</w:t>
      </w:r>
      <w:r w:rsidR="00C86612">
        <w:t>.</w:t>
      </w:r>
    </w:p>
  </w:footnote>
  <w:footnote w:id="25">
    <w:p w14:paraId="42FF0B11" w14:textId="1488FAFF" w:rsidR="00FF5E9C" w:rsidRPr="000C15B2" w:rsidRDefault="00FF5E9C">
      <w:pPr>
        <w:pStyle w:val="Textpoznpodarou"/>
      </w:pPr>
      <w:r w:rsidRPr="000C15B2">
        <w:rPr>
          <w:rStyle w:val="Znakapoznpodarou"/>
        </w:rPr>
        <w:footnoteRef/>
      </w:r>
      <w:r w:rsidRPr="000C15B2">
        <w:t xml:space="preserve"> </w:t>
      </w:r>
      <w:r w:rsidRPr="000C15B2">
        <w:rPr>
          <w:i/>
          <w:iCs/>
        </w:rPr>
        <w:t>St. Pierre,</w:t>
      </w:r>
      <w:r w:rsidRPr="000C15B2">
        <w:t xml:space="preserve"> para. 398.</w:t>
      </w:r>
    </w:p>
  </w:footnote>
  <w:footnote w:id="26">
    <w:p w14:paraId="5079E46D" w14:textId="679864AD" w:rsidR="008A0C0E" w:rsidRPr="000C15B2" w:rsidRDefault="008A0C0E">
      <w:pPr>
        <w:pStyle w:val="Textpoznpodarou"/>
      </w:pPr>
      <w:r w:rsidRPr="000C15B2">
        <w:rPr>
          <w:rStyle w:val="Znakapoznpodarou"/>
        </w:rPr>
        <w:footnoteRef/>
      </w:r>
      <w:r w:rsidRPr="000C15B2">
        <w:t xml:space="preserve"> For further development of plaintiff-oriented approach to </w:t>
      </w:r>
      <w:r w:rsidRPr="000C15B2">
        <w:rPr>
          <w:i/>
          <w:iCs/>
        </w:rPr>
        <w:t xml:space="preserve">St. Pierre </w:t>
      </w:r>
      <w:r w:rsidRPr="000C15B2">
        <w:t xml:space="preserve">test, mainly its second part of first limb see ARZANDEH, </w:t>
      </w:r>
      <w:r w:rsidR="00E85D85">
        <w:t>op. cit.</w:t>
      </w:r>
      <w:r w:rsidRPr="000C15B2">
        <w:t>, pp. 44–46.</w:t>
      </w:r>
    </w:p>
  </w:footnote>
  <w:footnote w:id="27">
    <w:p w14:paraId="201EBF06" w14:textId="27BE9F57" w:rsidR="008A0C0E" w:rsidRPr="000C15B2" w:rsidRDefault="008A0C0E">
      <w:pPr>
        <w:pStyle w:val="Textpoznpodarou"/>
      </w:pPr>
      <w:r w:rsidRPr="000C15B2">
        <w:rPr>
          <w:rStyle w:val="Znakapoznpodarou"/>
        </w:rPr>
        <w:footnoteRef/>
      </w:r>
      <w:r w:rsidRPr="000C15B2">
        <w:t xml:space="preserve"> </w:t>
      </w:r>
      <w:r w:rsidR="00132B76">
        <w:t>Ibid., pp. 45–46.</w:t>
      </w:r>
    </w:p>
  </w:footnote>
  <w:footnote w:id="28">
    <w:p w14:paraId="42489B9D" w14:textId="08DD2662" w:rsidR="009E5D3E" w:rsidRPr="000C15B2" w:rsidRDefault="009E5D3E">
      <w:pPr>
        <w:pStyle w:val="Textpoznpodarou"/>
      </w:pPr>
      <w:r w:rsidRPr="000C15B2">
        <w:rPr>
          <w:rStyle w:val="Znakapoznpodarou"/>
        </w:rPr>
        <w:footnoteRef/>
      </w:r>
      <w:r w:rsidRPr="000C15B2">
        <w:t xml:space="preserve"> </w:t>
      </w:r>
      <w:r w:rsidR="004E4600" w:rsidRPr="000C15B2">
        <w:t xml:space="preserve">BELL, Andrew S. </w:t>
      </w:r>
      <w:r w:rsidR="004E4600" w:rsidRPr="000C15B2">
        <w:rPr>
          <w:i/>
          <w:iCs/>
        </w:rPr>
        <w:t>Forum shopping and venue in transnational litigation</w:t>
      </w:r>
      <w:r w:rsidR="004E4600" w:rsidRPr="000C15B2">
        <w:t xml:space="preserve">. Oxford: Oxford University Press, 2003, para. 3.78. Oxford private international law series. ISBN 0-19-924818-4. See also Oceanic Sun Line Special Shipping Co Inc v Fay (1988) 165 CLR 197. </w:t>
      </w:r>
      <w:r w:rsidR="00DC2889" w:rsidRPr="000C15B2">
        <w:t>Interestingly, some view forum shopping as a good thing stating “</w:t>
      </w:r>
      <w:r w:rsidR="00DC2889" w:rsidRPr="000C15B2">
        <w:rPr>
          <w:i/>
          <w:iCs/>
        </w:rPr>
        <w:t>[…] but if the forum is England, it is a good place to shop in, both for the quality of the goods and the speed of service</w:t>
      </w:r>
      <w:r w:rsidR="00DC2889" w:rsidRPr="000C15B2">
        <w:t>”</w:t>
      </w:r>
      <w:r w:rsidR="00E85D85">
        <w:t xml:space="preserve">, see </w:t>
      </w:r>
      <w:r w:rsidR="00DC2889" w:rsidRPr="000C15B2">
        <w:t>The Atlantic Star [1973] QB 364 (CA) 381G and 382C (“</w:t>
      </w:r>
      <w:r w:rsidR="00DC2889" w:rsidRPr="000C15B2">
        <w:rPr>
          <w:i/>
          <w:iCs/>
        </w:rPr>
        <w:t>Atlantic Star</w:t>
      </w:r>
      <w:r w:rsidR="00DC2889" w:rsidRPr="000C15B2">
        <w:t>”).</w:t>
      </w:r>
    </w:p>
  </w:footnote>
  <w:footnote w:id="29">
    <w:p w14:paraId="0D6F747D" w14:textId="1404EF3D" w:rsidR="00841C4C" w:rsidRPr="000C15B2" w:rsidRDefault="00841C4C">
      <w:pPr>
        <w:pStyle w:val="Textpoznpodarou"/>
      </w:pPr>
      <w:r w:rsidRPr="000C15B2">
        <w:rPr>
          <w:rStyle w:val="Znakapoznpodarou"/>
        </w:rPr>
        <w:footnoteRef/>
      </w:r>
      <w:r w:rsidRPr="000C15B2">
        <w:t xml:space="preserve"> BRAND, JABLONSKI</w:t>
      </w:r>
      <w:r w:rsidR="00E85D85">
        <w:t>, op. cit.</w:t>
      </w:r>
      <w:r w:rsidRPr="000C15B2">
        <w:t>, pp. 14–15.</w:t>
      </w:r>
    </w:p>
  </w:footnote>
  <w:footnote w:id="30">
    <w:p w14:paraId="3FDA5143" w14:textId="4E011603" w:rsidR="004C28C0" w:rsidRPr="000C15B2" w:rsidRDefault="004C28C0">
      <w:pPr>
        <w:pStyle w:val="Textpoznpodarou"/>
      </w:pPr>
      <w:r w:rsidRPr="000C15B2">
        <w:rPr>
          <w:rStyle w:val="Znakapoznpodarou"/>
        </w:rPr>
        <w:footnoteRef/>
      </w:r>
      <w:r w:rsidRPr="000C15B2">
        <w:t xml:space="preserve"> The collision consequently caused another Belgian vessel to sink.</w:t>
      </w:r>
    </w:p>
  </w:footnote>
  <w:footnote w:id="31">
    <w:p w14:paraId="39370BE6" w14:textId="043597E1" w:rsidR="00841C4C" w:rsidRPr="000C15B2" w:rsidRDefault="00841C4C">
      <w:pPr>
        <w:pStyle w:val="Textpoznpodarou"/>
        <w:rPr>
          <w:i/>
          <w:iCs/>
        </w:rPr>
      </w:pPr>
      <w:r w:rsidRPr="000C15B2">
        <w:rPr>
          <w:rStyle w:val="Znakapoznpodarou"/>
        </w:rPr>
        <w:footnoteRef/>
      </w:r>
      <w:r w:rsidRPr="000C15B2">
        <w:t xml:space="preserve"> </w:t>
      </w:r>
      <w:r w:rsidRPr="000C15B2">
        <w:rPr>
          <w:i/>
          <w:iCs/>
        </w:rPr>
        <w:t>Atlantic Star</w:t>
      </w:r>
      <w:r w:rsidR="004C28C0" w:rsidRPr="000C15B2">
        <w:rPr>
          <w:i/>
          <w:iCs/>
        </w:rPr>
        <w:t>.</w:t>
      </w:r>
    </w:p>
  </w:footnote>
  <w:footnote w:id="32">
    <w:p w14:paraId="5F37A686" w14:textId="5ABDAF77" w:rsidR="004C28C0" w:rsidRPr="000C15B2" w:rsidRDefault="004C28C0">
      <w:pPr>
        <w:pStyle w:val="Textpoznpodarou"/>
      </w:pPr>
      <w:r w:rsidRPr="000C15B2">
        <w:rPr>
          <w:rStyle w:val="Znakapoznpodarou"/>
        </w:rPr>
        <w:footnoteRef/>
      </w:r>
      <w:r w:rsidRPr="000C15B2">
        <w:t xml:space="preserve"> ARZANDEH, </w:t>
      </w:r>
      <w:r w:rsidR="00E85D85">
        <w:t>op. cit.</w:t>
      </w:r>
      <w:r w:rsidRPr="000C15B2">
        <w:t>, p. 53.</w:t>
      </w:r>
    </w:p>
  </w:footnote>
  <w:footnote w:id="33">
    <w:p w14:paraId="6CF19B9E" w14:textId="77580AB4" w:rsidR="00831002" w:rsidRPr="000C15B2" w:rsidRDefault="00831002">
      <w:pPr>
        <w:pStyle w:val="Textpoznpodarou"/>
      </w:pPr>
      <w:r w:rsidRPr="000C15B2">
        <w:rPr>
          <w:rStyle w:val="Znakapoznpodarou"/>
        </w:rPr>
        <w:footnoteRef/>
      </w:r>
      <w:r w:rsidRPr="000C15B2">
        <w:t xml:space="preserve"> </w:t>
      </w:r>
      <w:proofErr w:type="spellStart"/>
      <w:r w:rsidRPr="000C15B2">
        <w:t>MacShannon</w:t>
      </w:r>
      <w:proofErr w:type="spellEnd"/>
      <w:r w:rsidRPr="000C15B2">
        <w:t xml:space="preserve"> v </w:t>
      </w:r>
      <w:proofErr w:type="spellStart"/>
      <w:r w:rsidRPr="000C15B2">
        <w:t>Rockware</w:t>
      </w:r>
      <w:proofErr w:type="spellEnd"/>
      <w:r w:rsidRPr="000C15B2">
        <w:t xml:space="preserve"> Glass Ltd. [1978] A.C. 795 (H.L.)</w:t>
      </w:r>
      <w:r w:rsidR="00E85D85">
        <w:t>.</w:t>
      </w:r>
    </w:p>
  </w:footnote>
  <w:footnote w:id="34">
    <w:p w14:paraId="73D71848" w14:textId="7B3916A7" w:rsidR="00831002" w:rsidRPr="00FD2488" w:rsidRDefault="00831002">
      <w:pPr>
        <w:pStyle w:val="Textpoznpodarou"/>
      </w:pPr>
      <w:r w:rsidRPr="000C15B2">
        <w:rPr>
          <w:rStyle w:val="Znakapoznpodarou"/>
        </w:rPr>
        <w:footnoteRef/>
      </w:r>
      <w:r w:rsidRPr="000C15B2">
        <w:t xml:space="preserve"> BRAND, JABLONSKI</w:t>
      </w:r>
      <w:r w:rsidR="00FD2488">
        <w:t>, o</w:t>
      </w:r>
      <w:r w:rsidR="00E85D85">
        <w:t>p. cit.</w:t>
      </w:r>
      <w:r w:rsidRPr="000C15B2">
        <w:t>, pp. 16</w:t>
      </w:r>
      <w:r w:rsidR="00E85D85">
        <w:t xml:space="preserve"> </w:t>
      </w:r>
      <w:r w:rsidRPr="000C15B2">
        <w:t xml:space="preserve">with reference to </w:t>
      </w:r>
      <w:r w:rsidRPr="00FD2488">
        <w:rPr>
          <w:i/>
          <w:iCs/>
        </w:rPr>
        <w:t>MacShannon</w:t>
      </w:r>
      <w:r w:rsidR="00FD2488">
        <w:t>.</w:t>
      </w:r>
    </w:p>
  </w:footnote>
  <w:footnote w:id="35">
    <w:p w14:paraId="71ED9F8E" w14:textId="35757409" w:rsidR="000D451C" w:rsidRPr="000C15B2" w:rsidRDefault="000D451C">
      <w:pPr>
        <w:pStyle w:val="Textpoznpodarou"/>
      </w:pPr>
      <w:r w:rsidRPr="000C15B2">
        <w:rPr>
          <w:rStyle w:val="Znakapoznpodarou"/>
        </w:rPr>
        <w:footnoteRef/>
      </w:r>
      <w:r w:rsidRPr="000C15B2">
        <w:t xml:space="preserve"> European Asian Bank v Punjab and Sind Bank [1981] 2 Lloyd’s Rep 651.</w:t>
      </w:r>
    </w:p>
  </w:footnote>
  <w:footnote w:id="36">
    <w:p w14:paraId="52BEC855" w14:textId="54445B89" w:rsidR="00743315" w:rsidRPr="000C15B2" w:rsidRDefault="00743315">
      <w:pPr>
        <w:pStyle w:val="Textpoznpodarou"/>
      </w:pPr>
      <w:r w:rsidRPr="000C15B2">
        <w:rPr>
          <w:rStyle w:val="Znakapoznpodarou"/>
        </w:rPr>
        <w:footnoteRef/>
      </w:r>
      <w:r w:rsidRPr="000C15B2">
        <w:t xml:space="preserve"> SCHUZ, Rhona. Controlling Forum-Shopping: The Impact of MacShannon v. </w:t>
      </w:r>
      <w:proofErr w:type="spellStart"/>
      <w:r w:rsidRPr="000C15B2">
        <w:t>Rockware</w:t>
      </w:r>
      <w:proofErr w:type="spellEnd"/>
      <w:r w:rsidRPr="000C15B2">
        <w:t xml:space="preserve"> Glass Ltd. </w:t>
      </w:r>
      <w:r w:rsidRPr="000C15B2">
        <w:rPr>
          <w:i/>
          <w:iCs/>
        </w:rPr>
        <w:t>International &amp; Comparative Law Quarterly</w:t>
      </w:r>
      <w:r w:rsidRPr="000C15B2">
        <w:t>. Cambridge: Cambridge University Press, 1986,</w:t>
      </w:r>
      <w:r w:rsidR="00B57724">
        <w:t xml:space="preserve"> </w:t>
      </w:r>
      <w:r w:rsidRPr="000C15B2">
        <w:t xml:space="preserve">Vol. 35, no. 2, p. 374, 408. </w:t>
      </w:r>
    </w:p>
  </w:footnote>
  <w:footnote w:id="37">
    <w:p w14:paraId="4C025CCB" w14:textId="612BF402" w:rsidR="00A65A9E" w:rsidRPr="000C15B2" w:rsidRDefault="00A65A9E" w:rsidP="00A65A9E">
      <w:pPr>
        <w:pStyle w:val="Textpoznpodarou"/>
      </w:pPr>
      <w:r w:rsidRPr="000C15B2">
        <w:rPr>
          <w:rStyle w:val="Znakapoznpodarou"/>
        </w:rPr>
        <w:footnoteRef/>
      </w:r>
      <w:r w:rsidRPr="000C15B2">
        <w:t xml:space="preserve"> BRAND, JABLONSKI,</w:t>
      </w:r>
      <w:r w:rsidR="00FD2488">
        <w:t xml:space="preserve"> op. cit.,</w:t>
      </w:r>
      <w:r w:rsidRPr="000C15B2">
        <w:t xml:space="preserve"> pp. 17.</w:t>
      </w:r>
    </w:p>
  </w:footnote>
  <w:footnote w:id="38">
    <w:p w14:paraId="67F1EECD" w14:textId="102CF217" w:rsidR="00261436" w:rsidRPr="000C15B2" w:rsidRDefault="00261436">
      <w:pPr>
        <w:pStyle w:val="Textpoznpodarou"/>
      </w:pPr>
      <w:r w:rsidRPr="000C15B2">
        <w:rPr>
          <w:rStyle w:val="Znakapoznpodarou"/>
        </w:rPr>
        <w:footnoteRef/>
      </w:r>
      <w:r w:rsidRPr="000C15B2">
        <w:t xml:space="preserve"> Astro </w:t>
      </w:r>
      <w:proofErr w:type="spellStart"/>
      <w:r w:rsidRPr="000C15B2">
        <w:t>Exito</w:t>
      </w:r>
      <w:proofErr w:type="spellEnd"/>
      <w:r w:rsidRPr="000C15B2">
        <w:t xml:space="preserve"> </w:t>
      </w:r>
      <w:proofErr w:type="spellStart"/>
      <w:r w:rsidRPr="000C15B2">
        <w:t>Navegacion</w:t>
      </w:r>
      <w:proofErr w:type="spellEnd"/>
      <w:r w:rsidRPr="000C15B2">
        <w:t xml:space="preserve"> S.A. v W.T. Hsu [1983] 1 Lloyd’s Rep. 666 (Q.B. Comm Ct.)</w:t>
      </w:r>
    </w:p>
  </w:footnote>
  <w:footnote w:id="39">
    <w:p w14:paraId="2A8CE13F" w14:textId="0EB86FAC" w:rsidR="00A65A9E" w:rsidRPr="000C15B2" w:rsidRDefault="00A65A9E">
      <w:pPr>
        <w:pStyle w:val="Textpoznpodarou"/>
      </w:pPr>
      <w:r w:rsidRPr="000C15B2">
        <w:rPr>
          <w:rStyle w:val="Znakapoznpodarou"/>
        </w:rPr>
        <w:footnoteRef/>
      </w:r>
      <w:r w:rsidRPr="000C15B2">
        <w:t xml:space="preserve"> </w:t>
      </w:r>
      <w:r w:rsidRPr="000C15B2">
        <w:rPr>
          <w:i/>
          <w:iCs/>
        </w:rPr>
        <w:t>MacShannon</w:t>
      </w:r>
      <w:r w:rsidRPr="000C15B2">
        <w:t>, para. 380.</w:t>
      </w:r>
    </w:p>
  </w:footnote>
  <w:footnote w:id="40">
    <w:p w14:paraId="5FE57780" w14:textId="2970D444" w:rsidR="00D64888" w:rsidRPr="000C15B2" w:rsidRDefault="00D64888">
      <w:pPr>
        <w:pStyle w:val="Textpoznpodarou"/>
      </w:pPr>
      <w:r w:rsidRPr="000C15B2">
        <w:rPr>
          <w:rStyle w:val="Znakapoznpodarou"/>
        </w:rPr>
        <w:footnoteRef/>
      </w:r>
      <w:r w:rsidRPr="000C15B2">
        <w:t xml:space="preserve"> </w:t>
      </w:r>
      <w:r w:rsidR="008738B0">
        <w:t>ANONYMIZOVÁNO REDAKCÍ</w:t>
      </w:r>
    </w:p>
  </w:footnote>
  <w:footnote w:id="41">
    <w:p w14:paraId="5954F563" w14:textId="77777777" w:rsidR="00261436" w:rsidRPr="000C15B2" w:rsidRDefault="00261436" w:rsidP="00261436">
      <w:pPr>
        <w:pStyle w:val="Textpoznpodarou"/>
      </w:pPr>
      <w:r w:rsidRPr="000C15B2">
        <w:rPr>
          <w:rStyle w:val="Znakapoznpodarou"/>
        </w:rPr>
        <w:footnoteRef/>
      </w:r>
      <w:r w:rsidRPr="000C15B2">
        <w:t xml:space="preserve"> The Abidin Daver [1984] AC 398 (HL), para. 410.</w:t>
      </w:r>
    </w:p>
  </w:footnote>
  <w:footnote w:id="42">
    <w:p w14:paraId="219DC90B" w14:textId="1004E739" w:rsidR="00CE7958" w:rsidRPr="000C15B2" w:rsidRDefault="00CE7958">
      <w:pPr>
        <w:pStyle w:val="Textpoznpodarou"/>
      </w:pPr>
      <w:r w:rsidRPr="000C15B2">
        <w:rPr>
          <w:rStyle w:val="Znakapoznpodarou"/>
        </w:rPr>
        <w:footnoteRef/>
      </w:r>
      <w:r w:rsidRPr="000C15B2">
        <w:t xml:space="preserve"> </w:t>
      </w:r>
      <w:r w:rsidR="00132B76">
        <w:t>Ibid.,</w:t>
      </w:r>
      <w:r w:rsidRPr="000C15B2">
        <w:t xml:space="preserve"> para. 411.</w:t>
      </w:r>
    </w:p>
  </w:footnote>
  <w:footnote w:id="43">
    <w:p w14:paraId="1C611860" w14:textId="65A615DA" w:rsidR="00CE7958" w:rsidRPr="000C15B2" w:rsidRDefault="00CE7958">
      <w:pPr>
        <w:pStyle w:val="Textpoznpodarou"/>
      </w:pPr>
      <w:r w:rsidRPr="000C15B2">
        <w:rPr>
          <w:rStyle w:val="Znakapoznpodarou"/>
        </w:rPr>
        <w:footnoteRef/>
      </w:r>
      <w:r w:rsidRPr="000C15B2">
        <w:t xml:space="preserve"> </w:t>
      </w:r>
      <w:r w:rsidR="00132B76">
        <w:t>Ibid.</w:t>
      </w:r>
    </w:p>
  </w:footnote>
  <w:footnote w:id="44">
    <w:p w14:paraId="0FBBA66E" w14:textId="60324513" w:rsidR="00CE7958" w:rsidRPr="000C15B2" w:rsidRDefault="00CE7958">
      <w:pPr>
        <w:pStyle w:val="Textpoznpodarou"/>
      </w:pPr>
      <w:r w:rsidRPr="000C15B2">
        <w:rPr>
          <w:rStyle w:val="Znakapoznpodarou"/>
        </w:rPr>
        <w:footnoteRef/>
      </w:r>
      <w:r w:rsidRPr="000C15B2">
        <w:t xml:space="preserve"> </w:t>
      </w:r>
      <w:r w:rsidR="00132B76">
        <w:t>Ibid.</w:t>
      </w:r>
    </w:p>
  </w:footnote>
  <w:footnote w:id="45">
    <w:p w14:paraId="615FD939" w14:textId="585D24D8" w:rsidR="00CE7958" w:rsidRPr="000C15B2" w:rsidRDefault="00CE7958">
      <w:pPr>
        <w:pStyle w:val="Textpoznpodarou"/>
      </w:pPr>
      <w:r w:rsidRPr="000C15B2">
        <w:rPr>
          <w:rStyle w:val="Znakapoznpodarou"/>
        </w:rPr>
        <w:footnoteRef/>
      </w:r>
      <w:r w:rsidRPr="000C15B2">
        <w:t xml:space="preserve"> </w:t>
      </w:r>
      <w:r w:rsidR="00132B76">
        <w:t>Ibid.</w:t>
      </w:r>
    </w:p>
  </w:footnote>
  <w:footnote w:id="46">
    <w:p w14:paraId="51C22920" w14:textId="5239822B" w:rsidR="00BE091B" w:rsidRPr="000C15B2" w:rsidRDefault="00BE091B">
      <w:pPr>
        <w:pStyle w:val="Textpoznpodarou"/>
      </w:pPr>
      <w:r w:rsidRPr="000C15B2">
        <w:rPr>
          <w:rStyle w:val="Znakapoznpodarou"/>
        </w:rPr>
        <w:footnoteRef/>
      </w:r>
      <w:r w:rsidRPr="000C15B2">
        <w:t xml:space="preserve"> ARZANDEH, </w:t>
      </w:r>
      <w:r w:rsidR="007A68DC">
        <w:t>op. cit.</w:t>
      </w:r>
      <w:r w:rsidRPr="000C15B2">
        <w:t>, p. 66.</w:t>
      </w:r>
    </w:p>
  </w:footnote>
  <w:footnote w:id="47">
    <w:p w14:paraId="5E41BDB6" w14:textId="350C1C06" w:rsidR="00A424FF" w:rsidRPr="000C15B2" w:rsidRDefault="00A424FF">
      <w:pPr>
        <w:pStyle w:val="Textpoznpodarou"/>
      </w:pPr>
      <w:r w:rsidRPr="000C15B2">
        <w:rPr>
          <w:rStyle w:val="Znakapoznpodarou"/>
        </w:rPr>
        <w:footnoteRef/>
      </w:r>
      <w:r w:rsidRPr="000C15B2">
        <w:t xml:space="preserve"> As </w:t>
      </w:r>
      <w:r w:rsidR="00FA5E76" w:rsidRPr="000C15B2">
        <w:t>opposed</w:t>
      </w:r>
      <w:r w:rsidRPr="000C15B2">
        <w:t xml:space="preserve"> to Scottish doctrine applied in one-stage test. </w:t>
      </w:r>
      <w:r w:rsidR="00FA5E76" w:rsidRPr="000C15B2">
        <w:t xml:space="preserve">See ANTON, A. </w:t>
      </w:r>
      <w:r w:rsidR="00FA5E76" w:rsidRPr="000C15B2">
        <w:rPr>
          <w:i/>
          <w:iCs/>
        </w:rPr>
        <w:t>Private International Law</w:t>
      </w:r>
      <w:r w:rsidR="00FA5E76" w:rsidRPr="000C15B2">
        <w:t>. Edinburgh: W Green &amp; Son Ltd. 1967, p. 148–154. ISBN: 0414000021.</w:t>
      </w:r>
    </w:p>
  </w:footnote>
  <w:footnote w:id="48">
    <w:p w14:paraId="386C937E" w14:textId="118CF283" w:rsidR="00A424FF" w:rsidRPr="000C15B2" w:rsidRDefault="00A424FF">
      <w:pPr>
        <w:pStyle w:val="Textpoznpodarou"/>
      </w:pPr>
      <w:r w:rsidRPr="000C15B2">
        <w:rPr>
          <w:rStyle w:val="Znakapoznpodarou"/>
        </w:rPr>
        <w:footnoteRef/>
      </w:r>
      <w:r w:rsidRPr="000C15B2">
        <w:t xml:space="preserve"> Resting on Scottish case Sim v Robinow (1892) 19 R 665 (IH)</w:t>
      </w:r>
      <w:r w:rsidR="007A68DC">
        <w:t>.</w:t>
      </w:r>
    </w:p>
  </w:footnote>
  <w:footnote w:id="49">
    <w:p w14:paraId="023CC06D" w14:textId="16AA2A40" w:rsidR="00BF4495" w:rsidRPr="000C15B2" w:rsidRDefault="00BF4495">
      <w:pPr>
        <w:pStyle w:val="Textpoznpodarou"/>
      </w:pPr>
      <w:r w:rsidRPr="000C15B2">
        <w:rPr>
          <w:rStyle w:val="Znakapoznpodarou"/>
        </w:rPr>
        <w:footnoteRef/>
      </w:r>
      <w:r w:rsidRPr="000C15B2">
        <w:t xml:space="preserve"> BRIGGS, Adrian. </w:t>
      </w:r>
      <w:r w:rsidRPr="000C15B2">
        <w:rPr>
          <w:i/>
          <w:iCs/>
        </w:rPr>
        <w:t>Civil jurisdiction and judgments</w:t>
      </w:r>
      <w:r w:rsidRPr="000C15B2">
        <w:t>. Sixth edition. Abingdon, Oxon: Informa law from Routledge, 2015</w:t>
      </w:r>
      <w:r w:rsidR="0027402A">
        <w:t>, p. 685</w:t>
      </w:r>
      <w:r w:rsidRPr="000C15B2">
        <w:t>. ISBN 9781138825604.</w:t>
      </w:r>
    </w:p>
  </w:footnote>
  <w:footnote w:id="50">
    <w:p w14:paraId="02EF0B9D" w14:textId="3F559E46" w:rsidR="00622C2B" w:rsidRPr="000C15B2" w:rsidRDefault="00622C2B">
      <w:pPr>
        <w:pStyle w:val="Textpoznpodarou"/>
      </w:pPr>
      <w:r w:rsidRPr="000C15B2">
        <w:rPr>
          <w:rStyle w:val="Znakapoznpodarou"/>
        </w:rPr>
        <w:footnoteRef/>
      </w:r>
      <w:r w:rsidRPr="000C15B2">
        <w:t xml:space="preserve"> Should the connection of defendant to England be frail (</w:t>
      </w:r>
      <w:r w:rsidR="00A424FF" w:rsidRPr="000C15B2">
        <w:t>e.g.,</w:t>
      </w:r>
      <w:r w:rsidRPr="000C15B2">
        <w:t xml:space="preserve"> the suit was served while visiting England) it should be all the easier to prove appropriateness of another forum. See </w:t>
      </w:r>
      <w:r w:rsidRPr="000C15B2">
        <w:rPr>
          <w:i/>
          <w:iCs/>
        </w:rPr>
        <w:t>Spiliada</w:t>
      </w:r>
      <w:r w:rsidRPr="000C15B2">
        <w:t>.</w:t>
      </w:r>
    </w:p>
  </w:footnote>
  <w:footnote w:id="51">
    <w:p w14:paraId="7EB3F963" w14:textId="731C4C51" w:rsidR="00A4753E" w:rsidRPr="000C15B2" w:rsidRDefault="00A4753E">
      <w:pPr>
        <w:pStyle w:val="Textpoznpodarou"/>
      </w:pPr>
      <w:r w:rsidRPr="000C15B2">
        <w:rPr>
          <w:rStyle w:val="Znakapoznpodarou"/>
        </w:rPr>
        <w:footnoteRef/>
      </w:r>
      <w:r w:rsidRPr="000C15B2">
        <w:t xml:space="preserve"> </w:t>
      </w:r>
      <w:r w:rsidRPr="000C15B2">
        <w:rPr>
          <w:i/>
          <w:iCs/>
        </w:rPr>
        <w:t xml:space="preserve">Spiliada, </w:t>
      </w:r>
      <w:r w:rsidRPr="000C15B2">
        <w:t>para. 478.</w:t>
      </w:r>
    </w:p>
  </w:footnote>
  <w:footnote w:id="52">
    <w:p w14:paraId="771946FA" w14:textId="778714E6" w:rsidR="00BD3C31" w:rsidRPr="000C15B2" w:rsidRDefault="00BD3C31">
      <w:pPr>
        <w:pStyle w:val="Textpoznpodarou"/>
      </w:pPr>
      <w:r w:rsidRPr="000C15B2">
        <w:rPr>
          <w:rStyle w:val="Znakapoznpodarou"/>
        </w:rPr>
        <w:footnoteRef/>
      </w:r>
      <w:r w:rsidRPr="000C15B2">
        <w:t xml:space="preserve"> E.g. De Dampier v De Dampier [1988] 1. A.C. 92 (H.L.)</w:t>
      </w:r>
      <w:r w:rsidR="0027402A">
        <w:t>.</w:t>
      </w:r>
    </w:p>
  </w:footnote>
  <w:footnote w:id="53">
    <w:p w14:paraId="5A5AFFC0" w14:textId="6A7F2532" w:rsidR="00BD3C31" w:rsidRPr="000C15B2" w:rsidRDefault="00BD3C31">
      <w:pPr>
        <w:pStyle w:val="Textpoznpodarou"/>
      </w:pPr>
      <w:r w:rsidRPr="000C15B2">
        <w:rPr>
          <w:rStyle w:val="Znakapoznpodarou"/>
        </w:rPr>
        <w:footnoteRef/>
      </w:r>
      <w:r w:rsidRPr="000C15B2">
        <w:t xml:space="preserve"> </w:t>
      </w:r>
      <w:r w:rsidR="001074B7">
        <w:t xml:space="preserve">FELDMAN, Kathryn N. and Susan M. </w:t>
      </w:r>
      <w:r w:rsidRPr="000C15B2">
        <w:t xml:space="preserve">VELLA. The Evolution of </w:t>
      </w:r>
      <w:r w:rsidR="001074B7">
        <w:t>“</w:t>
      </w:r>
      <w:r w:rsidRPr="000C15B2">
        <w:t>Forum Conveniens</w:t>
      </w:r>
      <w:r w:rsidR="001074B7">
        <w:t>”</w:t>
      </w:r>
      <w:r w:rsidRPr="000C15B2">
        <w:t xml:space="preserve">: Its Application to stay of proceedings and Service Ex juris. </w:t>
      </w:r>
      <w:r w:rsidRPr="000C15B2">
        <w:rPr>
          <w:i/>
          <w:iCs/>
        </w:rPr>
        <w:t xml:space="preserve">Advocates’ </w:t>
      </w:r>
      <w:r w:rsidR="0027402A" w:rsidRPr="000C15B2">
        <w:rPr>
          <w:i/>
          <w:iCs/>
        </w:rPr>
        <w:t>Quarterly</w:t>
      </w:r>
      <w:r w:rsidRPr="000C15B2">
        <w:t>. Ontario: Agincourt</w:t>
      </w:r>
      <w:r w:rsidR="00981B05" w:rsidRPr="000C15B2">
        <w:t>, 1989, Vol. 10, no. 2, p. 174.</w:t>
      </w:r>
    </w:p>
  </w:footnote>
  <w:footnote w:id="54">
    <w:p w14:paraId="4DE1BB7B" w14:textId="4A5BEA08" w:rsidR="005F44C3" w:rsidRPr="000C15B2" w:rsidRDefault="005F44C3">
      <w:pPr>
        <w:pStyle w:val="Textpoznpodarou"/>
      </w:pPr>
      <w:r w:rsidRPr="000C15B2">
        <w:rPr>
          <w:rStyle w:val="Znakapoznpodarou"/>
        </w:rPr>
        <w:footnoteRef/>
      </w:r>
      <w:r w:rsidRPr="000C15B2">
        <w:t xml:space="preserve"> COLLINS, L. et al. </w:t>
      </w:r>
      <w:r w:rsidRPr="000C15B2">
        <w:rPr>
          <w:i/>
          <w:iCs/>
        </w:rPr>
        <w:t>Dicey, Morris &amp; Collins on the Conflict of Laws</w:t>
      </w:r>
      <w:r w:rsidRPr="000C15B2">
        <w:t>. London: Sweet &amp; Maxwell, 2012, para. 11–143. ISBN: 978-0414024533.</w:t>
      </w:r>
    </w:p>
  </w:footnote>
  <w:footnote w:id="55">
    <w:p w14:paraId="3B99AE27" w14:textId="4C288AF2" w:rsidR="005F44C3" w:rsidRPr="000C15B2" w:rsidRDefault="005F44C3">
      <w:pPr>
        <w:pStyle w:val="Textpoznpodarou"/>
      </w:pPr>
      <w:r w:rsidRPr="000C15B2">
        <w:rPr>
          <w:rStyle w:val="Znakapoznpodarou"/>
        </w:rPr>
        <w:footnoteRef/>
      </w:r>
      <w:r w:rsidRPr="000C15B2">
        <w:t xml:space="preserve"> </w:t>
      </w:r>
      <w:r w:rsidR="00132B76">
        <w:t>Ibid.</w:t>
      </w:r>
      <w:r w:rsidRPr="000C15B2">
        <w:t>, para. 11–144.</w:t>
      </w:r>
    </w:p>
  </w:footnote>
  <w:footnote w:id="56">
    <w:p w14:paraId="255C3367" w14:textId="5F31F13F" w:rsidR="001A2696" w:rsidRPr="000C15B2" w:rsidRDefault="001A2696">
      <w:pPr>
        <w:pStyle w:val="Textpoznpodarou"/>
      </w:pPr>
      <w:r w:rsidRPr="000C15B2">
        <w:rPr>
          <w:rStyle w:val="Znakapoznpodarou"/>
        </w:rPr>
        <w:footnoteRef/>
      </w:r>
      <w:r w:rsidRPr="000C15B2">
        <w:t xml:space="preserve"> </w:t>
      </w:r>
      <w:r w:rsidR="00B5561E" w:rsidRPr="000C15B2">
        <w:rPr>
          <w:i/>
          <w:iCs/>
        </w:rPr>
        <w:t>MacShannon</w:t>
      </w:r>
      <w:r w:rsidR="00B5561E" w:rsidRPr="000C15B2">
        <w:t xml:space="preserve">, para. 812; </w:t>
      </w:r>
      <w:r w:rsidR="00B5561E" w:rsidRPr="000C15B2">
        <w:rPr>
          <w:i/>
          <w:iCs/>
        </w:rPr>
        <w:t>Spiliada</w:t>
      </w:r>
      <w:r w:rsidR="00B5561E" w:rsidRPr="000C15B2">
        <w:t>, para. 476.</w:t>
      </w:r>
    </w:p>
  </w:footnote>
  <w:footnote w:id="57">
    <w:p w14:paraId="132473E8" w14:textId="0F4C04CD" w:rsidR="009E7FAC" w:rsidRPr="000C15B2" w:rsidRDefault="009E7FAC" w:rsidP="009E7FAC">
      <w:pPr>
        <w:pStyle w:val="Textpoznpodarou"/>
      </w:pPr>
      <w:r w:rsidRPr="000C15B2">
        <w:rPr>
          <w:rStyle w:val="Znakapoznpodarou"/>
        </w:rPr>
        <w:footnoteRef/>
      </w:r>
      <w:r w:rsidRPr="000C15B2">
        <w:t xml:space="preserve"> Mohammed v Bank of Kuwait and the Middle East KSC [1996] 1 WLR 1483 (CA)</w:t>
      </w:r>
      <w:r w:rsidR="003871C4">
        <w:t>.</w:t>
      </w:r>
    </w:p>
  </w:footnote>
  <w:footnote w:id="58">
    <w:p w14:paraId="787F384F" w14:textId="7A708961" w:rsidR="009E7FAC" w:rsidRPr="000C15B2" w:rsidRDefault="009E7FAC" w:rsidP="009E7FAC">
      <w:pPr>
        <w:pStyle w:val="Textpoznpodarou"/>
      </w:pPr>
      <w:r w:rsidRPr="000C15B2">
        <w:rPr>
          <w:rStyle w:val="Znakapoznpodarou"/>
        </w:rPr>
        <w:footnoteRef/>
      </w:r>
      <w:r w:rsidRPr="000C15B2">
        <w:t xml:space="preserve"> See also BRIGGS, Adrian. Private International Law. </w:t>
      </w:r>
      <w:r w:rsidRPr="000C15B2">
        <w:rPr>
          <w:i/>
          <w:iCs/>
        </w:rPr>
        <w:t>British Yearbook of International Law</w:t>
      </w:r>
      <w:r w:rsidRPr="000C15B2">
        <w:t>. Oxford: Oxford University Press, 1996, Vol. 67, no. 1, p. 587.</w:t>
      </w:r>
    </w:p>
  </w:footnote>
  <w:footnote w:id="59">
    <w:p w14:paraId="740D5A0F" w14:textId="2FF82CD5" w:rsidR="009E7FAC" w:rsidRPr="000C15B2" w:rsidRDefault="009E7FAC">
      <w:pPr>
        <w:pStyle w:val="Textpoznpodarou"/>
      </w:pPr>
      <w:r w:rsidRPr="000C15B2">
        <w:rPr>
          <w:rStyle w:val="Znakapoznpodarou"/>
        </w:rPr>
        <w:footnoteRef/>
      </w:r>
      <w:r w:rsidRPr="000C15B2">
        <w:t xml:space="preserve"> Connelly v RTZ Corporation [1996] QB 361 (CA)</w:t>
      </w:r>
      <w:r w:rsidR="00703B66">
        <w:t>.</w:t>
      </w:r>
    </w:p>
  </w:footnote>
  <w:footnote w:id="60">
    <w:p w14:paraId="0BDB1029" w14:textId="1ED8BB5B" w:rsidR="00B5561E" w:rsidRPr="000C15B2" w:rsidRDefault="00B5561E">
      <w:pPr>
        <w:pStyle w:val="Textpoznpodarou"/>
      </w:pPr>
      <w:r w:rsidRPr="000C15B2">
        <w:rPr>
          <w:rStyle w:val="Znakapoznpodarou"/>
        </w:rPr>
        <w:footnoteRef/>
      </w:r>
      <w:r w:rsidRPr="000C15B2">
        <w:t xml:space="preserve"> New Hampshire Insurance Co v </w:t>
      </w:r>
      <w:proofErr w:type="spellStart"/>
      <w:r w:rsidRPr="000C15B2">
        <w:t>Strabag</w:t>
      </w:r>
      <w:proofErr w:type="spellEnd"/>
      <w:r w:rsidRPr="000C15B2">
        <w:t xml:space="preserve"> </w:t>
      </w:r>
      <w:proofErr w:type="spellStart"/>
      <w:r w:rsidRPr="000C15B2">
        <w:t>Bau</w:t>
      </w:r>
      <w:proofErr w:type="spellEnd"/>
      <w:r w:rsidRPr="000C15B2">
        <w:t xml:space="preserve"> AG [1992] 1 Lloyd’s Rep 361 (CA).</w:t>
      </w:r>
    </w:p>
  </w:footnote>
  <w:footnote w:id="61">
    <w:p w14:paraId="152920C4" w14:textId="0454D0EF" w:rsidR="00B5561E" w:rsidRPr="00DB7935" w:rsidRDefault="00B5561E">
      <w:pPr>
        <w:pStyle w:val="Textpoznpodarou"/>
      </w:pPr>
      <w:r w:rsidRPr="000C15B2">
        <w:rPr>
          <w:rStyle w:val="Znakapoznpodarou"/>
        </w:rPr>
        <w:footnoteRef/>
      </w:r>
      <w:r w:rsidRPr="000C15B2">
        <w:t xml:space="preserve"> </w:t>
      </w:r>
      <w:r w:rsidR="009E7FAC" w:rsidRPr="000C15B2">
        <w:rPr>
          <w:i/>
          <w:iCs/>
        </w:rPr>
        <w:t>Connelly</w:t>
      </w:r>
      <w:r w:rsidR="00703B66">
        <w:rPr>
          <w:i/>
          <w:iCs/>
        </w:rPr>
        <w:t>.</w:t>
      </w:r>
    </w:p>
  </w:footnote>
  <w:footnote w:id="62">
    <w:p w14:paraId="31B7D59D" w14:textId="000A3009" w:rsidR="00537E41" w:rsidRPr="000C15B2" w:rsidRDefault="00537E41">
      <w:pPr>
        <w:pStyle w:val="Textpoznpodarou"/>
      </w:pPr>
      <w:r w:rsidRPr="000C15B2">
        <w:rPr>
          <w:rStyle w:val="Znakapoznpodarou"/>
        </w:rPr>
        <w:footnoteRef/>
      </w:r>
      <w:r w:rsidRPr="000C15B2">
        <w:t xml:space="preserve"> </w:t>
      </w:r>
      <w:r w:rsidR="000B3C04" w:rsidRPr="000C15B2">
        <w:t xml:space="preserve">ARZANDEH, </w:t>
      </w:r>
      <w:r w:rsidR="00703B66">
        <w:t>op. cit.</w:t>
      </w:r>
      <w:r w:rsidR="000B3C04" w:rsidRPr="000C15B2">
        <w:t>, p</w:t>
      </w:r>
      <w:r w:rsidR="00703B66">
        <w:t>p</w:t>
      </w:r>
      <w:r w:rsidR="000B3C04" w:rsidRPr="000C15B2">
        <w:t>. 79, 105.</w:t>
      </w:r>
    </w:p>
  </w:footnote>
  <w:footnote w:id="63">
    <w:p w14:paraId="26FD8268" w14:textId="0676C8A4" w:rsidR="00A22B9D" w:rsidRPr="00A22B9D" w:rsidRDefault="00A22B9D" w:rsidP="00A22B9D">
      <w:pPr>
        <w:pStyle w:val="Textpoznpodarou"/>
        <w:rPr>
          <w:lang w:val="cs-CZ"/>
        </w:rPr>
      </w:pPr>
      <w:r>
        <w:rPr>
          <w:rStyle w:val="Znakapoznpodarou"/>
        </w:rPr>
        <w:footnoteRef/>
      </w:r>
      <w:r>
        <w:t xml:space="preserve"> </w:t>
      </w:r>
      <w:r w:rsidRPr="000C15B2">
        <w:t>Re Harrods (Buenos Aires) Ltd (No. 2) [1992] Ch 72 (CA)</w:t>
      </w:r>
      <w:r w:rsidR="00C2491D">
        <w:t>, para.</w:t>
      </w:r>
      <w:r w:rsidRPr="000C15B2">
        <w:t xml:space="preserve"> 101.; BRIGGS</w:t>
      </w:r>
      <w:r w:rsidR="00C2491D">
        <w:t xml:space="preserve"> </w:t>
      </w:r>
      <w:r w:rsidR="007D68EF">
        <w:t>2021</w:t>
      </w:r>
      <w:r w:rsidRPr="000C15B2">
        <w:t>,</w:t>
      </w:r>
      <w:r w:rsidR="00C2491D">
        <w:t xml:space="preserve"> op. cit.,</w:t>
      </w:r>
      <w:r w:rsidRPr="000C15B2">
        <w:t xml:space="preserve"> p</w:t>
      </w:r>
      <w:r w:rsidR="00C2491D">
        <w:t>p</w:t>
      </w:r>
      <w:r w:rsidRPr="000C15B2">
        <w:t>. 358–360.</w:t>
      </w:r>
    </w:p>
  </w:footnote>
  <w:footnote w:id="64">
    <w:p w14:paraId="07CF9230" w14:textId="4F3EE72B" w:rsidR="00294B6D" w:rsidRPr="00294B6D" w:rsidRDefault="00294B6D">
      <w:pPr>
        <w:pStyle w:val="Textpoznpodarou"/>
        <w:rPr>
          <w:lang w:val="cs-CZ"/>
        </w:rPr>
      </w:pPr>
      <w:r>
        <w:rPr>
          <w:rStyle w:val="Znakapoznpodarou"/>
        </w:rPr>
        <w:footnoteRef/>
      </w:r>
      <w:r>
        <w:t xml:space="preserve"> </w:t>
      </w:r>
      <w:r>
        <w:rPr>
          <w:i/>
          <w:iCs/>
        </w:rPr>
        <w:t>Re Harrods</w:t>
      </w:r>
      <w:r>
        <w:t>, p</w:t>
      </w:r>
      <w:r w:rsidR="00C2491D">
        <w:t>ara</w:t>
      </w:r>
      <w:r>
        <w:t>. 98, 103.</w:t>
      </w:r>
    </w:p>
  </w:footnote>
  <w:footnote w:id="65">
    <w:p w14:paraId="1E16844D" w14:textId="0B775DE7" w:rsidR="00E8134B" w:rsidRPr="00E8134B" w:rsidRDefault="00E8134B">
      <w:pPr>
        <w:pStyle w:val="Textpoznpodarou"/>
        <w:rPr>
          <w:lang w:val="cs-CZ"/>
        </w:rPr>
      </w:pPr>
      <w:r>
        <w:rPr>
          <w:rStyle w:val="Znakapoznpodarou"/>
        </w:rPr>
        <w:footnoteRef/>
      </w:r>
      <w:r>
        <w:t xml:space="preserve"> </w:t>
      </w:r>
      <w:r w:rsidRPr="00E8134B">
        <w:t xml:space="preserve">Case C-314/92: Reference for a preliminary ruling made by the House of Lords, by order of that court dated 13 July 1992, in the case of </w:t>
      </w:r>
      <w:proofErr w:type="spellStart"/>
      <w:r w:rsidRPr="00E8134B">
        <w:t>Ladenimor</w:t>
      </w:r>
      <w:proofErr w:type="spellEnd"/>
      <w:r w:rsidRPr="00E8134B">
        <w:t xml:space="preserve"> SA against </w:t>
      </w:r>
      <w:proofErr w:type="spellStart"/>
      <w:r w:rsidRPr="00E8134B">
        <w:t>Intercomfinanz</w:t>
      </w:r>
      <w:proofErr w:type="spellEnd"/>
      <w:r w:rsidRPr="00E8134B">
        <w:t xml:space="preserve"> SA</w:t>
      </w:r>
      <w:r>
        <w:t>.</w:t>
      </w:r>
    </w:p>
  </w:footnote>
  <w:footnote w:id="66">
    <w:p w14:paraId="622D88C1" w14:textId="6E5E4A70" w:rsidR="000D00FA" w:rsidRPr="000C15B2" w:rsidRDefault="000D00FA">
      <w:pPr>
        <w:pStyle w:val="Textpoznpodarou"/>
      </w:pPr>
      <w:r w:rsidRPr="000C15B2">
        <w:rPr>
          <w:rStyle w:val="Znakapoznpodarou"/>
        </w:rPr>
        <w:footnoteRef/>
      </w:r>
      <w:r w:rsidRPr="000C15B2">
        <w:t xml:space="preserve"> Judgment of the Court (Grand Chamber) of 1 March 2005. Andrew Owusu v N. B. Jackson, trading as "Villa Holidays Bal-Inn Villas" and Others</w:t>
      </w:r>
      <w:r w:rsidR="005832E5" w:rsidRPr="000C15B2">
        <w:t xml:space="preserve">, </w:t>
      </w:r>
      <w:r w:rsidRPr="000C15B2">
        <w:t>Case C-281/02.</w:t>
      </w:r>
    </w:p>
  </w:footnote>
  <w:footnote w:id="67">
    <w:p w14:paraId="6DFB21E1" w14:textId="6FC70BD2" w:rsidR="00AD3DCD" w:rsidRPr="000C15B2" w:rsidRDefault="00AD3DCD">
      <w:pPr>
        <w:pStyle w:val="Textpoznpodarou"/>
      </w:pPr>
      <w:r w:rsidRPr="000C15B2">
        <w:rPr>
          <w:rStyle w:val="Znakapoznpodarou"/>
        </w:rPr>
        <w:footnoteRef/>
      </w:r>
      <w:r w:rsidRPr="000C15B2">
        <w:t xml:space="preserve"> Art. 4 of Regulation (EU) No 1215/2012 of the European Parliament and of the Council of 12 December 2012 on juris- diction and the recognition and enforcement of judgements in civil and commercial matters (</w:t>
      </w:r>
      <w:r w:rsidR="00877E6E" w:rsidRPr="000C15B2">
        <w:t>“</w:t>
      </w:r>
      <w:r w:rsidRPr="000C15B2">
        <w:rPr>
          <w:i/>
          <w:iCs/>
        </w:rPr>
        <w:t>Brussels Ibis Regulation</w:t>
      </w:r>
      <w:r w:rsidR="00877E6E" w:rsidRPr="000C15B2">
        <w:t>”</w:t>
      </w:r>
      <w:r w:rsidRPr="000C15B2">
        <w:t>)</w:t>
      </w:r>
      <w:r w:rsidR="00C2491D">
        <w:t>.</w:t>
      </w:r>
    </w:p>
  </w:footnote>
  <w:footnote w:id="68">
    <w:p w14:paraId="4405FABF" w14:textId="35967F70" w:rsidR="00FF5BB9" w:rsidRPr="000C15B2" w:rsidRDefault="00FF5BB9">
      <w:pPr>
        <w:pStyle w:val="Textpoznpodarou"/>
      </w:pPr>
      <w:r w:rsidRPr="000C15B2">
        <w:rPr>
          <w:rStyle w:val="Znakapoznpodarou"/>
        </w:rPr>
        <w:footnoteRef/>
      </w:r>
      <w:r w:rsidRPr="000C15B2">
        <w:t xml:space="preserve"> 1968 Brussels Convention on jurisdiction and the enforcement of judgments in civil and commercial matters.</w:t>
      </w:r>
    </w:p>
  </w:footnote>
  <w:footnote w:id="69">
    <w:p w14:paraId="16C6DA2D" w14:textId="53A7BB1C" w:rsidR="007143A8" w:rsidRPr="000C15B2" w:rsidRDefault="007143A8">
      <w:pPr>
        <w:pStyle w:val="Textpoznpodarou"/>
      </w:pPr>
      <w:r w:rsidRPr="000C15B2">
        <w:rPr>
          <w:rStyle w:val="Znakapoznpodarou"/>
        </w:rPr>
        <w:footnoteRef/>
      </w:r>
      <w:r w:rsidRPr="000C15B2">
        <w:t xml:space="preserve"> Second preliminary question was not discussed as the first question was answered affirmatively.</w:t>
      </w:r>
      <w:r w:rsidR="0089630A" w:rsidRPr="000C15B2">
        <w:t xml:space="preserve"> See </w:t>
      </w:r>
      <w:r w:rsidR="0089630A" w:rsidRPr="000C15B2">
        <w:rPr>
          <w:i/>
          <w:iCs/>
        </w:rPr>
        <w:t>Owusu</w:t>
      </w:r>
      <w:r w:rsidR="0089630A" w:rsidRPr="000C15B2">
        <w:t>, para. 47 et seq.</w:t>
      </w:r>
    </w:p>
  </w:footnote>
  <w:footnote w:id="70">
    <w:p w14:paraId="44DFD8A2" w14:textId="5B237CD8" w:rsidR="007143A8" w:rsidRPr="000C15B2" w:rsidRDefault="007143A8">
      <w:pPr>
        <w:pStyle w:val="Textpoznpodarou"/>
      </w:pPr>
      <w:r w:rsidRPr="000C15B2">
        <w:rPr>
          <w:rStyle w:val="Znakapoznpodarou"/>
        </w:rPr>
        <w:footnoteRef/>
      </w:r>
      <w:r w:rsidRPr="000C15B2">
        <w:t xml:space="preserve"> </w:t>
      </w:r>
      <w:r w:rsidRPr="000C15B2">
        <w:rPr>
          <w:i/>
          <w:iCs/>
        </w:rPr>
        <w:t>Owusu</w:t>
      </w:r>
      <w:r w:rsidRPr="000C15B2">
        <w:t>, para. 22.</w:t>
      </w:r>
    </w:p>
  </w:footnote>
  <w:footnote w:id="71">
    <w:p w14:paraId="47586404" w14:textId="77777777" w:rsidR="00241531" w:rsidRPr="000C15B2" w:rsidRDefault="00241531" w:rsidP="00241531">
      <w:pPr>
        <w:pStyle w:val="Textpoznpodarou"/>
      </w:pPr>
      <w:r w:rsidRPr="000C15B2">
        <w:rPr>
          <w:rStyle w:val="Znakapoznpodarou"/>
        </w:rPr>
        <w:footnoteRef/>
      </w:r>
      <w:r w:rsidRPr="000C15B2">
        <w:t xml:space="preserve"> Report by Mr P. </w:t>
      </w:r>
      <w:proofErr w:type="spellStart"/>
      <w:r w:rsidRPr="000C15B2">
        <w:t>Jenard</w:t>
      </w:r>
      <w:proofErr w:type="spellEnd"/>
      <w:r w:rsidRPr="000C15B2">
        <w:t xml:space="preserve"> on the Protocols of 3 June 1971 on the interpretation by the Court of Justice of the Convention of 29 February 1968 on the mutual recognition of companies and legal persons and of the Convention of 27 September 1968 on jurisdiction and the enforcement of judgments in civil and commercial matters (“</w:t>
      </w:r>
      <w:proofErr w:type="spellStart"/>
      <w:r w:rsidRPr="000C15B2">
        <w:rPr>
          <w:i/>
          <w:iCs/>
        </w:rPr>
        <w:t>Jenard</w:t>
      </w:r>
      <w:proofErr w:type="spellEnd"/>
      <w:r w:rsidRPr="000C15B2">
        <w:rPr>
          <w:i/>
          <w:iCs/>
        </w:rPr>
        <w:t xml:space="preserve"> Report</w:t>
      </w:r>
      <w:r w:rsidRPr="000C15B2">
        <w:t xml:space="preserve">”), OJ 1979 C 59, p. 8.; </w:t>
      </w:r>
      <w:r w:rsidRPr="000C15B2">
        <w:rPr>
          <w:i/>
          <w:iCs/>
        </w:rPr>
        <w:t>Owusu</w:t>
      </w:r>
      <w:r w:rsidRPr="000C15B2">
        <w:t>, para. 25.</w:t>
      </w:r>
    </w:p>
  </w:footnote>
  <w:footnote w:id="72">
    <w:p w14:paraId="7EE0E332" w14:textId="344CF7BC" w:rsidR="002B12EE" w:rsidRPr="000C15B2" w:rsidRDefault="002B12EE">
      <w:pPr>
        <w:pStyle w:val="Textpoznpodarou"/>
      </w:pPr>
      <w:r w:rsidRPr="000C15B2">
        <w:rPr>
          <w:rStyle w:val="Znakapoznpodarou"/>
        </w:rPr>
        <w:footnoteRef/>
      </w:r>
      <w:r w:rsidRPr="000C15B2">
        <w:t xml:space="preserve"> </w:t>
      </w:r>
      <w:r w:rsidRPr="000C15B2">
        <w:rPr>
          <w:i/>
          <w:iCs/>
        </w:rPr>
        <w:t>Owusu</w:t>
      </w:r>
      <w:r w:rsidRPr="000C15B2">
        <w:t>, para. 24</w:t>
      </w:r>
      <w:r w:rsidR="00241531" w:rsidRPr="000C15B2">
        <w:t>.</w:t>
      </w:r>
    </w:p>
  </w:footnote>
  <w:footnote w:id="73">
    <w:p w14:paraId="3A090B2E" w14:textId="11E81645" w:rsidR="00241531" w:rsidRPr="000C15B2" w:rsidRDefault="00241531">
      <w:pPr>
        <w:pStyle w:val="Textpoznpodarou"/>
      </w:pPr>
      <w:r w:rsidRPr="000C15B2">
        <w:rPr>
          <w:rStyle w:val="Znakapoznpodarou"/>
        </w:rPr>
        <w:footnoteRef/>
      </w:r>
      <w:r w:rsidRPr="000C15B2">
        <w:t xml:space="preserve"> </w:t>
      </w:r>
      <w:r w:rsidR="00AA614C">
        <w:t>Ibid.,</w:t>
      </w:r>
      <w:r w:rsidRPr="000C15B2">
        <w:t xml:space="preserve"> para. 26.</w:t>
      </w:r>
    </w:p>
  </w:footnote>
  <w:footnote w:id="74">
    <w:p w14:paraId="35F0A7D2" w14:textId="0A0CC7FB" w:rsidR="005832E5" w:rsidRPr="000C15B2" w:rsidRDefault="005832E5">
      <w:pPr>
        <w:pStyle w:val="Textpoznpodarou"/>
      </w:pPr>
      <w:r w:rsidRPr="000C15B2">
        <w:rPr>
          <w:rStyle w:val="Znakapoznpodarou"/>
        </w:rPr>
        <w:footnoteRef/>
      </w:r>
      <w:r w:rsidRPr="000C15B2">
        <w:t xml:space="preserve"> </w:t>
      </w:r>
      <w:r w:rsidR="00AA614C">
        <w:t>Ibid.,</w:t>
      </w:r>
      <w:r w:rsidRPr="000C15B2">
        <w:t xml:space="preserve"> para. 37.</w:t>
      </w:r>
    </w:p>
  </w:footnote>
  <w:footnote w:id="75">
    <w:p w14:paraId="01A8849A" w14:textId="0472A82C" w:rsidR="005832E5" w:rsidRPr="000C15B2" w:rsidRDefault="005832E5" w:rsidP="005832E5">
      <w:pPr>
        <w:pStyle w:val="Textpoznpodarou"/>
      </w:pPr>
      <w:r w:rsidRPr="000C15B2">
        <w:rPr>
          <w:rStyle w:val="Znakapoznpodarou"/>
        </w:rPr>
        <w:footnoteRef/>
      </w:r>
      <w:r w:rsidRPr="000C15B2">
        <w:t xml:space="preserve"> </w:t>
      </w:r>
      <w:r w:rsidR="00AA614C">
        <w:t>Ibid.,</w:t>
      </w:r>
      <w:r w:rsidRPr="000C15B2">
        <w:t xml:space="preserve"> para. 37.; Report by Professor Dr Peter Schlosser on the Convention of 9 October 1978 on the Association of the Kingdom of Denmark, Ireland and the United Kingdom of Great Britain and Northern Ireland to the Convention on jurisdiction and the enforcement of judgments in civil and commercial matters and to the Protocol on its interpretation by the Court of Justice („</w:t>
      </w:r>
      <w:r w:rsidRPr="000C15B2">
        <w:rPr>
          <w:i/>
          <w:iCs/>
        </w:rPr>
        <w:t>Schlosser Report</w:t>
      </w:r>
      <w:r w:rsidRPr="000C15B2">
        <w:t>”), para. 77–78.</w:t>
      </w:r>
    </w:p>
  </w:footnote>
  <w:footnote w:id="76">
    <w:p w14:paraId="18908832" w14:textId="16715054" w:rsidR="005832E5" w:rsidRPr="000C15B2" w:rsidRDefault="005832E5">
      <w:pPr>
        <w:pStyle w:val="Textpoznpodarou"/>
      </w:pPr>
      <w:r w:rsidRPr="000C15B2">
        <w:rPr>
          <w:rStyle w:val="Znakapoznpodarou"/>
        </w:rPr>
        <w:footnoteRef/>
      </w:r>
      <w:r w:rsidRPr="000C15B2">
        <w:t xml:space="preserve"> </w:t>
      </w:r>
      <w:r w:rsidRPr="000C15B2">
        <w:rPr>
          <w:i/>
          <w:iCs/>
        </w:rPr>
        <w:t>Schlosser Report</w:t>
      </w:r>
      <w:r w:rsidRPr="000C15B2">
        <w:t>, para. 78.</w:t>
      </w:r>
    </w:p>
  </w:footnote>
  <w:footnote w:id="77">
    <w:p w14:paraId="7792326B" w14:textId="4DAF8F51" w:rsidR="0089630A" w:rsidRPr="000C15B2" w:rsidRDefault="0089630A">
      <w:pPr>
        <w:pStyle w:val="Textpoznpodarou"/>
      </w:pPr>
      <w:r w:rsidRPr="000C15B2">
        <w:rPr>
          <w:rStyle w:val="Znakapoznpodarou"/>
        </w:rPr>
        <w:footnoteRef/>
      </w:r>
      <w:r w:rsidRPr="000C15B2">
        <w:t xml:space="preserve"> </w:t>
      </w:r>
      <w:r w:rsidRPr="000C15B2">
        <w:rPr>
          <w:i/>
          <w:iCs/>
        </w:rPr>
        <w:t>Owusu</w:t>
      </w:r>
      <w:r w:rsidRPr="000C15B2">
        <w:t>, para. 38, 41.</w:t>
      </w:r>
    </w:p>
  </w:footnote>
  <w:footnote w:id="78">
    <w:p w14:paraId="2D738545" w14:textId="1BE80519" w:rsidR="0089630A" w:rsidRPr="000C15B2" w:rsidRDefault="0089630A">
      <w:pPr>
        <w:pStyle w:val="Textpoznpodarou"/>
      </w:pPr>
      <w:r w:rsidRPr="000C15B2">
        <w:rPr>
          <w:rStyle w:val="Znakapoznpodarou"/>
        </w:rPr>
        <w:footnoteRef/>
      </w:r>
      <w:r w:rsidRPr="000C15B2">
        <w:t xml:space="preserve"> Judgment of the Court of 28 September 1999. Case C-440/97, para. 23.; Judgment of the Court of 19 February 2002. Case C-256/00, para. 24.</w:t>
      </w:r>
    </w:p>
  </w:footnote>
  <w:footnote w:id="79">
    <w:p w14:paraId="4F11573E" w14:textId="0AEE1BDA" w:rsidR="0089630A" w:rsidRPr="000C15B2" w:rsidRDefault="0089630A">
      <w:pPr>
        <w:pStyle w:val="Textpoznpodarou"/>
      </w:pPr>
      <w:r w:rsidRPr="000C15B2">
        <w:rPr>
          <w:rStyle w:val="Znakapoznpodarou"/>
        </w:rPr>
        <w:footnoteRef/>
      </w:r>
      <w:r w:rsidRPr="000C15B2">
        <w:t xml:space="preserve"> </w:t>
      </w:r>
      <w:r w:rsidRPr="000C15B2">
        <w:rPr>
          <w:i/>
          <w:iCs/>
        </w:rPr>
        <w:t>Owusu</w:t>
      </w:r>
      <w:r w:rsidRPr="000C15B2">
        <w:t>, para. 46.</w:t>
      </w:r>
    </w:p>
  </w:footnote>
  <w:footnote w:id="80">
    <w:p w14:paraId="0D16815B" w14:textId="2C3D17DB" w:rsidR="00E36AFD" w:rsidRPr="00C35617" w:rsidRDefault="00E36AFD">
      <w:pPr>
        <w:pStyle w:val="Textpoznpodarou"/>
        <w:rPr>
          <w:lang w:val="cs-CZ"/>
        </w:rPr>
      </w:pPr>
      <w:r w:rsidRPr="000C15B2">
        <w:rPr>
          <w:rStyle w:val="Znakapoznpodarou"/>
        </w:rPr>
        <w:footnoteRef/>
      </w:r>
      <w:r w:rsidRPr="000C15B2">
        <w:t xml:space="preserve"> NYUTS, Arnaud. Chapter 13: Owusu, Gasser, Turner and West Tankers – Is the Hague Convention on Choice-of-Court Agreements the Solution? In: AFFAKI, </w:t>
      </w:r>
      <w:proofErr w:type="spellStart"/>
      <w:r w:rsidRPr="000C15B2">
        <w:t>Bachir</w:t>
      </w:r>
      <w:proofErr w:type="spellEnd"/>
      <w:r w:rsidRPr="000C15B2">
        <w:t xml:space="preserve"> Georges and Horacio Alberto </w:t>
      </w:r>
      <w:proofErr w:type="spellStart"/>
      <w:r w:rsidRPr="000C15B2">
        <w:t>Grigera</w:t>
      </w:r>
      <w:proofErr w:type="spellEnd"/>
      <w:r w:rsidRPr="000C15B2">
        <w:t xml:space="preserve"> NAÓN (eds). </w:t>
      </w:r>
      <w:r w:rsidRPr="000C15B2">
        <w:rPr>
          <w:i/>
          <w:iCs/>
        </w:rPr>
        <w:t>Jurisdictional Choices in Times of Trouble, Dossiers of the ICC Institute of World Business Law</w:t>
      </w:r>
      <w:r w:rsidRPr="000C15B2">
        <w:t>. Paris: Kluwer Law International; International Chamber of Commerce. 2015, Vol. 12, p. 191.</w:t>
      </w:r>
      <w:r w:rsidR="00694AB9">
        <w:t xml:space="preserve">; See also VLAS, Paul. Chapter II: Jurisdiction. In: MAGNUS Ulrich and Peter MANKOWSKI. </w:t>
      </w:r>
      <w:r w:rsidR="00694AB9" w:rsidRPr="00C35617">
        <w:rPr>
          <w:i/>
          <w:iCs/>
        </w:rPr>
        <w:t xml:space="preserve">Volume 1 Brussels Ibis Regulation </w:t>
      </w:r>
      <w:r w:rsidR="00C35617" w:rsidRPr="00C35617">
        <w:rPr>
          <w:i/>
          <w:iCs/>
        </w:rPr>
        <w:t>–</w:t>
      </w:r>
      <w:r w:rsidR="00694AB9" w:rsidRPr="00C35617">
        <w:rPr>
          <w:i/>
          <w:iCs/>
        </w:rPr>
        <w:t xml:space="preserve"> Commentary</w:t>
      </w:r>
      <w:r w:rsidR="00C35617">
        <w:t xml:space="preserve">. Cologne: </w:t>
      </w:r>
      <w:r w:rsidR="00C35617" w:rsidRPr="00C35617">
        <w:t>Verlag Dr. Otto Schmidt</w:t>
      </w:r>
      <w:r w:rsidR="00C35617">
        <w:rPr>
          <w:lang w:val="cs-CZ"/>
        </w:rPr>
        <w:t>, 2015, pp. 109–111.</w:t>
      </w:r>
    </w:p>
  </w:footnote>
  <w:footnote w:id="81">
    <w:p w14:paraId="4B240ABB" w14:textId="4F870F31" w:rsidR="0053480B" w:rsidRPr="000C15B2" w:rsidRDefault="0053480B">
      <w:pPr>
        <w:pStyle w:val="Textpoznpodarou"/>
      </w:pPr>
      <w:r w:rsidRPr="000C15B2">
        <w:rPr>
          <w:rStyle w:val="Znakapoznpodarou"/>
        </w:rPr>
        <w:footnoteRef/>
      </w:r>
      <w:r w:rsidRPr="000C15B2">
        <w:t xml:space="preserve"> </w:t>
      </w:r>
      <w:r w:rsidR="0045343D" w:rsidRPr="000C15B2">
        <w:t xml:space="preserve">WATERS, Andrew. </w:t>
      </w:r>
      <w:r w:rsidR="00D0662B" w:rsidRPr="000C15B2">
        <w:t xml:space="preserve">“Forum Shopping” in Fraud Actions Following Owusu v. Jackson. </w:t>
      </w:r>
      <w:r w:rsidR="00D0662B" w:rsidRPr="000C15B2">
        <w:rPr>
          <w:i/>
          <w:iCs/>
        </w:rPr>
        <w:t>Journal of International Banking and Financial Law</w:t>
      </w:r>
      <w:r w:rsidR="00D0662B" w:rsidRPr="000C15B2">
        <w:t>. London: Butterworth &amp; Co., 2010, Vol. 25, p. 359.</w:t>
      </w:r>
    </w:p>
  </w:footnote>
  <w:footnote w:id="82">
    <w:p w14:paraId="4E914D22" w14:textId="729E098D" w:rsidR="00A90619" w:rsidRPr="00DB7935" w:rsidRDefault="00A90619">
      <w:pPr>
        <w:pStyle w:val="Textpoznpodarou"/>
      </w:pPr>
      <w:r w:rsidRPr="00DB7935">
        <w:rPr>
          <w:rStyle w:val="Znakapoznpodarou"/>
        </w:rPr>
        <w:footnoteRef/>
      </w:r>
      <w:r w:rsidRPr="00DB7935">
        <w:t xml:space="preserve"> HESS, Burkhard and Martina MANTOVANI. Current developments in forum access: Comments on jurisdiction and forum non conveniens – European perspectives on human rights litigation. </w:t>
      </w:r>
      <w:proofErr w:type="spellStart"/>
      <w:r w:rsidRPr="00DB7935">
        <w:rPr>
          <w:i/>
          <w:iCs/>
        </w:rPr>
        <w:t>MPILux</w:t>
      </w:r>
      <w:proofErr w:type="spellEnd"/>
      <w:r w:rsidRPr="00DB7935">
        <w:rPr>
          <w:i/>
          <w:iCs/>
        </w:rPr>
        <w:t xml:space="preserve"> Research Paper Series 2019</w:t>
      </w:r>
      <w:r w:rsidRPr="00DB7935">
        <w:t xml:space="preserve">, Luxembourg: Max </w:t>
      </w:r>
      <w:proofErr w:type="spellStart"/>
      <w:r w:rsidRPr="00DB7935">
        <w:t>Planc</w:t>
      </w:r>
      <w:proofErr w:type="spellEnd"/>
      <w:r w:rsidRPr="00DB7935">
        <w:t xml:space="preserve"> Institute. 2019, no. 1, p. </w:t>
      </w:r>
      <w:r w:rsidR="00975E3B" w:rsidRPr="00DB7935">
        <w:t>2.</w:t>
      </w:r>
    </w:p>
  </w:footnote>
  <w:footnote w:id="83">
    <w:p w14:paraId="4E7DB6AB" w14:textId="7B4A383A" w:rsidR="00116C1C" w:rsidRPr="000C15B2" w:rsidRDefault="00116C1C">
      <w:pPr>
        <w:pStyle w:val="Textpoznpodarou"/>
      </w:pPr>
      <w:r w:rsidRPr="000C15B2">
        <w:rPr>
          <w:rStyle w:val="Znakapoznpodarou"/>
        </w:rPr>
        <w:footnoteRef/>
      </w:r>
      <w:r w:rsidRPr="000C15B2">
        <w:t xml:space="preserve"> </w:t>
      </w:r>
      <w:r w:rsidR="00495CF4" w:rsidRPr="000C15B2">
        <w:t xml:space="preserve">BRIGGS, Adrian. The Death of Harrods: Forum Non Conveniens and the European Court. </w:t>
      </w:r>
      <w:r w:rsidR="00495CF4" w:rsidRPr="000C15B2">
        <w:rPr>
          <w:i/>
          <w:iCs/>
        </w:rPr>
        <w:t xml:space="preserve">Law </w:t>
      </w:r>
      <w:r w:rsidR="00857363" w:rsidRPr="000C15B2">
        <w:rPr>
          <w:i/>
          <w:iCs/>
        </w:rPr>
        <w:t>Quarterly</w:t>
      </w:r>
      <w:r w:rsidR="00495CF4" w:rsidRPr="000C15B2">
        <w:rPr>
          <w:i/>
          <w:iCs/>
        </w:rPr>
        <w:t xml:space="preserve"> Review</w:t>
      </w:r>
      <w:r w:rsidR="00495CF4" w:rsidRPr="000C15B2">
        <w:t>, London: Sweet &amp; Maxwell, 2005, Vol. 121, p. 535.</w:t>
      </w:r>
    </w:p>
  </w:footnote>
  <w:footnote w:id="84">
    <w:p w14:paraId="56F4A381" w14:textId="1ECE0B10" w:rsidR="001A0C27" w:rsidRPr="000C15B2" w:rsidRDefault="001A0C27">
      <w:pPr>
        <w:pStyle w:val="Textpoznpodarou"/>
      </w:pPr>
      <w:r w:rsidRPr="000C15B2">
        <w:rPr>
          <w:rStyle w:val="Znakapoznpodarou"/>
        </w:rPr>
        <w:footnoteRef/>
      </w:r>
      <w:r w:rsidRPr="000C15B2">
        <w:t xml:space="preserve"> HAM, Jared. (Br)exit Strategy: The Future of the Forum Non Conveniens Doctrine in the United Kingdom After ‘Brexit’</w:t>
      </w:r>
      <w:r w:rsidR="006F0A87" w:rsidRPr="000C15B2">
        <w:t xml:space="preserve">. </w:t>
      </w:r>
      <w:r w:rsidR="006F0A87" w:rsidRPr="000C15B2">
        <w:rPr>
          <w:i/>
          <w:iCs/>
        </w:rPr>
        <w:t>Cornell International Law Journal</w:t>
      </w:r>
      <w:r w:rsidR="006F0A87" w:rsidRPr="000C15B2">
        <w:t>. Ithaca: Cornell Law School, 2020, Vol. 52, p. 730.</w:t>
      </w:r>
    </w:p>
  </w:footnote>
  <w:footnote w:id="85">
    <w:p w14:paraId="1B22DB5E" w14:textId="2292848A" w:rsidR="009746D2" w:rsidRPr="000C15B2" w:rsidRDefault="009746D2">
      <w:pPr>
        <w:pStyle w:val="Textpoznpodarou"/>
      </w:pPr>
      <w:r w:rsidRPr="000C15B2">
        <w:rPr>
          <w:rStyle w:val="Znakapoznpodarou"/>
        </w:rPr>
        <w:footnoteRef/>
      </w:r>
      <w:r w:rsidRPr="000C15B2">
        <w:t xml:space="preserve"> Gomez v Gomez-</w:t>
      </w:r>
      <w:proofErr w:type="spellStart"/>
      <w:r w:rsidRPr="000C15B2">
        <w:t>Monche</w:t>
      </w:r>
      <w:proofErr w:type="spellEnd"/>
      <w:r w:rsidRPr="000C15B2">
        <w:t xml:space="preserve"> Vives [2008] EWHC 259 (Ch), [2008] 3 WLR 309.</w:t>
      </w:r>
    </w:p>
  </w:footnote>
  <w:footnote w:id="86">
    <w:p w14:paraId="236694D1" w14:textId="4258825D" w:rsidR="009A1805" w:rsidRPr="008D58BF" w:rsidRDefault="009A1805">
      <w:pPr>
        <w:pStyle w:val="Textpoznpodarou"/>
        <w:rPr>
          <w:lang w:val="cs-CZ"/>
        </w:rPr>
      </w:pPr>
      <w:r>
        <w:rPr>
          <w:rStyle w:val="Znakapoznpodarou"/>
        </w:rPr>
        <w:footnoteRef/>
      </w:r>
      <w:r>
        <w:t xml:space="preserve"> </w:t>
      </w:r>
      <w:r w:rsidRPr="009A1805">
        <w:t>MITCHENSON Jason</w:t>
      </w:r>
      <w:r>
        <w:rPr>
          <w:lang w:val="cs-CZ"/>
        </w:rPr>
        <w:t xml:space="preserve"> and </w:t>
      </w:r>
      <w:r w:rsidRPr="009A1805">
        <w:t>Thomas SCHULT</w:t>
      </w:r>
      <w:r>
        <w:rPr>
          <w:lang w:val="cs-CZ"/>
        </w:rPr>
        <w:t xml:space="preserve">Z. </w:t>
      </w:r>
      <w:r w:rsidRPr="009A1805">
        <w:t>Rediscovering the Principle of Comity in English Private International Law</w:t>
      </w:r>
      <w:r>
        <w:rPr>
          <w:lang w:val="cs-CZ"/>
        </w:rPr>
        <w:t xml:space="preserve">. </w:t>
      </w:r>
      <w:r w:rsidRPr="009A1805">
        <w:rPr>
          <w:i/>
          <w:iCs/>
        </w:rPr>
        <w:t>European Review of Private Law</w:t>
      </w:r>
      <w:r w:rsidRPr="009A1805">
        <w:t xml:space="preserve">, </w:t>
      </w:r>
      <w:r w:rsidR="008D58BF" w:rsidRPr="008D58BF">
        <w:t xml:space="preserve">Alphen </w:t>
      </w:r>
      <w:proofErr w:type="spellStart"/>
      <w:r w:rsidR="008D58BF" w:rsidRPr="008D58BF">
        <w:t>aan</w:t>
      </w:r>
      <w:proofErr w:type="spellEnd"/>
      <w:r w:rsidR="008D58BF" w:rsidRPr="008D58BF">
        <w:t xml:space="preserve"> den Rijn</w:t>
      </w:r>
      <w:r w:rsidR="008D58BF">
        <w:t>: K</w:t>
      </w:r>
      <w:r w:rsidR="008D58BF" w:rsidRPr="008D58BF">
        <w:t xml:space="preserve">luwer </w:t>
      </w:r>
      <w:r w:rsidR="008D58BF">
        <w:t>L</w:t>
      </w:r>
      <w:r w:rsidR="008D58BF" w:rsidRPr="008D58BF">
        <w:t xml:space="preserve">aw </w:t>
      </w:r>
      <w:r w:rsidR="008D58BF">
        <w:t>I</w:t>
      </w:r>
      <w:r w:rsidR="008D58BF" w:rsidRPr="008D58BF">
        <w:t xml:space="preserve">nternational </w:t>
      </w:r>
      <w:r w:rsidRPr="009A1805">
        <w:t>Issue</w:t>
      </w:r>
      <w:r w:rsidR="008D58BF">
        <w:rPr>
          <w:lang w:val="cs-CZ"/>
        </w:rPr>
        <w:t xml:space="preserve">, </w:t>
      </w:r>
      <w:r w:rsidRPr="009A1805">
        <w:t>2018</w:t>
      </w:r>
      <w:r w:rsidR="008D58BF">
        <w:rPr>
          <w:lang w:val="cs-CZ"/>
        </w:rPr>
        <w:t xml:space="preserve">, Vol. </w:t>
      </w:r>
      <w:r w:rsidRPr="009A1805">
        <w:t xml:space="preserve">26, </w:t>
      </w:r>
      <w:r w:rsidR="008D58BF">
        <w:rPr>
          <w:lang w:val="cs-CZ"/>
        </w:rPr>
        <w:t xml:space="preserve">no. </w:t>
      </w:r>
      <w:r w:rsidRPr="009A1805">
        <w:t>3, p</w:t>
      </w:r>
      <w:r w:rsidR="008D58BF">
        <w:rPr>
          <w:lang w:val="cs-CZ"/>
        </w:rPr>
        <w:t>. 330.</w:t>
      </w:r>
    </w:p>
  </w:footnote>
  <w:footnote w:id="87">
    <w:p w14:paraId="62A07AAF" w14:textId="6B3889C9" w:rsidR="009A1805" w:rsidRPr="009A1805" w:rsidRDefault="009A1805">
      <w:pPr>
        <w:pStyle w:val="Textpoznpodarou"/>
        <w:rPr>
          <w:lang w:val="cs-CZ"/>
        </w:rPr>
      </w:pPr>
      <w:r>
        <w:rPr>
          <w:rStyle w:val="Znakapoznpodarou"/>
        </w:rPr>
        <w:footnoteRef/>
      </w:r>
      <w:r>
        <w:t xml:space="preserve"> </w:t>
      </w:r>
      <w:r>
        <w:rPr>
          <w:lang w:val="cs-CZ"/>
        </w:rPr>
        <w:t xml:space="preserve">Art. 33(1)(b) </w:t>
      </w:r>
      <w:proofErr w:type="spellStart"/>
      <w:r>
        <w:rPr>
          <w:lang w:val="cs-CZ"/>
        </w:rPr>
        <w:t>Brussels</w:t>
      </w:r>
      <w:proofErr w:type="spellEnd"/>
      <w:r>
        <w:rPr>
          <w:lang w:val="cs-CZ"/>
        </w:rPr>
        <w:t xml:space="preserve"> Ibis </w:t>
      </w:r>
      <w:proofErr w:type="spellStart"/>
      <w:r>
        <w:rPr>
          <w:lang w:val="cs-CZ"/>
        </w:rPr>
        <w:t>Regulation</w:t>
      </w:r>
      <w:proofErr w:type="spellEnd"/>
      <w:r>
        <w:rPr>
          <w:lang w:val="cs-CZ"/>
        </w:rPr>
        <w:t>.</w:t>
      </w:r>
    </w:p>
  </w:footnote>
  <w:footnote w:id="88">
    <w:p w14:paraId="4554D4FD" w14:textId="76B82E7F" w:rsidR="00B2494A" w:rsidRPr="000C15B2" w:rsidRDefault="00B2494A">
      <w:pPr>
        <w:pStyle w:val="Textpoznpodarou"/>
      </w:pPr>
      <w:r w:rsidRPr="000C15B2">
        <w:rPr>
          <w:rStyle w:val="Znakapoznpodarou"/>
        </w:rPr>
        <w:footnoteRef/>
      </w:r>
      <w:r w:rsidRPr="000C15B2">
        <w:t xml:space="preserve"> Sec. 6(4)(a) and (b) of Chapter 16, European Union (Withdrawal) Act 2018 in line with 2020 Chapter 1, European Union (Withdrawal) Act 2020 (</w:t>
      </w:r>
      <w:r w:rsidR="00BA2F9B" w:rsidRPr="000C15B2">
        <w:t>“</w:t>
      </w:r>
      <w:r w:rsidRPr="000C15B2">
        <w:rPr>
          <w:i/>
          <w:iCs/>
        </w:rPr>
        <w:t>Withdrawal Act</w:t>
      </w:r>
      <w:r w:rsidR="00BA2F9B" w:rsidRPr="000C15B2">
        <w:t>”</w:t>
      </w:r>
      <w:r w:rsidRPr="000C15B2">
        <w:t>).</w:t>
      </w:r>
    </w:p>
  </w:footnote>
  <w:footnote w:id="89">
    <w:p w14:paraId="0A459E5C" w14:textId="0A81F700" w:rsidR="00B2494A" w:rsidRPr="000C15B2" w:rsidRDefault="00B2494A">
      <w:pPr>
        <w:pStyle w:val="Textpoznpodarou"/>
      </w:pPr>
      <w:r w:rsidRPr="000C15B2">
        <w:rPr>
          <w:rStyle w:val="Znakapoznpodarou"/>
        </w:rPr>
        <w:footnoteRef/>
      </w:r>
      <w:r w:rsidRPr="000C15B2">
        <w:t xml:space="preserve"> </w:t>
      </w:r>
      <w:r w:rsidRPr="000C15B2">
        <w:rPr>
          <w:i/>
          <w:iCs/>
        </w:rPr>
        <w:t>Withdrawal Act</w:t>
      </w:r>
      <w:r w:rsidRPr="000C15B2">
        <w:t>, sec. 6.</w:t>
      </w:r>
    </w:p>
  </w:footnote>
  <w:footnote w:id="90">
    <w:p w14:paraId="1483E976" w14:textId="27825AF7" w:rsidR="00B2494A" w:rsidRPr="000C15B2" w:rsidRDefault="00B2494A">
      <w:pPr>
        <w:pStyle w:val="Textpoznpodarou"/>
      </w:pPr>
      <w:r w:rsidRPr="000C15B2">
        <w:rPr>
          <w:rStyle w:val="Znakapoznpodarou"/>
        </w:rPr>
        <w:footnoteRef/>
      </w:r>
      <w:r w:rsidRPr="000C15B2">
        <w:t xml:space="preserve"> </w:t>
      </w:r>
      <w:r w:rsidR="00AA614C">
        <w:t>Ibid.,</w:t>
      </w:r>
      <w:r w:rsidRPr="000C15B2">
        <w:t xml:space="preserve"> sec. 6(5).</w:t>
      </w:r>
    </w:p>
  </w:footnote>
  <w:footnote w:id="91">
    <w:p w14:paraId="5C54C57F" w14:textId="431ED34A" w:rsidR="00AA6027" w:rsidRPr="000C15B2" w:rsidRDefault="00AA6027">
      <w:pPr>
        <w:pStyle w:val="Textpoznpodarou"/>
      </w:pPr>
      <w:r w:rsidRPr="000C15B2">
        <w:rPr>
          <w:rStyle w:val="Znakapoznpodarou"/>
        </w:rPr>
        <w:footnoteRef/>
      </w:r>
      <w:r w:rsidRPr="000C15B2">
        <w:t xml:space="preserve"> </w:t>
      </w:r>
      <w:r w:rsidRPr="000C15B2">
        <w:rPr>
          <w:i/>
          <w:iCs/>
        </w:rPr>
        <w:t>Re Harrods</w:t>
      </w:r>
      <w:r w:rsidRPr="000C15B2">
        <w:t>, p. 97</w:t>
      </w:r>
    </w:p>
  </w:footnote>
  <w:footnote w:id="92">
    <w:p w14:paraId="59928CAC" w14:textId="0377AF91" w:rsidR="00954D11" w:rsidRPr="000C15B2" w:rsidRDefault="00954D11">
      <w:pPr>
        <w:pStyle w:val="Textpoznpodarou"/>
      </w:pPr>
      <w:r w:rsidRPr="000C15B2">
        <w:rPr>
          <w:rStyle w:val="Znakapoznpodarou"/>
        </w:rPr>
        <w:footnoteRef/>
      </w:r>
      <w:r w:rsidRPr="000C15B2">
        <w:t xml:space="preserve"> </w:t>
      </w:r>
      <w:r w:rsidR="00E13B89" w:rsidRPr="000C15B2">
        <w:t xml:space="preserve">Subject to part </w:t>
      </w:r>
      <w:r w:rsidR="00E13B89" w:rsidRPr="000C15B2">
        <w:fldChar w:fldCharType="begin"/>
      </w:r>
      <w:r w:rsidR="00E13B89" w:rsidRPr="000C15B2">
        <w:instrText xml:space="preserve"> REF _Ref80109957 \r \h </w:instrText>
      </w:r>
      <w:r w:rsidR="00E13B89" w:rsidRPr="000C15B2">
        <w:fldChar w:fldCharType="separate"/>
      </w:r>
      <w:r w:rsidR="008516CA">
        <w:t>5.1</w:t>
      </w:r>
      <w:r w:rsidR="00E13B89" w:rsidRPr="000C15B2">
        <w:fldChar w:fldCharType="end"/>
      </w:r>
      <w:r w:rsidR="00E13B89" w:rsidRPr="000C15B2">
        <w:t xml:space="preserve"> below.</w:t>
      </w:r>
    </w:p>
  </w:footnote>
  <w:footnote w:id="93">
    <w:p w14:paraId="2FB3D537" w14:textId="41535785" w:rsidR="00A60753" w:rsidRPr="000C15B2" w:rsidRDefault="00A60753">
      <w:pPr>
        <w:pStyle w:val="Textpoznpodarou"/>
      </w:pPr>
      <w:r w:rsidRPr="000C15B2">
        <w:rPr>
          <w:rStyle w:val="Znakapoznpodarou"/>
        </w:rPr>
        <w:footnoteRef/>
      </w:r>
      <w:r w:rsidRPr="000C15B2">
        <w:t xml:space="preserve"> </w:t>
      </w:r>
      <w:r w:rsidRPr="000C15B2">
        <w:rPr>
          <w:szCs w:val="24"/>
        </w:rPr>
        <w:t>Convention on jurisdiction and the recognition and enforcement of judgments in civil and commercial matters.</w:t>
      </w:r>
    </w:p>
  </w:footnote>
  <w:footnote w:id="94">
    <w:p w14:paraId="4D0F9E8D" w14:textId="2882290D" w:rsidR="00192E04" w:rsidRPr="000C15B2" w:rsidRDefault="00192E04">
      <w:pPr>
        <w:pStyle w:val="Textpoznpodarou"/>
      </w:pPr>
      <w:r w:rsidRPr="000C15B2">
        <w:rPr>
          <w:rStyle w:val="Znakapoznpodarou"/>
        </w:rPr>
        <w:footnoteRef/>
      </w:r>
      <w:r w:rsidRPr="000C15B2">
        <w:t xml:space="preserve"> BRIGGS</w:t>
      </w:r>
      <w:r w:rsidR="00772F08">
        <w:t xml:space="preserve"> 2021, op. cit.</w:t>
      </w:r>
      <w:r w:rsidRPr="000C15B2">
        <w:t xml:space="preserve"> p</w:t>
      </w:r>
      <w:r w:rsidR="00772F08">
        <w:t>p</w:t>
      </w:r>
      <w:r w:rsidRPr="000C15B2">
        <w:t>. 559–560.</w:t>
      </w:r>
    </w:p>
  </w:footnote>
  <w:footnote w:id="95">
    <w:p w14:paraId="67BF82D1" w14:textId="2EB43D78" w:rsidR="00512A71" w:rsidRPr="000C15B2" w:rsidRDefault="00512A71">
      <w:pPr>
        <w:pStyle w:val="Textpoznpodarou"/>
      </w:pPr>
      <w:r w:rsidRPr="000C15B2">
        <w:rPr>
          <w:rStyle w:val="Znakapoznpodarou"/>
        </w:rPr>
        <w:footnoteRef/>
      </w:r>
      <w:r w:rsidRPr="000C15B2">
        <w:t xml:space="preserve"> </w:t>
      </w:r>
      <w:r w:rsidR="00A60753" w:rsidRPr="000C15B2">
        <w:t xml:space="preserve">UK deposited an application to accede to the Lugano Convention on 8 April 2020. See Notification to the Parties of the Convention on Jurisdiction and the Recognition and Enforcement of Judgments in Civil and Commercial Matters, concluded at Lugano on 30 October 2007. </w:t>
      </w:r>
      <w:r w:rsidR="00A60753" w:rsidRPr="000C15B2">
        <w:rPr>
          <w:i/>
        </w:rPr>
        <w:t xml:space="preserve">Federal Department of Foreign Affairs FDFA </w:t>
      </w:r>
      <w:r w:rsidR="00A60753" w:rsidRPr="000C15B2">
        <w:t>[online]. 14. 4. 2020 [accessed on 2020-05-24]. Available at: https://www.eda.admin.ch/dam/eda/fr/documents/aussenpolitik/voelkerrecht/autres-conventions/Lugano2/200414-LUG_en.pdf</w:t>
      </w:r>
    </w:p>
  </w:footnote>
  <w:footnote w:id="96">
    <w:p w14:paraId="7BF0B40D" w14:textId="010AB0CD" w:rsidR="00DC3EDB" w:rsidRPr="000C15B2" w:rsidRDefault="00DC3EDB">
      <w:pPr>
        <w:pStyle w:val="Textpoznpodarou"/>
      </w:pPr>
      <w:r w:rsidRPr="000C15B2">
        <w:rPr>
          <w:rStyle w:val="Znakapoznpodarou"/>
        </w:rPr>
        <w:footnoteRef/>
      </w:r>
      <w:r w:rsidRPr="000C15B2">
        <w:t xml:space="preserve"> Possibility of UK re-joining the EFTA then lays solely on the EFTA members in accordance with Art. 56 of the Convention of 4 January 1960 on establishing the European Free Trade Association, as amended.</w:t>
      </w:r>
    </w:p>
  </w:footnote>
  <w:footnote w:id="97">
    <w:p w14:paraId="2CBE86C9" w14:textId="3AFFE4B8" w:rsidR="00DC3EDB" w:rsidRPr="000C15B2" w:rsidRDefault="00DC3EDB">
      <w:pPr>
        <w:pStyle w:val="Textpoznpodarou"/>
      </w:pPr>
      <w:r w:rsidRPr="000C15B2">
        <w:rPr>
          <w:rStyle w:val="Znakapoznpodarou"/>
        </w:rPr>
        <w:footnoteRef/>
      </w:r>
      <w:r w:rsidRPr="000C15B2">
        <w:t xml:space="preserve"> “</w:t>
      </w:r>
      <w:r w:rsidRPr="000C15B2">
        <w:rPr>
          <w:i/>
          <w:iCs/>
        </w:rPr>
        <w:t>They might like to welcome the UK into their organization, although this British “swing-back” might not amuse the EU, whose sympathy could be more important to the EFTA States in the long term.</w:t>
      </w:r>
      <w:r w:rsidRPr="000C15B2">
        <w:t>” UNGERER, J</w:t>
      </w:r>
      <w:r w:rsidR="00B86922">
        <w:t>ohannes</w:t>
      </w:r>
      <w:r w:rsidRPr="000C15B2">
        <w:t>. Consequences of Brexit for European Private International Law. European Papers. 2019, Vol. 4, No. 1, p. 400.</w:t>
      </w:r>
    </w:p>
  </w:footnote>
  <w:footnote w:id="98">
    <w:p w14:paraId="7CE82D8B" w14:textId="6480A42A" w:rsidR="00DC3EDB" w:rsidRPr="000C15B2" w:rsidRDefault="00DC3EDB">
      <w:pPr>
        <w:pStyle w:val="Textpoznpodarou"/>
      </w:pPr>
      <w:r w:rsidRPr="000C15B2">
        <w:rPr>
          <w:rStyle w:val="Znakapoznpodarou"/>
        </w:rPr>
        <w:footnoteRef/>
      </w:r>
      <w:r w:rsidRPr="000C15B2">
        <w:t xml:space="preserve"> Brussels Convention, Council Regulation (EC) No 44/2001 on jurisdiction and the recognition and enforcement of judgments in civil and commercial matters, Regulation (EU) No 1215/2012 of the European Parliament and of the Council of 12 December 2012 on jurisdiction and the recognition and enforcement of judgments in civil and commercial matters</w:t>
      </w:r>
    </w:p>
  </w:footnote>
  <w:footnote w:id="99">
    <w:p w14:paraId="51BFA7D8" w14:textId="4BC7D384" w:rsidR="00932539" w:rsidRPr="000C15B2" w:rsidRDefault="00932539">
      <w:pPr>
        <w:pStyle w:val="Textpoznpodarou"/>
      </w:pPr>
      <w:r w:rsidRPr="000C15B2">
        <w:rPr>
          <w:rStyle w:val="Znakapoznpodarou"/>
        </w:rPr>
        <w:footnoteRef/>
      </w:r>
      <w:r w:rsidRPr="000C15B2">
        <w:t xml:space="preserve"> RAPHAEL, T</w:t>
      </w:r>
      <w:r w:rsidR="002D133E" w:rsidRPr="000C15B2">
        <w:t>homas</w:t>
      </w:r>
      <w:r w:rsidRPr="000C15B2">
        <w:t xml:space="preserve">. </w:t>
      </w:r>
      <w:r w:rsidRPr="000C15B2">
        <w:rPr>
          <w:i/>
          <w:iCs/>
        </w:rPr>
        <w:t>The Anti-Suit Injunction</w:t>
      </w:r>
      <w:r w:rsidRPr="000C15B2">
        <w:t>. Oxford: Oxford University Press, 2008, p. 272.</w:t>
      </w:r>
      <w:r w:rsidR="001A5340">
        <w:t xml:space="preserve"> ISBN </w:t>
      </w:r>
      <w:r w:rsidR="001A5340" w:rsidRPr="001A5340">
        <w:rPr>
          <w:lang w:val="cs-CZ"/>
        </w:rPr>
        <w:t>978-0-19-928732-1</w:t>
      </w:r>
      <w:r w:rsidR="001A5340">
        <w:rPr>
          <w:lang w:val="cs-CZ"/>
        </w:rPr>
        <w:t>.</w:t>
      </w:r>
    </w:p>
  </w:footnote>
  <w:footnote w:id="100">
    <w:p w14:paraId="1A88E387" w14:textId="5D60F248" w:rsidR="002D133E" w:rsidRPr="000C15B2" w:rsidRDefault="002D133E">
      <w:pPr>
        <w:pStyle w:val="Textpoznpodarou"/>
      </w:pPr>
      <w:r w:rsidRPr="000C15B2">
        <w:rPr>
          <w:rStyle w:val="Znakapoznpodarou"/>
        </w:rPr>
        <w:footnoteRef/>
      </w:r>
      <w:r w:rsidRPr="000C15B2">
        <w:t xml:space="preserve"> Convention on jurisdiction and the recognition and enforcement of judgments in civil and commercial matters, signed in Lugano on 30 October 2007 — Explanatory report by Professor Fausto Pocar (Holder of the Chair of International Law at the University of Milan) (</w:t>
      </w:r>
      <w:r w:rsidR="00C907BC" w:rsidRPr="000C15B2">
        <w:t>“</w:t>
      </w:r>
      <w:r w:rsidRPr="000C15B2">
        <w:rPr>
          <w:i/>
          <w:iCs/>
        </w:rPr>
        <w:t>Pocar Report</w:t>
      </w:r>
      <w:r w:rsidR="00C907BC" w:rsidRPr="000C15B2">
        <w:t>”</w:t>
      </w:r>
      <w:r w:rsidRPr="000C15B2">
        <w:t xml:space="preserve">), OJ C 319, para. 197, 198.; JOSEPH, David. </w:t>
      </w:r>
      <w:r w:rsidRPr="000C15B2">
        <w:rPr>
          <w:i/>
          <w:iCs/>
        </w:rPr>
        <w:t>Jurisdiction and Arbitration agreements and their enforcement.</w:t>
      </w:r>
      <w:r w:rsidRPr="000C15B2">
        <w:t xml:space="preserve"> London: Sweet</w:t>
      </w:r>
      <w:r w:rsidR="009275CB" w:rsidRPr="000C15B2">
        <w:t xml:space="preserve"> </w:t>
      </w:r>
      <w:r w:rsidRPr="000C15B2">
        <w:t>&amp;</w:t>
      </w:r>
      <w:r w:rsidR="009275CB" w:rsidRPr="000C15B2">
        <w:t xml:space="preserve"> </w:t>
      </w:r>
      <w:r w:rsidRPr="000C15B2">
        <w:t>Maxwell, 2010, p.369.</w:t>
      </w:r>
      <w:r w:rsidR="001A5340">
        <w:t xml:space="preserve"> ISBN </w:t>
      </w:r>
      <w:r w:rsidR="001A5340" w:rsidRPr="001A5340">
        <w:t>978-1-84703-897-5</w:t>
      </w:r>
      <w:r w:rsidR="001A5340">
        <w:t>.</w:t>
      </w:r>
    </w:p>
  </w:footnote>
  <w:footnote w:id="101">
    <w:p w14:paraId="7C6279F0" w14:textId="567E5F89" w:rsidR="009275CB" w:rsidRPr="000C15B2" w:rsidRDefault="009275CB">
      <w:pPr>
        <w:pStyle w:val="Textpoznpodarou"/>
      </w:pPr>
      <w:r w:rsidRPr="000C15B2">
        <w:rPr>
          <w:rStyle w:val="Znakapoznpodarou"/>
        </w:rPr>
        <w:footnoteRef/>
      </w:r>
      <w:r w:rsidRPr="000C15B2">
        <w:t xml:space="preserve"> Convention of 16 September 1988 on jurisdiction and the enforcement of judgments in civil and commercial matters</w:t>
      </w:r>
      <w:r w:rsidR="001A5340">
        <w:t>.</w:t>
      </w:r>
    </w:p>
  </w:footnote>
  <w:footnote w:id="102">
    <w:p w14:paraId="3CAF0EFF" w14:textId="25113A0B" w:rsidR="00C907BC" w:rsidRPr="000C15B2" w:rsidRDefault="00C907BC">
      <w:pPr>
        <w:pStyle w:val="Textpoznpodarou"/>
      </w:pPr>
      <w:r w:rsidRPr="000C15B2">
        <w:rPr>
          <w:rStyle w:val="Znakapoznpodarou"/>
        </w:rPr>
        <w:footnoteRef/>
      </w:r>
      <w:r w:rsidRPr="000C15B2">
        <w:t xml:space="preserve"> </w:t>
      </w:r>
      <w:r w:rsidRPr="000C15B2">
        <w:rPr>
          <w:i/>
          <w:iCs/>
        </w:rPr>
        <w:t>Pocar Report</w:t>
      </w:r>
      <w:r w:rsidRPr="000C15B2">
        <w:t>, para. 197, 198.</w:t>
      </w:r>
    </w:p>
  </w:footnote>
  <w:footnote w:id="103">
    <w:p w14:paraId="6F93C3CE" w14:textId="4923F398" w:rsidR="00C907BC" w:rsidRPr="000C15B2" w:rsidRDefault="00C907BC">
      <w:pPr>
        <w:pStyle w:val="Textpoznpodarou"/>
      </w:pPr>
      <w:r w:rsidRPr="000C15B2">
        <w:rPr>
          <w:rStyle w:val="Znakapoznpodarou"/>
        </w:rPr>
        <w:footnoteRef/>
      </w:r>
      <w:r w:rsidRPr="000C15B2">
        <w:t xml:space="preserve"> Art. 1 (1) and (2) Lugano Convention; </w:t>
      </w:r>
      <w:r w:rsidRPr="000C15B2">
        <w:rPr>
          <w:i/>
          <w:iCs/>
        </w:rPr>
        <w:t>Pocar Report</w:t>
      </w:r>
      <w:r w:rsidRPr="000C15B2">
        <w:t>, para. 14.</w:t>
      </w:r>
    </w:p>
  </w:footnote>
  <w:footnote w:id="104">
    <w:p w14:paraId="2853292C" w14:textId="03FC8D65" w:rsidR="00D70621" w:rsidRPr="000C15B2" w:rsidRDefault="00D70621">
      <w:pPr>
        <w:pStyle w:val="Textpoznpodarou"/>
      </w:pPr>
      <w:r w:rsidRPr="000C15B2">
        <w:rPr>
          <w:rStyle w:val="Znakapoznpodarou"/>
        </w:rPr>
        <w:footnoteRef/>
      </w:r>
      <w:r w:rsidRPr="000C15B2">
        <w:t xml:space="preserve"> Protocol 2, art. 1 Lugano Convention.</w:t>
      </w:r>
    </w:p>
  </w:footnote>
  <w:footnote w:id="105">
    <w:p w14:paraId="0F01F044" w14:textId="073E6413" w:rsidR="00D70621" w:rsidRPr="000C15B2" w:rsidRDefault="00D70621">
      <w:pPr>
        <w:pStyle w:val="Textpoznpodarou"/>
      </w:pPr>
      <w:r w:rsidRPr="000C15B2">
        <w:rPr>
          <w:rStyle w:val="Znakapoznpodarou"/>
        </w:rPr>
        <w:footnoteRef/>
      </w:r>
      <w:r w:rsidRPr="000C15B2">
        <w:t xml:space="preserve"> Preamble and Protocol 2 of the Lugano Convention.</w:t>
      </w:r>
    </w:p>
  </w:footnote>
  <w:footnote w:id="106">
    <w:p w14:paraId="6A884DBF" w14:textId="44414A77" w:rsidR="00D70621" w:rsidRPr="000C15B2" w:rsidRDefault="00D70621">
      <w:pPr>
        <w:pStyle w:val="Textpoznpodarou"/>
      </w:pPr>
      <w:r w:rsidRPr="000C15B2">
        <w:rPr>
          <w:rStyle w:val="Znakapoznpodarou"/>
        </w:rPr>
        <w:footnoteRef/>
      </w:r>
      <w:r w:rsidRPr="000C15B2">
        <w:t xml:space="preserve"> </w:t>
      </w:r>
      <w:r w:rsidR="0055354A" w:rsidRPr="000C15B2">
        <w:rPr>
          <w:i/>
          <w:iCs/>
        </w:rPr>
        <w:t>Pocar Report</w:t>
      </w:r>
      <w:r w:rsidR="0055354A" w:rsidRPr="000C15B2">
        <w:t>, para. 77.</w:t>
      </w:r>
    </w:p>
  </w:footnote>
  <w:footnote w:id="107">
    <w:p w14:paraId="6C81EDB9" w14:textId="07EF8734" w:rsidR="00564205" w:rsidRPr="000C15B2" w:rsidRDefault="00564205">
      <w:pPr>
        <w:pStyle w:val="Textpoznpodarou"/>
      </w:pPr>
      <w:r w:rsidRPr="000C15B2">
        <w:rPr>
          <w:rStyle w:val="Znakapoznpodarou"/>
        </w:rPr>
        <w:footnoteRef/>
      </w:r>
      <w:r w:rsidRPr="000C15B2">
        <w:t xml:space="preserve"> </w:t>
      </w:r>
      <w:r w:rsidR="00AA614C">
        <w:t>Ibid.,</w:t>
      </w:r>
      <w:r w:rsidR="00D63C84" w:rsidRPr="000C15B2">
        <w:t xml:space="preserve"> para. 196, 197.</w:t>
      </w:r>
    </w:p>
  </w:footnote>
  <w:footnote w:id="108">
    <w:p w14:paraId="6179A832" w14:textId="4CD3867E" w:rsidR="00D63C84" w:rsidRPr="000C15B2" w:rsidRDefault="00D63C84">
      <w:pPr>
        <w:pStyle w:val="Textpoznpodarou"/>
      </w:pPr>
      <w:r w:rsidRPr="000C15B2">
        <w:rPr>
          <w:rStyle w:val="Znakapoznpodarou"/>
        </w:rPr>
        <w:footnoteRef/>
      </w:r>
      <w:r w:rsidRPr="000C15B2">
        <w:t xml:space="preserve"> </w:t>
      </w:r>
      <w:r w:rsidR="00AA614C">
        <w:t>Ibid</w:t>
      </w:r>
      <w:r w:rsidRPr="000C15B2">
        <w:t>.</w:t>
      </w:r>
      <w:r w:rsidR="00AA614C">
        <w:t>, para.</w:t>
      </w:r>
      <w:r w:rsidRPr="000C15B2">
        <w:t xml:space="preserve"> 198.</w:t>
      </w:r>
    </w:p>
  </w:footnote>
  <w:footnote w:id="109">
    <w:p w14:paraId="608EF2C6" w14:textId="03EAA274" w:rsidR="00B35B9D" w:rsidRPr="000C15B2" w:rsidRDefault="00B35B9D">
      <w:pPr>
        <w:pStyle w:val="Textpoznpodarou"/>
      </w:pPr>
      <w:r w:rsidRPr="000C15B2">
        <w:rPr>
          <w:rStyle w:val="Znakapoznpodarou"/>
        </w:rPr>
        <w:footnoteRef/>
      </w:r>
      <w:r w:rsidRPr="000C15B2">
        <w:t xml:space="preserve"> BRIGGS</w:t>
      </w:r>
      <w:r w:rsidR="008C780C">
        <w:t xml:space="preserve"> 2021, op. cit., pp</w:t>
      </w:r>
      <w:r w:rsidRPr="000C15B2">
        <w:t>. 379</w:t>
      </w:r>
      <w:r w:rsidR="008C780C">
        <w:t>.</w:t>
      </w:r>
    </w:p>
  </w:footnote>
  <w:footnote w:id="110">
    <w:p w14:paraId="2079EC20" w14:textId="6B1AFAC4" w:rsidR="00D14569" w:rsidRPr="000C15B2" w:rsidRDefault="00D14569">
      <w:pPr>
        <w:pStyle w:val="Textpoznpodarou"/>
      </w:pPr>
      <w:r w:rsidRPr="000C15B2">
        <w:rPr>
          <w:rStyle w:val="Znakapoznpodarou"/>
        </w:rPr>
        <w:footnoteRef/>
      </w:r>
      <w:r w:rsidRPr="000C15B2">
        <w:t xml:space="preserve"> COMMUNICATION FROM THE COMMISSION TO THE EUROPEAN PARLIAMENT AND THE COUNCIL EMPTY, Assessment on the application of the United Kingdom of Great Britain and Northern Ireland to accede to the 2007 Lugano Convention, COM(2021) 222 final (“</w:t>
      </w:r>
      <w:r w:rsidRPr="000C15B2">
        <w:rPr>
          <w:i/>
          <w:iCs/>
        </w:rPr>
        <w:t>Communication</w:t>
      </w:r>
      <w:r w:rsidRPr="000C15B2">
        <w:t>”).</w:t>
      </w:r>
    </w:p>
  </w:footnote>
  <w:footnote w:id="111">
    <w:p w14:paraId="5B78C749" w14:textId="6DE4CA02" w:rsidR="00D14569" w:rsidRPr="000C15B2" w:rsidRDefault="00D14569">
      <w:pPr>
        <w:pStyle w:val="Textpoznpodarou"/>
      </w:pPr>
      <w:r w:rsidRPr="000C15B2">
        <w:rPr>
          <w:rStyle w:val="Znakapoznpodarou"/>
        </w:rPr>
        <w:footnoteRef/>
      </w:r>
      <w:r w:rsidRPr="000C15B2">
        <w:t xml:space="preserve"> </w:t>
      </w:r>
      <w:r w:rsidRPr="000C15B2">
        <w:rPr>
          <w:i/>
          <w:iCs/>
        </w:rPr>
        <w:t>Communication</w:t>
      </w:r>
      <w:r w:rsidRPr="000C15B2">
        <w:t>, p. 2.</w:t>
      </w:r>
    </w:p>
  </w:footnote>
  <w:footnote w:id="112">
    <w:p w14:paraId="061FAF48" w14:textId="0BA56D9B" w:rsidR="00D14569" w:rsidRPr="000C15B2" w:rsidRDefault="00D14569">
      <w:pPr>
        <w:pStyle w:val="Textpoznpodarou"/>
      </w:pPr>
      <w:r w:rsidRPr="000C15B2">
        <w:rPr>
          <w:rStyle w:val="Znakapoznpodarou"/>
        </w:rPr>
        <w:footnoteRef/>
      </w:r>
      <w:r w:rsidRPr="000C15B2">
        <w:t xml:space="preserve"> </w:t>
      </w:r>
      <w:r w:rsidR="00AA614C">
        <w:t>Ibid.</w:t>
      </w:r>
    </w:p>
  </w:footnote>
  <w:footnote w:id="113">
    <w:p w14:paraId="3D697D1E" w14:textId="43CFF10D" w:rsidR="00D14569" w:rsidRPr="00AA614C" w:rsidRDefault="00D14569">
      <w:pPr>
        <w:pStyle w:val="Textpoznpodarou"/>
      </w:pPr>
      <w:r w:rsidRPr="000C15B2">
        <w:rPr>
          <w:rStyle w:val="Znakapoznpodarou"/>
        </w:rPr>
        <w:footnoteRef/>
      </w:r>
      <w:r w:rsidRPr="000C15B2">
        <w:t xml:space="preserve"> </w:t>
      </w:r>
      <w:r w:rsidR="00AA614C">
        <w:t>Ibid.</w:t>
      </w:r>
    </w:p>
  </w:footnote>
  <w:footnote w:id="114">
    <w:p w14:paraId="1E569B31" w14:textId="7C3A8E75" w:rsidR="00F0498D" w:rsidRPr="000C15B2" w:rsidRDefault="00F0498D">
      <w:pPr>
        <w:pStyle w:val="Textpoznpodarou"/>
      </w:pPr>
      <w:r w:rsidRPr="000C15B2">
        <w:rPr>
          <w:rStyle w:val="Znakapoznpodarou"/>
        </w:rPr>
        <w:footnoteRef/>
      </w:r>
      <w:r w:rsidRPr="000C15B2">
        <w:t xml:space="preserve"> </w:t>
      </w:r>
      <w:r w:rsidR="00AA614C">
        <w:t>Ibi</w:t>
      </w:r>
      <w:r w:rsidR="001157FB">
        <w:t>d</w:t>
      </w:r>
      <w:r w:rsidR="00AA614C">
        <w:t>.,</w:t>
      </w:r>
      <w:r w:rsidRPr="000C15B2">
        <w:t xml:space="preserve"> p. 3.</w:t>
      </w:r>
    </w:p>
  </w:footnote>
  <w:footnote w:id="115">
    <w:p w14:paraId="0603748E" w14:textId="681DCDD4" w:rsidR="00F0498D" w:rsidRPr="000C15B2" w:rsidRDefault="00F0498D">
      <w:pPr>
        <w:pStyle w:val="Textpoznpodarou"/>
      </w:pPr>
      <w:r w:rsidRPr="000C15B2">
        <w:rPr>
          <w:rStyle w:val="Znakapoznpodarou"/>
        </w:rPr>
        <w:footnoteRef/>
      </w:r>
      <w:r w:rsidRPr="000C15B2">
        <w:t xml:space="preserve"> </w:t>
      </w:r>
      <w:r w:rsidR="00AA614C">
        <w:t>Ibid.</w:t>
      </w:r>
    </w:p>
  </w:footnote>
  <w:footnote w:id="116">
    <w:p w14:paraId="682A6859" w14:textId="552B45AA" w:rsidR="00721806" w:rsidRPr="000C15B2" w:rsidRDefault="00721806" w:rsidP="00721806">
      <w:pPr>
        <w:pStyle w:val="Textpoznpodarou"/>
      </w:pPr>
      <w:r w:rsidRPr="000C15B2">
        <w:rPr>
          <w:rStyle w:val="Znakapoznpodarou"/>
        </w:rPr>
        <w:footnoteRef/>
      </w:r>
      <w:r w:rsidRPr="000C15B2">
        <w:t xml:space="preserve"> Much the same as The Convention on the Recognition and Enforcement of Foreign Arbitral Awards requires explicit consent to arbitration.</w:t>
      </w:r>
      <w:r w:rsidR="003F503D" w:rsidRPr="000C15B2">
        <w:t xml:space="preserve">; On further analysis of exclusivity see ZABLOUDILOVÁ, </w:t>
      </w:r>
      <w:proofErr w:type="spellStart"/>
      <w:r w:rsidR="003F503D" w:rsidRPr="000C15B2">
        <w:t>Kateřina</w:t>
      </w:r>
      <w:proofErr w:type="spellEnd"/>
      <w:r w:rsidR="003F503D" w:rsidRPr="000C15B2">
        <w:t xml:space="preserve">. Choice of Court Agreements after Brexit. In ROZEHNALOVÁ, </w:t>
      </w:r>
      <w:proofErr w:type="spellStart"/>
      <w:r w:rsidR="003F503D" w:rsidRPr="000C15B2">
        <w:t>Naděžda</w:t>
      </w:r>
      <w:proofErr w:type="spellEnd"/>
      <w:r w:rsidR="003F503D" w:rsidRPr="000C15B2">
        <w:t xml:space="preserve">. </w:t>
      </w:r>
      <w:r w:rsidR="003F503D" w:rsidRPr="000C15B2">
        <w:rPr>
          <w:i/>
          <w:iCs/>
        </w:rPr>
        <w:t xml:space="preserve">Universal, Regional, National – Ways of the Development of Private International Law in 21st Century. </w:t>
      </w:r>
      <w:r w:rsidR="003F503D" w:rsidRPr="000C15B2">
        <w:t>Brno: Masaryk University, 2020, pp. 287–288. ISBN 978-80-210-9496-3.</w:t>
      </w:r>
    </w:p>
  </w:footnote>
  <w:footnote w:id="117">
    <w:p w14:paraId="0C510AEF" w14:textId="106790D5" w:rsidR="00894E85" w:rsidRPr="000C15B2" w:rsidRDefault="00894E85">
      <w:pPr>
        <w:pStyle w:val="Textpoznpodarou"/>
      </w:pPr>
      <w:r w:rsidRPr="000C15B2">
        <w:rPr>
          <w:rStyle w:val="Znakapoznpodarou"/>
        </w:rPr>
        <w:footnoteRef/>
      </w:r>
      <w:r w:rsidRPr="000C15B2">
        <w:t xml:space="preserve"> For asymmetric choice of court clauses see further MALACHTA, Radovan. </w:t>
      </w:r>
      <w:proofErr w:type="spellStart"/>
      <w:r w:rsidRPr="000C15B2">
        <w:t>Prorogace</w:t>
      </w:r>
      <w:proofErr w:type="spellEnd"/>
      <w:r w:rsidRPr="000C15B2">
        <w:t xml:space="preserve"> </w:t>
      </w:r>
      <w:proofErr w:type="spellStart"/>
      <w:r w:rsidRPr="000C15B2">
        <w:t>soudu</w:t>
      </w:r>
      <w:proofErr w:type="spellEnd"/>
      <w:r w:rsidRPr="000C15B2">
        <w:t xml:space="preserve"> a </w:t>
      </w:r>
      <w:proofErr w:type="spellStart"/>
      <w:r w:rsidRPr="000C15B2">
        <w:t>asymetrické</w:t>
      </w:r>
      <w:proofErr w:type="spellEnd"/>
      <w:r w:rsidRPr="000C15B2">
        <w:t xml:space="preserve"> </w:t>
      </w:r>
      <w:proofErr w:type="spellStart"/>
      <w:r w:rsidRPr="000C15B2">
        <w:t>doložky</w:t>
      </w:r>
      <w:proofErr w:type="spellEnd"/>
      <w:r w:rsidRPr="000C15B2">
        <w:t xml:space="preserve"> v 21. </w:t>
      </w:r>
      <w:proofErr w:type="spellStart"/>
      <w:r w:rsidRPr="000C15B2">
        <w:t>století</w:t>
      </w:r>
      <w:proofErr w:type="spellEnd"/>
      <w:r w:rsidRPr="000C15B2">
        <w:t xml:space="preserve">. In KORONCZIOVÁ, Andrea and Tibor HLINKA. </w:t>
      </w:r>
      <w:proofErr w:type="spellStart"/>
      <w:r w:rsidRPr="000C15B2">
        <w:rPr>
          <w:i/>
          <w:iCs/>
        </w:rPr>
        <w:t>Míľniky</w:t>
      </w:r>
      <w:proofErr w:type="spellEnd"/>
      <w:r w:rsidRPr="000C15B2">
        <w:rPr>
          <w:i/>
          <w:iCs/>
        </w:rPr>
        <w:t xml:space="preserve"> </w:t>
      </w:r>
      <w:proofErr w:type="spellStart"/>
      <w:r w:rsidRPr="000C15B2">
        <w:rPr>
          <w:i/>
          <w:iCs/>
        </w:rPr>
        <w:t>práva</w:t>
      </w:r>
      <w:proofErr w:type="spellEnd"/>
      <w:r w:rsidRPr="000C15B2">
        <w:rPr>
          <w:i/>
          <w:iCs/>
        </w:rPr>
        <w:t xml:space="preserve"> v </w:t>
      </w:r>
      <w:proofErr w:type="spellStart"/>
      <w:r w:rsidRPr="000C15B2">
        <w:rPr>
          <w:i/>
          <w:iCs/>
        </w:rPr>
        <w:t>stredoeurópskom</w:t>
      </w:r>
      <w:proofErr w:type="spellEnd"/>
      <w:r w:rsidRPr="000C15B2">
        <w:rPr>
          <w:i/>
          <w:iCs/>
        </w:rPr>
        <w:t xml:space="preserve"> </w:t>
      </w:r>
      <w:proofErr w:type="spellStart"/>
      <w:r w:rsidRPr="000C15B2">
        <w:rPr>
          <w:i/>
          <w:iCs/>
        </w:rPr>
        <w:t>priestore</w:t>
      </w:r>
      <w:proofErr w:type="spellEnd"/>
      <w:r w:rsidRPr="000C15B2">
        <w:rPr>
          <w:i/>
          <w:iCs/>
        </w:rPr>
        <w:t xml:space="preserve"> 2019</w:t>
      </w:r>
      <w:r w:rsidRPr="000C15B2">
        <w:t xml:space="preserve">. Bratislava: </w:t>
      </w:r>
      <w:proofErr w:type="spellStart"/>
      <w:r w:rsidRPr="000C15B2">
        <w:t>Univerzita</w:t>
      </w:r>
      <w:proofErr w:type="spellEnd"/>
      <w:r w:rsidRPr="000C15B2">
        <w:t xml:space="preserve"> </w:t>
      </w:r>
      <w:proofErr w:type="spellStart"/>
      <w:r w:rsidRPr="000C15B2">
        <w:t>Komenského</w:t>
      </w:r>
      <w:proofErr w:type="spellEnd"/>
      <w:r w:rsidRPr="000C15B2">
        <w:t xml:space="preserve"> v </w:t>
      </w:r>
      <w:proofErr w:type="spellStart"/>
      <w:r w:rsidRPr="000C15B2">
        <w:t>Bratislave</w:t>
      </w:r>
      <w:proofErr w:type="spellEnd"/>
      <w:r w:rsidRPr="000C15B2">
        <w:t>, 2019, pp. </w:t>
      </w:r>
      <w:r w:rsidR="003A4055">
        <w:t>69–78</w:t>
      </w:r>
      <w:r w:rsidRPr="000C15B2">
        <w:t>. ISBN 978-80-7160-517-1.</w:t>
      </w:r>
    </w:p>
  </w:footnote>
  <w:footnote w:id="118">
    <w:p w14:paraId="072C3D43" w14:textId="6296CFAF" w:rsidR="00721806" w:rsidRPr="000C15B2" w:rsidRDefault="00721806">
      <w:pPr>
        <w:pStyle w:val="Textpoznpodarou"/>
      </w:pPr>
      <w:r w:rsidRPr="000C15B2">
        <w:rPr>
          <w:rStyle w:val="Znakapoznpodarou"/>
        </w:rPr>
        <w:footnoteRef/>
      </w:r>
      <w:r w:rsidRPr="000C15B2">
        <w:t xml:space="preserve"> See exceptions to the general rule on exclusivity at art. 22 Hague Convention 2005.</w:t>
      </w:r>
    </w:p>
  </w:footnote>
  <w:footnote w:id="119">
    <w:p w14:paraId="4858545C" w14:textId="37422451" w:rsidR="004A50DE" w:rsidRPr="000C15B2" w:rsidRDefault="004A50DE">
      <w:pPr>
        <w:pStyle w:val="Textpoznpodarou"/>
      </w:pPr>
      <w:r w:rsidRPr="000C15B2">
        <w:rPr>
          <w:rStyle w:val="Znakapoznpodarou"/>
        </w:rPr>
        <w:footnoteRef/>
      </w:r>
      <w:r w:rsidRPr="000C15B2">
        <w:t xml:space="preserve"> Convention of 30 June 2005 on Choice of Court Agreements.</w:t>
      </w:r>
    </w:p>
  </w:footnote>
  <w:footnote w:id="120">
    <w:p w14:paraId="40148433" w14:textId="56355BEE" w:rsidR="00877E6E" w:rsidRPr="000C15B2" w:rsidRDefault="00877E6E" w:rsidP="00877E6E">
      <w:pPr>
        <w:pStyle w:val="Textpoznpodarou"/>
      </w:pPr>
      <w:r w:rsidRPr="000C15B2">
        <w:rPr>
          <w:rStyle w:val="Znakapoznpodarou"/>
        </w:rPr>
        <w:footnoteRef/>
      </w:r>
      <w:r w:rsidRPr="000C15B2">
        <w:t xml:space="preserve"> Art.31 (2) of the Hague Convention 2005.</w:t>
      </w:r>
      <w:r w:rsidR="00196D8D" w:rsidRPr="000C15B2">
        <w:t xml:space="preserve">; </w:t>
      </w:r>
      <w:r w:rsidR="00196D8D" w:rsidRPr="000C15B2">
        <w:rPr>
          <w:i/>
          <w:iCs/>
        </w:rPr>
        <w:t>Communication</w:t>
      </w:r>
      <w:r w:rsidR="00196D8D" w:rsidRPr="000C15B2">
        <w:t>, p. 3.;</w:t>
      </w:r>
      <w:r w:rsidRPr="000C15B2">
        <w:t xml:space="preserve"> For the gap between accession and entering into effect see LEIN, Eva. Unchartered territory? A few thoughts on private international law post Brexit. In: A. </w:t>
      </w:r>
      <w:proofErr w:type="spellStart"/>
      <w:r w:rsidRPr="000C15B2">
        <w:t>Bonimi</w:t>
      </w:r>
      <w:proofErr w:type="spellEnd"/>
      <w:r w:rsidRPr="000C15B2">
        <w:t xml:space="preserve"> – G. P. Romano (eds.). </w:t>
      </w:r>
      <w:r w:rsidRPr="000C15B2">
        <w:rPr>
          <w:i/>
          <w:iCs/>
        </w:rPr>
        <w:t>Yearbook of Private International Law</w:t>
      </w:r>
      <w:r w:rsidRPr="000C15B2">
        <w:t xml:space="preserve">, Volume 17 (2015/2016). Lausanne: Swiss Institute of Comparative Law, 2017, p. 35 </w:t>
      </w:r>
      <w:r w:rsidRPr="000C15B2">
        <w:rPr>
          <w:i/>
          <w:iCs/>
        </w:rPr>
        <w:t>et seq.</w:t>
      </w:r>
    </w:p>
  </w:footnote>
  <w:footnote w:id="121">
    <w:p w14:paraId="1AD56DF1" w14:textId="3FD02CF2" w:rsidR="00720AC3" w:rsidRPr="000C15B2" w:rsidRDefault="00720AC3">
      <w:pPr>
        <w:pStyle w:val="Textpoznpodarou"/>
      </w:pPr>
      <w:r w:rsidRPr="000C15B2">
        <w:rPr>
          <w:rStyle w:val="Znakapoznpodarou"/>
        </w:rPr>
        <w:footnoteRef/>
      </w:r>
      <w:r w:rsidRPr="000C15B2">
        <w:t xml:space="preserve"> FITZGERALD, McCann. UK Application to Join Lugano Convention following Brexit: An Update. </w:t>
      </w:r>
      <w:proofErr w:type="spellStart"/>
      <w:r w:rsidRPr="000C15B2">
        <w:rPr>
          <w:i/>
          <w:iCs/>
        </w:rPr>
        <w:t>Lexology</w:t>
      </w:r>
      <w:proofErr w:type="spellEnd"/>
      <w:r w:rsidRPr="000C15B2">
        <w:t xml:space="preserve"> [online]. 2021 [cit. 19. 8. 2021]. Available at: https://www.lexology.com/library/detail.aspx?g=82d63f4b-f470-4c7a-acf4-9bec870a8140</w:t>
      </w:r>
    </w:p>
  </w:footnote>
  <w:footnote w:id="122">
    <w:p w14:paraId="50EC5882" w14:textId="6D65C63A" w:rsidR="00720AC3" w:rsidRPr="000C15B2" w:rsidRDefault="00720AC3">
      <w:pPr>
        <w:pStyle w:val="Textpoznpodarou"/>
      </w:pPr>
      <w:r w:rsidRPr="000C15B2">
        <w:rPr>
          <w:rStyle w:val="Znakapoznpodarou"/>
        </w:rPr>
        <w:footnoteRef/>
      </w:r>
      <w:r w:rsidRPr="000C15B2">
        <w:t xml:space="preserve"> “</w:t>
      </w:r>
      <w:r w:rsidRPr="000C15B2">
        <w:rPr>
          <w:i/>
          <w:iCs/>
        </w:rPr>
        <w:t>Whilst acknowledging that the Instrument of Accession takes effect at 00:00 CET on 1 January 2021, the United Kingdom considers that the 2005 Hague Convention entered into force for the United Kingdom on 1 October 2015 and that the United Kingdom is a Contracting State without interruption from that date.</w:t>
      </w:r>
      <w:r w:rsidR="00721806" w:rsidRPr="000C15B2">
        <w:t>”</w:t>
      </w:r>
      <w:r w:rsidRPr="000C15B2">
        <w:t xml:space="preserve"> </w:t>
      </w:r>
      <w:r w:rsidR="00592B8C" w:rsidRPr="000C15B2">
        <w:t xml:space="preserve">Declarations, Reservations, Depositary communications. </w:t>
      </w:r>
      <w:r w:rsidR="00592B8C" w:rsidRPr="000C15B2">
        <w:rPr>
          <w:i/>
          <w:iCs/>
        </w:rPr>
        <w:t xml:space="preserve">HCCH </w:t>
      </w:r>
      <w:r w:rsidR="00592B8C" w:rsidRPr="000C15B2">
        <w:t>[online]- 2020, [cit. 10. 8. 2021]. Available at: https://www.hcch.net/en/instruments/conventions/status-table/notifications/?csid=1318&amp;disp=resdn</w:t>
      </w:r>
    </w:p>
  </w:footnote>
  <w:footnote w:id="123">
    <w:p w14:paraId="2CCF5B36" w14:textId="54447153" w:rsidR="00D21559" w:rsidRPr="000C15B2" w:rsidRDefault="00D21559">
      <w:pPr>
        <w:pStyle w:val="Textpoznpodarou"/>
      </w:pPr>
      <w:r w:rsidRPr="000C15B2">
        <w:rPr>
          <w:rStyle w:val="Znakapoznpodarou"/>
        </w:rPr>
        <w:footnoteRef/>
      </w:r>
      <w:r w:rsidRPr="000C15B2">
        <w:t xml:space="preserve"> With an exception to internal allocation of judicial power. Art. 5 (</w:t>
      </w:r>
      <w:r w:rsidR="00721806" w:rsidRPr="000C15B2">
        <w:t>3) (b) Hague Convention 2005.</w:t>
      </w:r>
    </w:p>
  </w:footnote>
  <w:footnote w:id="124">
    <w:p w14:paraId="0B9E48DF" w14:textId="7B8E65FE" w:rsidR="00721806" w:rsidRPr="000C15B2" w:rsidRDefault="00721806">
      <w:pPr>
        <w:pStyle w:val="Textpoznpodarou"/>
      </w:pPr>
      <w:r w:rsidRPr="000C15B2">
        <w:rPr>
          <w:rStyle w:val="Znakapoznpodarou"/>
        </w:rPr>
        <w:footnoteRef/>
      </w:r>
      <w:r w:rsidRPr="000C15B2">
        <w:t xml:space="preserve"> Art. </w:t>
      </w:r>
      <w:r w:rsidR="00664E2A" w:rsidRPr="000C15B2">
        <w:t>6</w:t>
      </w:r>
      <w:r w:rsidRPr="000C15B2">
        <w:t xml:space="preserve"> Hague Convention 2005.</w:t>
      </w:r>
    </w:p>
  </w:footnote>
  <w:footnote w:id="125">
    <w:p w14:paraId="4F60A853" w14:textId="1338F2F4" w:rsidR="0085365A" w:rsidRPr="000C15B2" w:rsidRDefault="0085365A" w:rsidP="0085365A">
      <w:pPr>
        <w:pStyle w:val="Textpoznpodarou"/>
      </w:pPr>
      <w:r w:rsidRPr="000C15B2">
        <w:rPr>
          <w:rStyle w:val="Znakapoznpodarou"/>
        </w:rPr>
        <w:footnoteRef/>
      </w:r>
      <w:r w:rsidRPr="000C15B2">
        <w:t xml:space="preserve"> BRAND, JABLONSKI</w:t>
      </w:r>
      <w:r w:rsidR="003A4055">
        <w:t>. Op. cit.,</w:t>
      </w:r>
      <w:r w:rsidRPr="000C15B2">
        <w:t xml:space="preserve"> p. 208. CILE studies</w:t>
      </w:r>
      <w:r w:rsidR="003A4055">
        <w:t>.</w:t>
      </w:r>
    </w:p>
  </w:footnote>
  <w:footnote w:id="126">
    <w:p w14:paraId="3A555842" w14:textId="7C2F1657" w:rsidR="0085365A" w:rsidRPr="000C15B2" w:rsidRDefault="0085365A">
      <w:pPr>
        <w:pStyle w:val="Textpoznpodarou"/>
      </w:pPr>
      <w:r w:rsidRPr="000C15B2">
        <w:rPr>
          <w:rStyle w:val="Znakapoznpodarou"/>
        </w:rPr>
        <w:footnoteRef/>
      </w:r>
      <w:r w:rsidRPr="000C15B2">
        <w:t xml:space="preserve"> Hague Conference on Private International Law. </w:t>
      </w:r>
      <w:proofErr w:type="spellStart"/>
      <w:r w:rsidRPr="000C15B2">
        <w:rPr>
          <w:i/>
          <w:iCs/>
        </w:rPr>
        <w:t>Prel</w:t>
      </w:r>
      <w:proofErr w:type="spellEnd"/>
      <w:r w:rsidRPr="000C15B2">
        <w:rPr>
          <w:i/>
          <w:iCs/>
        </w:rPr>
        <w:t xml:space="preserve">. Doc. No 26 of December 2004 - Explanatory Report on the preliminary draft Convention on exclusive choice of court agreements, drawn up by Trevor C. Hartley and Masato </w:t>
      </w:r>
      <w:proofErr w:type="spellStart"/>
      <w:r w:rsidRPr="000C15B2">
        <w:rPr>
          <w:i/>
          <w:iCs/>
        </w:rPr>
        <w:t>Dogauchi</w:t>
      </w:r>
      <w:proofErr w:type="spellEnd"/>
      <w:r w:rsidRPr="000C15B2">
        <w:t>, 2004, para. 100.</w:t>
      </w:r>
      <w:r w:rsidR="00B4418B" w:rsidRPr="000C15B2">
        <w:t xml:space="preserve">; KAMEL, Alexander. Cooperative Federalism: A Viable Option for Implementing the Hague Convention on Choice of Court Agreements. </w:t>
      </w:r>
      <w:r w:rsidR="00B4418B" w:rsidRPr="000C15B2">
        <w:rPr>
          <w:i/>
          <w:iCs/>
        </w:rPr>
        <w:t>The Georgetown Law Journal</w:t>
      </w:r>
      <w:r w:rsidR="00B4418B" w:rsidRPr="000C15B2">
        <w:t xml:space="preserve">, Georgetown: Georgetown University Law </w:t>
      </w:r>
      <w:proofErr w:type="spellStart"/>
      <w:r w:rsidR="00B4418B" w:rsidRPr="000C15B2">
        <w:t>Center</w:t>
      </w:r>
      <w:proofErr w:type="spellEnd"/>
      <w:r w:rsidR="00B4418B" w:rsidRPr="000C15B2">
        <w:t xml:space="preserve">, 2014, Vol. 102, p. 1827.; LANDBRECHT, Johannes. The Hague Conference on Private International Law: Shaping a Global Framework for Party Autonomy. </w:t>
      </w:r>
      <w:r w:rsidR="00B4418B" w:rsidRPr="000C15B2">
        <w:rPr>
          <w:i/>
          <w:iCs/>
        </w:rPr>
        <w:t>International Business Law Journal</w:t>
      </w:r>
      <w:r w:rsidR="00B4418B" w:rsidRPr="000C15B2">
        <w:t>. London: Thomson Reuters, 2017, Vol. 1/2017, p. 38.</w:t>
      </w:r>
    </w:p>
  </w:footnote>
  <w:footnote w:id="127">
    <w:p w14:paraId="1BFD96E6" w14:textId="15E89B29" w:rsidR="004E7652" w:rsidRPr="000C15B2" w:rsidRDefault="004E7652">
      <w:pPr>
        <w:pStyle w:val="Textpoznpodarou"/>
      </w:pPr>
      <w:r w:rsidRPr="000C15B2">
        <w:rPr>
          <w:rStyle w:val="Znakapoznpodarou"/>
        </w:rPr>
        <w:footnoteRef/>
      </w:r>
      <w:r w:rsidRPr="000C15B2">
        <w:t xml:space="preserve"> BRIGGS</w:t>
      </w:r>
      <w:r w:rsidR="00BA7BF1">
        <w:t xml:space="preserve"> 2021, op. cit.,</w:t>
      </w:r>
      <w:r w:rsidRPr="000C15B2">
        <w:t xml:space="preserve"> p. 556.</w:t>
      </w:r>
    </w:p>
  </w:footnote>
  <w:footnote w:id="128">
    <w:p w14:paraId="3735EAFE" w14:textId="6DABF20F" w:rsidR="00664E2A" w:rsidRPr="000C15B2" w:rsidRDefault="00664E2A">
      <w:pPr>
        <w:pStyle w:val="Textpoznpodarou"/>
      </w:pPr>
      <w:r w:rsidRPr="000C15B2">
        <w:rPr>
          <w:rStyle w:val="Znakapoznpodarou"/>
        </w:rPr>
        <w:footnoteRef/>
      </w:r>
      <w:r w:rsidRPr="000C15B2">
        <w:t xml:space="preserve"> Art. 9(e) Hague Convention 2005.</w:t>
      </w:r>
    </w:p>
  </w:footnote>
  <w:footnote w:id="129">
    <w:p w14:paraId="0B53D3EB" w14:textId="2811F3D0" w:rsidR="00664E2A" w:rsidRPr="000C15B2" w:rsidRDefault="00664E2A">
      <w:pPr>
        <w:pStyle w:val="Textpoznpodarou"/>
      </w:pPr>
      <w:r w:rsidRPr="000C15B2">
        <w:rPr>
          <w:rStyle w:val="Znakapoznpodarou"/>
        </w:rPr>
        <w:footnoteRef/>
      </w:r>
      <w:r w:rsidRPr="000C15B2">
        <w:t xml:space="preserve"> BRAND, JABLONSKI</w:t>
      </w:r>
      <w:r w:rsidR="00BA7BF1">
        <w:t>, op. cit.</w:t>
      </w:r>
      <w:r w:rsidRPr="000C15B2">
        <w:t>, p. 209.</w:t>
      </w:r>
    </w:p>
  </w:footnote>
  <w:footnote w:id="130">
    <w:p w14:paraId="70A69CD6" w14:textId="50A8026A" w:rsidR="00B4418B" w:rsidRPr="000C15B2" w:rsidRDefault="00B4418B">
      <w:pPr>
        <w:pStyle w:val="Textpoznpodarou"/>
      </w:pPr>
      <w:r w:rsidRPr="000C15B2">
        <w:rPr>
          <w:rStyle w:val="Znakapoznpodarou"/>
        </w:rPr>
        <w:footnoteRef/>
      </w:r>
      <w:r w:rsidRPr="000C15B2">
        <w:t xml:space="preserve"> Art. 1(2) Hague Convention 2005.</w:t>
      </w:r>
    </w:p>
  </w:footnote>
  <w:footnote w:id="131">
    <w:p w14:paraId="4318F0F8" w14:textId="0B9F6D1F" w:rsidR="00184FB9" w:rsidRPr="000C15B2" w:rsidRDefault="00184FB9">
      <w:pPr>
        <w:pStyle w:val="Textpoznpodarou"/>
      </w:pPr>
      <w:r w:rsidRPr="000C15B2">
        <w:rPr>
          <w:rStyle w:val="Znakapoznpodarou"/>
        </w:rPr>
        <w:footnoteRef/>
      </w:r>
      <w:r w:rsidRPr="000C15B2">
        <w:t xml:space="preserve"> PALERMO, Giulio. The Future of Cross-Border Disputes Settlement: Back to Litigation?. In: GONZÁLEZ-BUENO, Carlos. </w:t>
      </w:r>
      <w:r w:rsidRPr="000C15B2">
        <w:rPr>
          <w:i/>
          <w:iCs/>
        </w:rPr>
        <w:t>40 under 40 International Arbitration</w:t>
      </w:r>
      <w:r w:rsidRPr="000C15B2">
        <w:t xml:space="preserve">. Madrid: </w:t>
      </w:r>
      <w:proofErr w:type="spellStart"/>
      <w:r w:rsidRPr="000C15B2">
        <w:t>Dykinson</w:t>
      </w:r>
      <w:proofErr w:type="spellEnd"/>
      <w:r w:rsidRPr="000C15B2">
        <w:t>, 2018, p. 364.</w:t>
      </w:r>
    </w:p>
  </w:footnote>
  <w:footnote w:id="132">
    <w:p w14:paraId="22CC8C02" w14:textId="6A99D67B" w:rsidR="00184FB9" w:rsidRPr="000C15B2" w:rsidRDefault="00184FB9">
      <w:pPr>
        <w:pStyle w:val="Textpoznpodarou"/>
      </w:pPr>
      <w:r w:rsidRPr="000C15B2">
        <w:rPr>
          <w:rStyle w:val="Znakapoznpodarou"/>
        </w:rPr>
        <w:footnoteRef/>
      </w:r>
      <w:r w:rsidRPr="000C15B2">
        <w:t xml:space="preserve"> Art. 19 Hague Convention 2005.</w:t>
      </w:r>
    </w:p>
  </w:footnote>
  <w:footnote w:id="133">
    <w:p w14:paraId="7EDD0FAA" w14:textId="0B67C2D0" w:rsidR="00184FB9" w:rsidRPr="000C15B2" w:rsidRDefault="00184FB9">
      <w:pPr>
        <w:pStyle w:val="Textpoznpodarou"/>
      </w:pPr>
      <w:r w:rsidRPr="000C15B2">
        <w:rPr>
          <w:rStyle w:val="Znakapoznpodarou"/>
        </w:rPr>
        <w:footnoteRef/>
      </w:r>
      <w:r w:rsidRPr="000C15B2">
        <w:t xml:space="preserve"> PALERMO, </w:t>
      </w:r>
      <w:r w:rsidR="00BA7BF1">
        <w:t>op. cit.</w:t>
      </w:r>
      <w:r w:rsidRPr="000C15B2">
        <w:t>, p. 367.</w:t>
      </w:r>
      <w:r w:rsidR="009D4FF9" w:rsidRPr="000C15B2">
        <w:t xml:space="preserve">; BERARD, Marie. Chapter 6: The Limits to the Parties’ Free Choice of Jurisdiction – Is an Objective Link between the Parties’ Selected Jurisdiction and their Dispute Required? A Review of the Approach of International Instruments and National Courts. In: AFFAKI, </w:t>
      </w:r>
      <w:proofErr w:type="spellStart"/>
      <w:r w:rsidR="009D4FF9" w:rsidRPr="000C15B2">
        <w:t>Bachir</w:t>
      </w:r>
      <w:proofErr w:type="spellEnd"/>
      <w:r w:rsidR="009D4FF9" w:rsidRPr="000C15B2">
        <w:t xml:space="preserve"> Georges and Horacio Alberto </w:t>
      </w:r>
      <w:proofErr w:type="spellStart"/>
      <w:r w:rsidR="009D4FF9" w:rsidRPr="000C15B2">
        <w:t>Grigera</w:t>
      </w:r>
      <w:proofErr w:type="spellEnd"/>
      <w:r w:rsidR="009D4FF9" w:rsidRPr="000C15B2">
        <w:t xml:space="preserve"> NAÓN (eds). </w:t>
      </w:r>
      <w:r w:rsidR="009D4FF9" w:rsidRPr="000C15B2">
        <w:rPr>
          <w:i/>
          <w:iCs/>
        </w:rPr>
        <w:t>Jurisdictional Choices in Times of Trouble, Dossiers of the ICC Institute of World Business Law</w:t>
      </w:r>
      <w:r w:rsidR="009D4FF9" w:rsidRPr="000C15B2">
        <w:t>. Paris: Kluwer Law International; International Chamber of Commerce. 2015, Vol. 12, p. 88.</w:t>
      </w:r>
    </w:p>
  </w:footnote>
  <w:footnote w:id="134">
    <w:p w14:paraId="48820658" w14:textId="19782881" w:rsidR="00184FB9" w:rsidRPr="000C15B2" w:rsidRDefault="00184FB9">
      <w:pPr>
        <w:pStyle w:val="Textpoznpodarou"/>
      </w:pPr>
      <w:r w:rsidRPr="000C15B2">
        <w:rPr>
          <w:rStyle w:val="Znakapoznpodarou"/>
        </w:rPr>
        <w:footnoteRef/>
      </w:r>
      <w:r w:rsidRPr="000C15B2">
        <w:t xml:space="preserve"> Declarations, Reservations, Depositary communications. </w:t>
      </w:r>
      <w:r w:rsidRPr="000C15B2">
        <w:rPr>
          <w:i/>
          <w:iCs/>
        </w:rPr>
        <w:t xml:space="preserve">HCCH </w:t>
      </w:r>
      <w:r w:rsidRPr="000C15B2">
        <w:t>[online]</w:t>
      </w:r>
      <w:r w:rsidR="009F0199">
        <w:t>.</w:t>
      </w:r>
      <w:r w:rsidRPr="000C15B2">
        <w:t xml:space="preserve"> 2020, [cit. 10. 8. 2021]. Available at: https://www.hcch.net/en/instruments/conventions/status-table/notifications/?csid=1318&amp;disp=resdn</w:t>
      </w:r>
    </w:p>
  </w:footnote>
  <w:footnote w:id="135">
    <w:p w14:paraId="37637117" w14:textId="40C14BC2" w:rsidR="004A50DE" w:rsidRPr="000C15B2" w:rsidRDefault="004A50DE">
      <w:pPr>
        <w:pStyle w:val="Textpoznpodarou"/>
      </w:pPr>
      <w:r w:rsidRPr="000C15B2">
        <w:rPr>
          <w:rStyle w:val="Znakapoznpodarou"/>
        </w:rPr>
        <w:footnoteRef/>
      </w:r>
      <w:r w:rsidRPr="000C15B2">
        <w:t xml:space="preserve"> Art. 8 Hague Convention 2005.</w:t>
      </w:r>
    </w:p>
  </w:footnote>
  <w:footnote w:id="136">
    <w:p w14:paraId="6BFB251C" w14:textId="6F56246C" w:rsidR="004A50DE" w:rsidRPr="000C15B2" w:rsidRDefault="004A50DE">
      <w:pPr>
        <w:pStyle w:val="Textpoznpodarou"/>
      </w:pPr>
      <w:r w:rsidRPr="000C15B2">
        <w:rPr>
          <w:rStyle w:val="Znakapoznpodarou"/>
        </w:rPr>
        <w:footnoteRef/>
      </w:r>
      <w:r w:rsidRPr="000C15B2">
        <w:t xml:space="preserve"> </w:t>
      </w:r>
      <w:r w:rsidR="00AA614C">
        <w:t xml:space="preserve">Ibid., </w:t>
      </w:r>
      <w:r w:rsidRPr="000C15B2">
        <w:t>Art. 9</w:t>
      </w:r>
      <w:r w:rsidR="003F503D" w:rsidRPr="000C15B2">
        <w:t xml:space="preserve">; For detailed comparation of refusal grounds to Brussels regime see MALACHTA, Radovan. Mutual Trust between the Member States of the European Union and the United Kingdom after Brexit: Overview. In VALDHANS, Jiří. </w:t>
      </w:r>
      <w:r w:rsidR="003F503D" w:rsidRPr="000C15B2">
        <w:rPr>
          <w:i/>
          <w:iCs/>
        </w:rPr>
        <w:t>Brexit and its Consequences. COFOLA International 2020</w:t>
      </w:r>
      <w:r w:rsidR="003F503D" w:rsidRPr="000C15B2">
        <w:t>. Brno: Masaryk University, 2020, p. 43–47. ISBN 978-80-210-9800-8.</w:t>
      </w:r>
    </w:p>
  </w:footnote>
  <w:footnote w:id="137">
    <w:p w14:paraId="27869C95" w14:textId="3B36A839" w:rsidR="00933B5B" w:rsidRPr="000C15B2" w:rsidRDefault="00933B5B">
      <w:pPr>
        <w:pStyle w:val="Textpoznpodarou"/>
      </w:pPr>
      <w:r w:rsidRPr="000C15B2">
        <w:rPr>
          <w:rStyle w:val="Znakapoznpodarou"/>
        </w:rPr>
        <w:footnoteRef/>
      </w:r>
      <w:r w:rsidRPr="000C15B2">
        <w:t xml:space="preserve"> HARTLEY, Trevor and Masato DOGAUCHI. </w:t>
      </w:r>
      <w:r w:rsidRPr="000C15B2">
        <w:rPr>
          <w:i/>
          <w:iCs/>
        </w:rPr>
        <w:t>Explanatory Report on the 2005 HCCH Choice of Court Agreements Convention</w:t>
      </w:r>
      <w:r w:rsidRPr="000C15B2">
        <w:t>. The Hague: Permanent Bureau of the Conference, 2005, p. 69. ISBN: 978-1-78068-209-9.</w:t>
      </w:r>
    </w:p>
  </w:footnote>
  <w:footnote w:id="138">
    <w:p w14:paraId="294688BA" w14:textId="07CC62A8" w:rsidR="00F259EE" w:rsidRPr="000C15B2" w:rsidRDefault="00F259EE">
      <w:pPr>
        <w:pStyle w:val="Textpoznpodarou"/>
      </w:pPr>
      <w:r w:rsidRPr="000C15B2">
        <w:rPr>
          <w:rStyle w:val="Znakapoznpodarou"/>
        </w:rPr>
        <w:footnoteRef/>
      </w:r>
      <w:r w:rsidRPr="000C15B2">
        <w:t xml:space="preserve"> Art. 3(a) Hague Convention 2005.</w:t>
      </w:r>
    </w:p>
  </w:footnote>
  <w:footnote w:id="139">
    <w:p w14:paraId="7A80A8D4" w14:textId="04E53FB6" w:rsidR="00F259EE" w:rsidRPr="000C15B2" w:rsidRDefault="00F259EE">
      <w:pPr>
        <w:pStyle w:val="Textpoznpodarou"/>
      </w:pPr>
      <w:r w:rsidRPr="000C15B2">
        <w:rPr>
          <w:rStyle w:val="Znakapoznpodarou"/>
        </w:rPr>
        <w:footnoteRef/>
      </w:r>
      <w:r w:rsidRPr="000C15B2">
        <w:t xml:space="preserve"> HARTLEY, DOGAUCHI,</w:t>
      </w:r>
      <w:r w:rsidR="009E08C4">
        <w:t xml:space="preserve"> op. cit.,</w:t>
      </w:r>
      <w:r w:rsidRPr="000C15B2">
        <w:t xml:space="preserve"> p</w:t>
      </w:r>
      <w:r w:rsidR="009E08C4">
        <w:t>p</w:t>
      </w:r>
      <w:r w:rsidRPr="000C15B2">
        <w:t>. 49–52.</w:t>
      </w:r>
    </w:p>
  </w:footnote>
  <w:footnote w:id="140">
    <w:p w14:paraId="136E6956" w14:textId="5621994A" w:rsidR="006F49F3" w:rsidRPr="000C15B2" w:rsidRDefault="006F49F3">
      <w:pPr>
        <w:pStyle w:val="Textpoznpodarou"/>
      </w:pPr>
      <w:r w:rsidRPr="000C15B2">
        <w:rPr>
          <w:rStyle w:val="Znakapoznpodarou"/>
        </w:rPr>
        <w:footnoteRef/>
      </w:r>
      <w:r w:rsidRPr="000C15B2">
        <w:t xml:space="preserve"> Convention of 2 July 2019 on the Recognition and Enforcement of Foreign Judgments in Civil or Commercial Matters.</w:t>
      </w:r>
    </w:p>
  </w:footnote>
  <w:footnote w:id="141">
    <w:p w14:paraId="7315FB17" w14:textId="263CE67B" w:rsidR="006F49F3" w:rsidRPr="000C15B2" w:rsidRDefault="006F49F3">
      <w:pPr>
        <w:pStyle w:val="Textpoznpodarou"/>
      </w:pPr>
      <w:r w:rsidRPr="000C15B2">
        <w:rPr>
          <w:rStyle w:val="Znakapoznpodarou"/>
        </w:rPr>
        <w:footnoteRef/>
      </w:r>
      <w:r w:rsidRPr="000C15B2">
        <w:t xml:space="preserve"> Judgment Selections. </w:t>
      </w:r>
      <w:r w:rsidRPr="000C15B2">
        <w:rPr>
          <w:i/>
          <w:iCs/>
        </w:rPr>
        <w:t>HCCH</w:t>
      </w:r>
      <w:r w:rsidRPr="000C15B2">
        <w:t xml:space="preserve"> [online]. 2019 [cit. 23. 8. 2021]. Available at: https://www.hcch.net/en/instruments/conventions/specialised-sections/judgments</w:t>
      </w:r>
    </w:p>
  </w:footnote>
  <w:footnote w:id="142">
    <w:p w14:paraId="149C7A28" w14:textId="686F765D" w:rsidR="003F503D" w:rsidRPr="000C15B2" w:rsidRDefault="003F503D">
      <w:pPr>
        <w:pStyle w:val="Textpoznpodarou"/>
      </w:pPr>
      <w:r w:rsidRPr="000C15B2">
        <w:rPr>
          <w:rStyle w:val="Znakapoznpodarou"/>
        </w:rPr>
        <w:footnoteRef/>
      </w:r>
      <w:r w:rsidRPr="000C15B2">
        <w:t xml:space="preserve"> Similar opinion is reflected in MALACHTA</w:t>
      </w:r>
      <w:r w:rsidR="00151040">
        <w:t xml:space="preserve"> 2020</w:t>
      </w:r>
      <w:r w:rsidRPr="000C15B2">
        <w:t>,</w:t>
      </w:r>
      <w:r w:rsidR="00151040">
        <w:t xml:space="preserve"> op.</w:t>
      </w:r>
      <w:r w:rsidR="00B80B98">
        <w:t xml:space="preserve"> </w:t>
      </w:r>
      <w:r w:rsidR="00151040">
        <w:t>cit.,</w:t>
      </w:r>
      <w:r w:rsidRPr="000C15B2">
        <w:t xml:space="preserve"> p. 49</w:t>
      </w:r>
      <w:r w:rsidR="00151040">
        <w:t>.</w:t>
      </w:r>
    </w:p>
  </w:footnote>
  <w:footnote w:id="143">
    <w:p w14:paraId="427E1893" w14:textId="19C7E6BD" w:rsidR="00BD1533" w:rsidRPr="000C15B2" w:rsidRDefault="00BD1533">
      <w:pPr>
        <w:pStyle w:val="Textpoznpodarou"/>
      </w:pPr>
      <w:r w:rsidRPr="000C15B2">
        <w:rPr>
          <w:rStyle w:val="Znakapoznpodarou"/>
        </w:rPr>
        <w:footnoteRef/>
      </w:r>
      <w:r w:rsidRPr="000C15B2">
        <w:t xml:space="preserve"> Art. 5(1) Hague Convention 2019.</w:t>
      </w:r>
    </w:p>
  </w:footnote>
  <w:footnote w:id="144">
    <w:p w14:paraId="7185D1B9" w14:textId="0EEE7198" w:rsidR="00BD1533" w:rsidRPr="000C15B2" w:rsidRDefault="00BD1533">
      <w:pPr>
        <w:pStyle w:val="Textpoznpodarou"/>
      </w:pPr>
      <w:r w:rsidRPr="000C15B2">
        <w:rPr>
          <w:rStyle w:val="Znakapoznpodarou"/>
        </w:rPr>
        <w:footnoteRef/>
      </w:r>
      <w:r w:rsidRPr="000C15B2">
        <w:t xml:space="preserve"> </w:t>
      </w:r>
      <w:r w:rsidR="00AA614C">
        <w:t xml:space="preserve">Ibid., </w:t>
      </w:r>
      <w:r w:rsidRPr="000C15B2">
        <w:t>Art. 5(1)(f)</w:t>
      </w:r>
      <w:r w:rsidR="00AA614C">
        <w:t>.</w:t>
      </w:r>
    </w:p>
  </w:footnote>
  <w:footnote w:id="145">
    <w:p w14:paraId="649C0B83" w14:textId="3786B0E8" w:rsidR="00BD1533" w:rsidRPr="000C15B2" w:rsidRDefault="00BD1533">
      <w:pPr>
        <w:pStyle w:val="Textpoznpodarou"/>
      </w:pPr>
      <w:r w:rsidRPr="000C15B2">
        <w:rPr>
          <w:rStyle w:val="Znakapoznpodarou"/>
        </w:rPr>
        <w:footnoteRef/>
      </w:r>
      <w:r w:rsidRPr="000C15B2">
        <w:t xml:space="preserve"> GARCIMARTÍN, Francisco and Geneviève SAUMIER. </w:t>
      </w:r>
      <w:r w:rsidRPr="000C15B2">
        <w:rPr>
          <w:i/>
          <w:iCs/>
        </w:rPr>
        <w:t>Explanatory Report on the 2019 HCCH Judgments Convention</w:t>
      </w:r>
      <w:r w:rsidRPr="000C15B2">
        <w:t>. The Hague: Permanent Bureau of the Conference, 20</w:t>
      </w:r>
      <w:r w:rsidR="00616493">
        <w:t>20</w:t>
      </w:r>
      <w:r w:rsidRPr="000C15B2">
        <w:t>, p. 97. ISBN: 978-90-83063-32-4.</w:t>
      </w:r>
    </w:p>
  </w:footnote>
  <w:footnote w:id="146">
    <w:p w14:paraId="4556FA99" w14:textId="14717DA5" w:rsidR="00F258E4" w:rsidRPr="000C15B2" w:rsidRDefault="00F258E4">
      <w:pPr>
        <w:pStyle w:val="Textpoznpodarou"/>
      </w:pPr>
      <w:r w:rsidRPr="000C15B2">
        <w:rPr>
          <w:rStyle w:val="Znakapoznpodarou"/>
        </w:rPr>
        <w:footnoteRef/>
      </w:r>
      <w:r w:rsidRPr="000C15B2">
        <w:t xml:space="preserve"> ZHAO, Ning. Completing a long-awaited puzzle in the landscape of cross-border recognition and enforcement of judgments: An overview of the </w:t>
      </w:r>
      <w:r w:rsidR="008A0887">
        <w:t>HCCH</w:t>
      </w:r>
      <w:r w:rsidRPr="000C15B2">
        <w:t xml:space="preserve"> 2019 judgments convention. </w:t>
      </w:r>
      <w:r w:rsidRPr="000C15B2">
        <w:rPr>
          <w:i/>
          <w:iCs/>
        </w:rPr>
        <w:t>Swiss Review of International and European Law</w:t>
      </w:r>
      <w:r w:rsidRPr="000C15B2">
        <w:t>, Zürich: Swiss Association of International Law, 2020, Vol. 30, no. 3, p. 357.</w:t>
      </w:r>
    </w:p>
  </w:footnote>
  <w:footnote w:id="147">
    <w:p w14:paraId="7771F7C4" w14:textId="3BADDFA7" w:rsidR="004568FF" w:rsidRPr="000C15B2" w:rsidRDefault="004568FF">
      <w:pPr>
        <w:pStyle w:val="Textpoznpodarou"/>
      </w:pPr>
      <w:r w:rsidRPr="000C15B2">
        <w:rPr>
          <w:rStyle w:val="Znakapoznpodarou"/>
        </w:rPr>
        <w:footnoteRef/>
      </w:r>
      <w:r w:rsidRPr="000C15B2">
        <w:t xml:space="preserve"> GARCIMARTÍN, SAUMIER</w:t>
      </w:r>
      <w:r w:rsidR="00616493">
        <w:t xml:space="preserve">, op. cit., </w:t>
      </w:r>
      <w:r w:rsidRPr="000C15B2">
        <w:t>p. 139.</w:t>
      </w:r>
    </w:p>
  </w:footnote>
  <w:footnote w:id="148">
    <w:p w14:paraId="2EA88F24" w14:textId="4412DFD9" w:rsidR="004568FF" w:rsidRPr="000C15B2" w:rsidRDefault="004568FF">
      <w:pPr>
        <w:pStyle w:val="Textpoznpodarou"/>
      </w:pPr>
      <w:r w:rsidRPr="000C15B2">
        <w:rPr>
          <w:rStyle w:val="Znakapoznpodarou"/>
        </w:rPr>
        <w:footnoteRef/>
      </w:r>
      <w:r w:rsidRPr="000C15B2">
        <w:t xml:space="preserve"> “</w:t>
      </w:r>
      <w:r w:rsidRPr="000C15B2">
        <w:rPr>
          <w:i/>
          <w:iCs/>
        </w:rPr>
        <w:t>The court of the requested State shall not refuse the recognition or enforcement of a judgment under this Convention on the ground that recognition or enforcement should be sought in another State.</w:t>
      </w:r>
      <w:r w:rsidR="00444EA0">
        <w:t>”</w:t>
      </w:r>
    </w:p>
  </w:footnote>
  <w:footnote w:id="149">
    <w:p w14:paraId="70B8499E" w14:textId="137EFAA9" w:rsidR="007D0F26" w:rsidRPr="000C15B2" w:rsidRDefault="007D0F26">
      <w:pPr>
        <w:pStyle w:val="Textpoznpodarou"/>
      </w:pPr>
      <w:r w:rsidRPr="000C15B2">
        <w:rPr>
          <w:rStyle w:val="Znakapoznpodarou"/>
        </w:rPr>
        <w:footnoteRef/>
      </w:r>
      <w:r w:rsidRPr="000C15B2">
        <w:t xml:space="preserve"> </w:t>
      </w:r>
      <w:r w:rsidR="00616493" w:rsidRPr="000C15B2">
        <w:t>GARCIMARTÍN, SAUMIER</w:t>
      </w:r>
      <w:r w:rsidR="00616493">
        <w:t xml:space="preserve">, op. cit., </w:t>
      </w:r>
      <w:r w:rsidRPr="000C15B2">
        <w:t>p. 142.</w:t>
      </w:r>
    </w:p>
  </w:footnote>
  <w:footnote w:id="150">
    <w:p w14:paraId="53B3B6D0" w14:textId="27E6962F" w:rsidR="00801237" w:rsidRPr="000C15B2" w:rsidRDefault="00801237">
      <w:pPr>
        <w:pStyle w:val="Textpoznpodarou"/>
      </w:pPr>
      <w:r w:rsidRPr="000C15B2">
        <w:rPr>
          <w:rStyle w:val="Znakapoznpodarou"/>
        </w:rPr>
        <w:footnoteRef/>
      </w:r>
      <w:r w:rsidRPr="000C15B2">
        <w:t xml:space="preserve"> ZHAO, </w:t>
      </w:r>
      <w:r w:rsidR="00616493">
        <w:t>op. cit.</w:t>
      </w:r>
      <w:r w:rsidRPr="000C15B2">
        <w:t>, p. 350.</w:t>
      </w:r>
      <w:r w:rsidR="00B34C11" w:rsidRPr="000C15B2">
        <w:t xml:space="preserve">; STEWART, David. The Hague Conference Adopts a New Convention on the Recognition and Enforcement of Foreign Judgments in Civil or Commercial Matters. </w:t>
      </w:r>
      <w:r w:rsidR="00B34C11" w:rsidRPr="000C15B2">
        <w:rPr>
          <w:i/>
          <w:iCs/>
        </w:rPr>
        <w:t>American Journal of International Law</w:t>
      </w:r>
      <w:r w:rsidR="00B34C11" w:rsidRPr="000C15B2">
        <w:t>, Cambridge: Cambridge University Press, 2019, Vol. 113, no. 4, p. 778.</w:t>
      </w:r>
    </w:p>
  </w:footnote>
  <w:footnote w:id="151">
    <w:p w14:paraId="12D2B19C" w14:textId="0C20F6D2" w:rsidR="000627A2" w:rsidRPr="000C15B2" w:rsidRDefault="000627A2">
      <w:pPr>
        <w:pStyle w:val="Textpoznpodarou"/>
      </w:pPr>
      <w:r w:rsidRPr="000C15B2">
        <w:rPr>
          <w:rStyle w:val="Znakapoznpodarou"/>
        </w:rPr>
        <w:footnoteRef/>
      </w:r>
      <w:r w:rsidRPr="000C15B2">
        <w:t xml:space="preserve"> For specifics on acceptable bases of jurisdiction see NIELSEN, Peter </w:t>
      </w:r>
      <w:proofErr w:type="spellStart"/>
      <w:r w:rsidRPr="000C15B2">
        <w:t>Arnt</w:t>
      </w:r>
      <w:proofErr w:type="spellEnd"/>
      <w:r w:rsidRPr="000C15B2">
        <w:t xml:space="preserve">. The Hague 2019 Judgments Convention - from failure to success? </w:t>
      </w:r>
      <w:r w:rsidRPr="000C15B2">
        <w:rPr>
          <w:i/>
          <w:iCs/>
        </w:rPr>
        <w:t>Journal of Private International Law</w:t>
      </w:r>
      <w:r w:rsidRPr="000C15B2">
        <w:t xml:space="preserve">, </w:t>
      </w:r>
      <w:r w:rsidR="008B1735" w:rsidRPr="000C15B2">
        <w:t>London: Taylor &amp; Francis, 2020, Vol. 16, no. 2, pp. 205–246.</w:t>
      </w:r>
    </w:p>
  </w:footnote>
  <w:footnote w:id="152">
    <w:p w14:paraId="1692F05C" w14:textId="527CF596" w:rsidR="002754CF" w:rsidRPr="000C15B2" w:rsidRDefault="002754CF">
      <w:pPr>
        <w:pStyle w:val="Textpoznpodarou"/>
      </w:pPr>
      <w:r w:rsidRPr="000C15B2">
        <w:rPr>
          <w:rStyle w:val="Znakapoznpodarou"/>
        </w:rPr>
        <w:footnoteRef/>
      </w:r>
      <w:r w:rsidRPr="000C15B2">
        <w:t xml:space="preserve"> </w:t>
      </w:r>
      <w:r w:rsidR="00BB4C5B" w:rsidRPr="000C15B2">
        <w:t>GARCIMARTÍN, SAUMIER</w:t>
      </w:r>
      <w:r w:rsidR="00BB4C5B">
        <w:t>, op. cit.</w:t>
      </w:r>
      <w:r w:rsidRPr="000C15B2">
        <w:t>, p. 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768E"/>
    <w:multiLevelType w:val="multilevel"/>
    <w:tmpl w:val="BE8C7A94"/>
    <w:lvl w:ilvl="0">
      <w:start w:val="1"/>
      <w:numFmt w:val="decimal"/>
      <w:pStyle w:val="C-HeadingNumbered1"/>
      <w:lvlText w:val="%1"/>
      <w:lvlJc w:val="left"/>
      <w:pPr>
        <w:ind w:left="567" w:hanging="567"/>
      </w:pPr>
      <w:rPr>
        <w:rFonts w:hint="default"/>
      </w:rPr>
    </w:lvl>
    <w:lvl w:ilvl="1">
      <w:start w:val="1"/>
      <w:numFmt w:val="decimal"/>
      <w:pStyle w:val="C-HeadingNumbered2"/>
      <w:lvlText w:val="%1.%2"/>
      <w:lvlJc w:val="left"/>
      <w:pPr>
        <w:ind w:left="567" w:hanging="567"/>
      </w:pPr>
      <w:rPr>
        <w:rFonts w:hint="default"/>
      </w:rPr>
    </w:lvl>
    <w:lvl w:ilvl="2">
      <w:start w:val="1"/>
      <w:numFmt w:val="decimal"/>
      <w:pStyle w:val="C-HeadingNumbered3"/>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0C3ED4"/>
    <w:multiLevelType w:val="multilevel"/>
    <w:tmpl w:val="A18E3136"/>
    <w:lvl w:ilvl="0">
      <w:start w:val="1"/>
      <w:numFmt w:val="lowerLetter"/>
      <w:pStyle w:val="C-ListNumbered1"/>
      <w:lvlText w:val="%1)"/>
      <w:lvlJc w:val="left"/>
      <w:pPr>
        <w:ind w:left="454" w:hanging="454"/>
      </w:pPr>
      <w:rPr>
        <w:rFonts w:hint="default"/>
      </w:rPr>
    </w:lvl>
    <w:lvl w:ilvl="1">
      <w:start w:val="1"/>
      <w:numFmt w:val="decimal"/>
      <w:pStyle w:val="C-ListNumbered2"/>
      <w:lvlText w:val="%2."/>
      <w:lvlJc w:val="left"/>
      <w:pPr>
        <w:ind w:left="1021" w:hanging="454"/>
      </w:pPr>
      <w:rPr>
        <w:rFonts w:hint="default"/>
      </w:rPr>
    </w:lvl>
    <w:lvl w:ilvl="2">
      <w:start w:val="1"/>
      <w:numFmt w:val="lowerRoman"/>
      <w:pStyle w:val="C-ListNumbered3"/>
      <w:lvlText w:val="%3)"/>
      <w:lvlJc w:val="left"/>
      <w:pPr>
        <w:ind w:left="1474" w:hanging="453"/>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F1D043F"/>
    <w:multiLevelType w:val="hybridMultilevel"/>
    <w:tmpl w:val="3DD0AC0C"/>
    <w:lvl w:ilvl="0" w:tplc="4CAE2922">
      <w:start w:val="592"/>
      <w:numFmt w:val="bullet"/>
      <w:pStyle w:val="C-Literature"/>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EB24B54"/>
    <w:multiLevelType w:val="hybridMultilevel"/>
    <w:tmpl w:val="9AE022BE"/>
    <w:lvl w:ilvl="0" w:tplc="56F427F8">
      <w:start w:val="1"/>
      <w:numFmt w:val="decimal"/>
      <w:pStyle w:val="ZPLiteratura"/>
      <w:lvlText w:val="%1. "/>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906809"/>
    <w:multiLevelType w:val="hybridMultilevel"/>
    <w:tmpl w:val="913E8914"/>
    <w:lvl w:ilvl="0" w:tplc="50D8D7AE">
      <w:start w:val="592"/>
      <w:numFmt w:val="bullet"/>
      <w:pStyle w:val="C-ListBullet2"/>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C133276"/>
    <w:multiLevelType w:val="hybridMultilevel"/>
    <w:tmpl w:val="1EF8680E"/>
    <w:lvl w:ilvl="0" w:tplc="6EF63D38">
      <w:start w:val="1"/>
      <w:numFmt w:val="bullet"/>
      <w:pStyle w:val="C-ListBullet3"/>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63350998">
    <w:abstractNumId w:val="2"/>
  </w:num>
  <w:num w:numId="2" w16cid:durableId="828714528">
    <w:abstractNumId w:val="0"/>
  </w:num>
  <w:num w:numId="3" w16cid:durableId="1403017292">
    <w:abstractNumId w:val="1"/>
  </w:num>
  <w:num w:numId="4" w16cid:durableId="1285695832">
    <w:abstractNumId w:val="4"/>
  </w:num>
  <w:num w:numId="5" w16cid:durableId="828518777">
    <w:abstractNumId w:val="5"/>
  </w:num>
  <w:num w:numId="6" w16cid:durableId="17341582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1257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A5"/>
    <w:rsid w:val="00003272"/>
    <w:rsid w:val="00006A7F"/>
    <w:rsid w:val="00006CB7"/>
    <w:rsid w:val="00035BFE"/>
    <w:rsid w:val="00050B9D"/>
    <w:rsid w:val="00052D92"/>
    <w:rsid w:val="000559E3"/>
    <w:rsid w:val="0006064F"/>
    <w:rsid w:val="000627A2"/>
    <w:rsid w:val="000630F6"/>
    <w:rsid w:val="0006591C"/>
    <w:rsid w:val="00071B97"/>
    <w:rsid w:val="00074EC4"/>
    <w:rsid w:val="00081DBA"/>
    <w:rsid w:val="000862BA"/>
    <w:rsid w:val="00086A62"/>
    <w:rsid w:val="00091F94"/>
    <w:rsid w:val="00095035"/>
    <w:rsid w:val="00095BC0"/>
    <w:rsid w:val="000975CF"/>
    <w:rsid w:val="000A3D31"/>
    <w:rsid w:val="000A639D"/>
    <w:rsid w:val="000A78E4"/>
    <w:rsid w:val="000B3C04"/>
    <w:rsid w:val="000C15B2"/>
    <w:rsid w:val="000C60C1"/>
    <w:rsid w:val="000D00FA"/>
    <w:rsid w:val="000D451C"/>
    <w:rsid w:val="000E0059"/>
    <w:rsid w:val="000E29AE"/>
    <w:rsid w:val="000E4432"/>
    <w:rsid w:val="000E45C6"/>
    <w:rsid w:val="000F7569"/>
    <w:rsid w:val="001025DB"/>
    <w:rsid w:val="00102FE6"/>
    <w:rsid w:val="001074B7"/>
    <w:rsid w:val="0010786C"/>
    <w:rsid w:val="00110572"/>
    <w:rsid w:val="001134E5"/>
    <w:rsid w:val="001157FB"/>
    <w:rsid w:val="00116C1C"/>
    <w:rsid w:val="001214C3"/>
    <w:rsid w:val="00126D02"/>
    <w:rsid w:val="00132B76"/>
    <w:rsid w:val="00133FA3"/>
    <w:rsid w:val="00151040"/>
    <w:rsid w:val="001660F9"/>
    <w:rsid w:val="00174307"/>
    <w:rsid w:val="0018022C"/>
    <w:rsid w:val="00184FB9"/>
    <w:rsid w:val="00186E85"/>
    <w:rsid w:val="001907E9"/>
    <w:rsid w:val="001928F6"/>
    <w:rsid w:val="00192E04"/>
    <w:rsid w:val="00196D8D"/>
    <w:rsid w:val="001A0C27"/>
    <w:rsid w:val="001A2696"/>
    <w:rsid w:val="001A5340"/>
    <w:rsid w:val="001A7F5D"/>
    <w:rsid w:val="001B0BF3"/>
    <w:rsid w:val="001B5121"/>
    <w:rsid w:val="001B6D35"/>
    <w:rsid w:val="001B72D6"/>
    <w:rsid w:val="001C04E7"/>
    <w:rsid w:val="001C5414"/>
    <w:rsid w:val="001D14BE"/>
    <w:rsid w:val="001D1986"/>
    <w:rsid w:val="001D2E8F"/>
    <w:rsid w:val="001E03A3"/>
    <w:rsid w:val="00201379"/>
    <w:rsid w:val="00201F9F"/>
    <w:rsid w:val="002023DE"/>
    <w:rsid w:val="00205695"/>
    <w:rsid w:val="00205753"/>
    <w:rsid w:val="00205DC6"/>
    <w:rsid w:val="00206EC3"/>
    <w:rsid w:val="00210F09"/>
    <w:rsid w:val="00213902"/>
    <w:rsid w:val="00214D45"/>
    <w:rsid w:val="0022091B"/>
    <w:rsid w:val="0022131C"/>
    <w:rsid w:val="00241531"/>
    <w:rsid w:val="00243107"/>
    <w:rsid w:val="00251FD2"/>
    <w:rsid w:val="00254FBB"/>
    <w:rsid w:val="002562D9"/>
    <w:rsid w:val="00261436"/>
    <w:rsid w:val="00261B2A"/>
    <w:rsid w:val="00265B23"/>
    <w:rsid w:val="0027402A"/>
    <w:rsid w:val="002754CF"/>
    <w:rsid w:val="00276D7F"/>
    <w:rsid w:val="0028251C"/>
    <w:rsid w:val="00285476"/>
    <w:rsid w:val="00286F09"/>
    <w:rsid w:val="002936E6"/>
    <w:rsid w:val="00293FA8"/>
    <w:rsid w:val="00294B6D"/>
    <w:rsid w:val="0029537A"/>
    <w:rsid w:val="002A0EEE"/>
    <w:rsid w:val="002B12EE"/>
    <w:rsid w:val="002B2A5D"/>
    <w:rsid w:val="002C6C26"/>
    <w:rsid w:val="002D133E"/>
    <w:rsid w:val="002E0909"/>
    <w:rsid w:val="002E0EC4"/>
    <w:rsid w:val="002F25FB"/>
    <w:rsid w:val="00306D72"/>
    <w:rsid w:val="003102D9"/>
    <w:rsid w:val="00311FA1"/>
    <w:rsid w:val="00335C34"/>
    <w:rsid w:val="003372E6"/>
    <w:rsid w:val="00343CA5"/>
    <w:rsid w:val="00352763"/>
    <w:rsid w:val="003531B4"/>
    <w:rsid w:val="0036203B"/>
    <w:rsid w:val="00365218"/>
    <w:rsid w:val="003667B6"/>
    <w:rsid w:val="003674FE"/>
    <w:rsid w:val="00375650"/>
    <w:rsid w:val="0037689D"/>
    <w:rsid w:val="003807F4"/>
    <w:rsid w:val="003818DD"/>
    <w:rsid w:val="003871C4"/>
    <w:rsid w:val="003A13C9"/>
    <w:rsid w:val="003A4055"/>
    <w:rsid w:val="003B40F6"/>
    <w:rsid w:val="003C15A8"/>
    <w:rsid w:val="003C363A"/>
    <w:rsid w:val="003C672C"/>
    <w:rsid w:val="003D3FF7"/>
    <w:rsid w:val="003D76DD"/>
    <w:rsid w:val="003E42C0"/>
    <w:rsid w:val="003F105A"/>
    <w:rsid w:val="003F3124"/>
    <w:rsid w:val="003F503D"/>
    <w:rsid w:val="00407941"/>
    <w:rsid w:val="00415B03"/>
    <w:rsid w:val="00417277"/>
    <w:rsid w:val="00417CF4"/>
    <w:rsid w:val="004208CF"/>
    <w:rsid w:val="00420F97"/>
    <w:rsid w:val="00425897"/>
    <w:rsid w:val="0042767D"/>
    <w:rsid w:val="00427F05"/>
    <w:rsid w:val="004421F8"/>
    <w:rsid w:val="00444E52"/>
    <w:rsid w:val="00444EA0"/>
    <w:rsid w:val="00446E4F"/>
    <w:rsid w:val="004516BE"/>
    <w:rsid w:val="0045343D"/>
    <w:rsid w:val="004568FF"/>
    <w:rsid w:val="00457066"/>
    <w:rsid w:val="004611B7"/>
    <w:rsid w:val="0046520F"/>
    <w:rsid w:val="004661B5"/>
    <w:rsid w:val="00470990"/>
    <w:rsid w:val="00483C8E"/>
    <w:rsid w:val="004946B7"/>
    <w:rsid w:val="00495CF4"/>
    <w:rsid w:val="004A3866"/>
    <w:rsid w:val="004A50DE"/>
    <w:rsid w:val="004A5906"/>
    <w:rsid w:val="004B55F6"/>
    <w:rsid w:val="004B74B5"/>
    <w:rsid w:val="004C28C0"/>
    <w:rsid w:val="004D01B3"/>
    <w:rsid w:val="004D39EB"/>
    <w:rsid w:val="004D572F"/>
    <w:rsid w:val="004E4600"/>
    <w:rsid w:val="004E70CA"/>
    <w:rsid w:val="004E7652"/>
    <w:rsid w:val="004F6F68"/>
    <w:rsid w:val="004F79F1"/>
    <w:rsid w:val="00511B36"/>
    <w:rsid w:val="00512A71"/>
    <w:rsid w:val="0051719F"/>
    <w:rsid w:val="00521C53"/>
    <w:rsid w:val="0052605A"/>
    <w:rsid w:val="00531F31"/>
    <w:rsid w:val="0053239B"/>
    <w:rsid w:val="0053480B"/>
    <w:rsid w:val="00535BB8"/>
    <w:rsid w:val="00537E41"/>
    <w:rsid w:val="00541B9E"/>
    <w:rsid w:val="005466A4"/>
    <w:rsid w:val="0055354A"/>
    <w:rsid w:val="00557096"/>
    <w:rsid w:val="0055784E"/>
    <w:rsid w:val="00560F13"/>
    <w:rsid w:val="00563F83"/>
    <w:rsid w:val="00564205"/>
    <w:rsid w:val="0057146F"/>
    <w:rsid w:val="00574D12"/>
    <w:rsid w:val="005757E3"/>
    <w:rsid w:val="005832E5"/>
    <w:rsid w:val="00585C0B"/>
    <w:rsid w:val="00585E0F"/>
    <w:rsid w:val="00592B8C"/>
    <w:rsid w:val="005979FC"/>
    <w:rsid w:val="005A27C6"/>
    <w:rsid w:val="005A6AA5"/>
    <w:rsid w:val="005A6DF8"/>
    <w:rsid w:val="005B493A"/>
    <w:rsid w:val="005C162D"/>
    <w:rsid w:val="005C47F9"/>
    <w:rsid w:val="005C4F10"/>
    <w:rsid w:val="005C5FCD"/>
    <w:rsid w:val="005F44C3"/>
    <w:rsid w:val="005F79E0"/>
    <w:rsid w:val="005F7F22"/>
    <w:rsid w:val="006035DA"/>
    <w:rsid w:val="00603B02"/>
    <w:rsid w:val="00611942"/>
    <w:rsid w:val="00616493"/>
    <w:rsid w:val="00622C2B"/>
    <w:rsid w:val="0063362E"/>
    <w:rsid w:val="006419E8"/>
    <w:rsid w:val="00642883"/>
    <w:rsid w:val="00647090"/>
    <w:rsid w:val="00657D5D"/>
    <w:rsid w:val="0066424F"/>
    <w:rsid w:val="00664E2A"/>
    <w:rsid w:val="00667233"/>
    <w:rsid w:val="006763EC"/>
    <w:rsid w:val="00680A7A"/>
    <w:rsid w:val="006869CF"/>
    <w:rsid w:val="00694AB9"/>
    <w:rsid w:val="00694BCF"/>
    <w:rsid w:val="00695311"/>
    <w:rsid w:val="006A07A2"/>
    <w:rsid w:val="006B43D1"/>
    <w:rsid w:val="006B6050"/>
    <w:rsid w:val="006D71CD"/>
    <w:rsid w:val="006E4DDD"/>
    <w:rsid w:val="006E4FE8"/>
    <w:rsid w:val="006F0A87"/>
    <w:rsid w:val="006F49F3"/>
    <w:rsid w:val="006F4B6D"/>
    <w:rsid w:val="006F54EB"/>
    <w:rsid w:val="006F732B"/>
    <w:rsid w:val="0070242B"/>
    <w:rsid w:val="00703B66"/>
    <w:rsid w:val="00706317"/>
    <w:rsid w:val="007143A8"/>
    <w:rsid w:val="00716E35"/>
    <w:rsid w:val="00720AC3"/>
    <w:rsid w:val="00721354"/>
    <w:rsid w:val="00721806"/>
    <w:rsid w:val="00721862"/>
    <w:rsid w:val="00733A24"/>
    <w:rsid w:val="00735317"/>
    <w:rsid w:val="00743315"/>
    <w:rsid w:val="007433CD"/>
    <w:rsid w:val="00756E3A"/>
    <w:rsid w:val="007651BC"/>
    <w:rsid w:val="00766FD2"/>
    <w:rsid w:val="00772F08"/>
    <w:rsid w:val="00772F68"/>
    <w:rsid w:val="007737CB"/>
    <w:rsid w:val="00775CFC"/>
    <w:rsid w:val="007861D5"/>
    <w:rsid w:val="007865A5"/>
    <w:rsid w:val="007947CC"/>
    <w:rsid w:val="00797095"/>
    <w:rsid w:val="007A0749"/>
    <w:rsid w:val="007A1EFF"/>
    <w:rsid w:val="007A5559"/>
    <w:rsid w:val="007A5596"/>
    <w:rsid w:val="007A68DC"/>
    <w:rsid w:val="007B273E"/>
    <w:rsid w:val="007C12ED"/>
    <w:rsid w:val="007C723D"/>
    <w:rsid w:val="007D03AF"/>
    <w:rsid w:val="007D0F26"/>
    <w:rsid w:val="007D136F"/>
    <w:rsid w:val="007D68EF"/>
    <w:rsid w:val="007F4A9F"/>
    <w:rsid w:val="007F779E"/>
    <w:rsid w:val="00801237"/>
    <w:rsid w:val="00803899"/>
    <w:rsid w:val="00803D6D"/>
    <w:rsid w:val="00810188"/>
    <w:rsid w:val="008109F9"/>
    <w:rsid w:val="008128C6"/>
    <w:rsid w:val="00821CE4"/>
    <w:rsid w:val="00827C2B"/>
    <w:rsid w:val="00831002"/>
    <w:rsid w:val="0083323F"/>
    <w:rsid w:val="00834C65"/>
    <w:rsid w:val="00841C4C"/>
    <w:rsid w:val="00843239"/>
    <w:rsid w:val="0084491A"/>
    <w:rsid w:val="0084748E"/>
    <w:rsid w:val="008515A5"/>
    <w:rsid w:val="008516CA"/>
    <w:rsid w:val="0085365A"/>
    <w:rsid w:val="00853666"/>
    <w:rsid w:val="00854854"/>
    <w:rsid w:val="008558C8"/>
    <w:rsid w:val="0085691A"/>
    <w:rsid w:val="00857363"/>
    <w:rsid w:val="00861281"/>
    <w:rsid w:val="00862B69"/>
    <w:rsid w:val="008707A5"/>
    <w:rsid w:val="008738B0"/>
    <w:rsid w:val="008739FA"/>
    <w:rsid w:val="0087430B"/>
    <w:rsid w:val="00877E6E"/>
    <w:rsid w:val="00883F56"/>
    <w:rsid w:val="008844D4"/>
    <w:rsid w:val="008862EE"/>
    <w:rsid w:val="00886CEA"/>
    <w:rsid w:val="0088746B"/>
    <w:rsid w:val="00893609"/>
    <w:rsid w:val="00894E85"/>
    <w:rsid w:val="0089630A"/>
    <w:rsid w:val="008A0887"/>
    <w:rsid w:val="008A0C0E"/>
    <w:rsid w:val="008B1735"/>
    <w:rsid w:val="008B6D89"/>
    <w:rsid w:val="008B6FD5"/>
    <w:rsid w:val="008B7E12"/>
    <w:rsid w:val="008C780C"/>
    <w:rsid w:val="008D1E5A"/>
    <w:rsid w:val="008D2DCC"/>
    <w:rsid w:val="008D58BF"/>
    <w:rsid w:val="008D77C5"/>
    <w:rsid w:val="008E6AC2"/>
    <w:rsid w:val="008E6BED"/>
    <w:rsid w:val="008F5F94"/>
    <w:rsid w:val="00900A1D"/>
    <w:rsid w:val="00913A39"/>
    <w:rsid w:val="009144D0"/>
    <w:rsid w:val="00916958"/>
    <w:rsid w:val="009235D3"/>
    <w:rsid w:val="00927208"/>
    <w:rsid w:val="009275CB"/>
    <w:rsid w:val="00932539"/>
    <w:rsid w:val="00932829"/>
    <w:rsid w:val="00933B5B"/>
    <w:rsid w:val="0093470A"/>
    <w:rsid w:val="00952E52"/>
    <w:rsid w:val="00954D11"/>
    <w:rsid w:val="00961EF3"/>
    <w:rsid w:val="00965040"/>
    <w:rsid w:val="00965764"/>
    <w:rsid w:val="00966FF9"/>
    <w:rsid w:val="009733B2"/>
    <w:rsid w:val="009746D2"/>
    <w:rsid w:val="00975E3B"/>
    <w:rsid w:val="00981B05"/>
    <w:rsid w:val="009828F8"/>
    <w:rsid w:val="00982942"/>
    <w:rsid w:val="0098638D"/>
    <w:rsid w:val="00992626"/>
    <w:rsid w:val="00995A80"/>
    <w:rsid w:val="009A1805"/>
    <w:rsid w:val="009A45D9"/>
    <w:rsid w:val="009A5968"/>
    <w:rsid w:val="009A617A"/>
    <w:rsid w:val="009B0793"/>
    <w:rsid w:val="009B20C9"/>
    <w:rsid w:val="009B2A38"/>
    <w:rsid w:val="009B2F9F"/>
    <w:rsid w:val="009B2FF2"/>
    <w:rsid w:val="009B358F"/>
    <w:rsid w:val="009B5C5C"/>
    <w:rsid w:val="009B7AF2"/>
    <w:rsid w:val="009C02EA"/>
    <w:rsid w:val="009C23A9"/>
    <w:rsid w:val="009D10EB"/>
    <w:rsid w:val="009D3F72"/>
    <w:rsid w:val="009D4E7B"/>
    <w:rsid w:val="009D4FF9"/>
    <w:rsid w:val="009D7344"/>
    <w:rsid w:val="009D7474"/>
    <w:rsid w:val="009E08C4"/>
    <w:rsid w:val="009E5D3E"/>
    <w:rsid w:val="009E655B"/>
    <w:rsid w:val="009E7FAC"/>
    <w:rsid w:val="009F0199"/>
    <w:rsid w:val="009F69E0"/>
    <w:rsid w:val="009F780B"/>
    <w:rsid w:val="00A018D9"/>
    <w:rsid w:val="00A07B6D"/>
    <w:rsid w:val="00A17948"/>
    <w:rsid w:val="00A22B9D"/>
    <w:rsid w:val="00A2364D"/>
    <w:rsid w:val="00A26A09"/>
    <w:rsid w:val="00A27DC5"/>
    <w:rsid w:val="00A3064A"/>
    <w:rsid w:val="00A31387"/>
    <w:rsid w:val="00A414C9"/>
    <w:rsid w:val="00A424FF"/>
    <w:rsid w:val="00A4753E"/>
    <w:rsid w:val="00A60753"/>
    <w:rsid w:val="00A65A9E"/>
    <w:rsid w:val="00A65EF9"/>
    <w:rsid w:val="00A76D74"/>
    <w:rsid w:val="00A82C07"/>
    <w:rsid w:val="00A83FD2"/>
    <w:rsid w:val="00A90619"/>
    <w:rsid w:val="00A930D4"/>
    <w:rsid w:val="00A933FC"/>
    <w:rsid w:val="00A97763"/>
    <w:rsid w:val="00AA24F7"/>
    <w:rsid w:val="00AA2C6E"/>
    <w:rsid w:val="00AA6027"/>
    <w:rsid w:val="00AA614C"/>
    <w:rsid w:val="00AB0059"/>
    <w:rsid w:val="00AB5EEF"/>
    <w:rsid w:val="00AD1A12"/>
    <w:rsid w:val="00AD3DCD"/>
    <w:rsid w:val="00AD48F3"/>
    <w:rsid w:val="00AE17FE"/>
    <w:rsid w:val="00AE1F78"/>
    <w:rsid w:val="00AE2ACA"/>
    <w:rsid w:val="00AE2EB5"/>
    <w:rsid w:val="00AE31E2"/>
    <w:rsid w:val="00AE47C0"/>
    <w:rsid w:val="00AF79DD"/>
    <w:rsid w:val="00AF7DFC"/>
    <w:rsid w:val="00B00E7B"/>
    <w:rsid w:val="00B043D8"/>
    <w:rsid w:val="00B04A5F"/>
    <w:rsid w:val="00B10D7C"/>
    <w:rsid w:val="00B176AC"/>
    <w:rsid w:val="00B20318"/>
    <w:rsid w:val="00B2126D"/>
    <w:rsid w:val="00B2494A"/>
    <w:rsid w:val="00B26362"/>
    <w:rsid w:val="00B34C11"/>
    <w:rsid w:val="00B34C3E"/>
    <w:rsid w:val="00B35B9D"/>
    <w:rsid w:val="00B438DF"/>
    <w:rsid w:val="00B4418B"/>
    <w:rsid w:val="00B4465A"/>
    <w:rsid w:val="00B44BA3"/>
    <w:rsid w:val="00B4531B"/>
    <w:rsid w:val="00B470DC"/>
    <w:rsid w:val="00B476C7"/>
    <w:rsid w:val="00B52DBA"/>
    <w:rsid w:val="00B5561E"/>
    <w:rsid w:val="00B57724"/>
    <w:rsid w:val="00B610D7"/>
    <w:rsid w:val="00B6758E"/>
    <w:rsid w:val="00B71623"/>
    <w:rsid w:val="00B75E4B"/>
    <w:rsid w:val="00B80B98"/>
    <w:rsid w:val="00B81629"/>
    <w:rsid w:val="00B83BB3"/>
    <w:rsid w:val="00B83F69"/>
    <w:rsid w:val="00B85A1F"/>
    <w:rsid w:val="00B86922"/>
    <w:rsid w:val="00B90CE7"/>
    <w:rsid w:val="00B95CA4"/>
    <w:rsid w:val="00BA2F9B"/>
    <w:rsid w:val="00BA73EF"/>
    <w:rsid w:val="00BA7BF1"/>
    <w:rsid w:val="00BB4C5B"/>
    <w:rsid w:val="00BB4FD5"/>
    <w:rsid w:val="00BB6674"/>
    <w:rsid w:val="00BC055A"/>
    <w:rsid w:val="00BC0D37"/>
    <w:rsid w:val="00BC2718"/>
    <w:rsid w:val="00BC7691"/>
    <w:rsid w:val="00BD1533"/>
    <w:rsid w:val="00BD3C31"/>
    <w:rsid w:val="00BD6DF6"/>
    <w:rsid w:val="00BE091B"/>
    <w:rsid w:val="00BF2CC2"/>
    <w:rsid w:val="00BF4495"/>
    <w:rsid w:val="00C23341"/>
    <w:rsid w:val="00C2491D"/>
    <w:rsid w:val="00C26032"/>
    <w:rsid w:val="00C348E8"/>
    <w:rsid w:val="00C34C16"/>
    <w:rsid w:val="00C3507E"/>
    <w:rsid w:val="00C35617"/>
    <w:rsid w:val="00C35969"/>
    <w:rsid w:val="00C36C70"/>
    <w:rsid w:val="00C37404"/>
    <w:rsid w:val="00C44756"/>
    <w:rsid w:val="00C44C65"/>
    <w:rsid w:val="00C44D14"/>
    <w:rsid w:val="00C61E4B"/>
    <w:rsid w:val="00C6635C"/>
    <w:rsid w:val="00C84379"/>
    <w:rsid w:val="00C85ED7"/>
    <w:rsid w:val="00C86612"/>
    <w:rsid w:val="00C907BC"/>
    <w:rsid w:val="00C94ADA"/>
    <w:rsid w:val="00C972A1"/>
    <w:rsid w:val="00CB0963"/>
    <w:rsid w:val="00CB207F"/>
    <w:rsid w:val="00CC0550"/>
    <w:rsid w:val="00CC6C31"/>
    <w:rsid w:val="00CC7743"/>
    <w:rsid w:val="00CD180D"/>
    <w:rsid w:val="00CD6F77"/>
    <w:rsid w:val="00CE23BA"/>
    <w:rsid w:val="00CE7958"/>
    <w:rsid w:val="00CF4356"/>
    <w:rsid w:val="00D00632"/>
    <w:rsid w:val="00D0662B"/>
    <w:rsid w:val="00D06C3F"/>
    <w:rsid w:val="00D14569"/>
    <w:rsid w:val="00D1652E"/>
    <w:rsid w:val="00D21559"/>
    <w:rsid w:val="00D21AAB"/>
    <w:rsid w:val="00D22D36"/>
    <w:rsid w:val="00D23E04"/>
    <w:rsid w:val="00D31C50"/>
    <w:rsid w:val="00D371CB"/>
    <w:rsid w:val="00D4484C"/>
    <w:rsid w:val="00D5534B"/>
    <w:rsid w:val="00D63C84"/>
    <w:rsid w:val="00D64888"/>
    <w:rsid w:val="00D663C0"/>
    <w:rsid w:val="00D70621"/>
    <w:rsid w:val="00D71315"/>
    <w:rsid w:val="00D74C84"/>
    <w:rsid w:val="00D775C4"/>
    <w:rsid w:val="00D8098D"/>
    <w:rsid w:val="00D873F9"/>
    <w:rsid w:val="00D94BAC"/>
    <w:rsid w:val="00DA51DA"/>
    <w:rsid w:val="00DB0924"/>
    <w:rsid w:val="00DB7935"/>
    <w:rsid w:val="00DC2889"/>
    <w:rsid w:val="00DC3EDB"/>
    <w:rsid w:val="00DD2E04"/>
    <w:rsid w:val="00DD444F"/>
    <w:rsid w:val="00DD6C8E"/>
    <w:rsid w:val="00DD7DD4"/>
    <w:rsid w:val="00DE092A"/>
    <w:rsid w:val="00DE2524"/>
    <w:rsid w:val="00DE3CC8"/>
    <w:rsid w:val="00DE3F60"/>
    <w:rsid w:val="00DE5F12"/>
    <w:rsid w:val="00DF2B5E"/>
    <w:rsid w:val="00E06E50"/>
    <w:rsid w:val="00E0731E"/>
    <w:rsid w:val="00E0747B"/>
    <w:rsid w:val="00E11980"/>
    <w:rsid w:val="00E13B89"/>
    <w:rsid w:val="00E155EA"/>
    <w:rsid w:val="00E1623B"/>
    <w:rsid w:val="00E17BC1"/>
    <w:rsid w:val="00E23820"/>
    <w:rsid w:val="00E259CD"/>
    <w:rsid w:val="00E266D5"/>
    <w:rsid w:val="00E27629"/>
    <w:rsid w:val="00E31483"/>
    <w:rsid w:val="00E3174B"/>
    <w:rsid w:val="00E36AFD"/>
    <w:rsid w:val="00E402B8"/>
    <w:rsid w:val="00E43DF6"/>
    <w:rsid w:val="00E456AB"/>
    <w:rsid w:val="00E5609D"/>
    <w:rsid w:val="00E62919"/>
    <w:rsid w:val="00E6389A"/>
    <w:rsid w:val="00E724FC"/>
    <w:rsid w:val="00E75472"/>
    <w:rsid w:val="00E8134B"/>
    <w:rsid w:val="00E85D85"/>
    <w:rsid w:val="00E9047E"/>
    <w:rsid w:val="00E930BA"/>
    <w:rsid w:val="00EA04BC"/>
    <w:rsid w:val="00EA47BC"/>
    <w:rsid w:val="00EA6DB9"/>
    <w:rsid w:val="00EB14EC"/>
    <w:rsid w:val="00EC089D"/>
    <w:rsid w:val="00EC1D7A"/>
    <w:rsid w:val="00EC4083"/>
    <w:rsid w:val="00ED027D"/>
    <w:rsid w:val="00ED2DEF"/>
    <w:rsid w:val="00ED61CF"/>
    <w:rsid w:val="00ED7CF3"/>
    <w:rsid w:val="00EE0B02"/>
    <w:rsid w:val="00EE4455"/>
    <w:rsid w:val="00EE4CEA"/>
    <w:rsid w:val="00EF37FB"/>
    <w:rsid w:val="00EF474E"/>
    <w:rsid w:val="00EF6F64"/>
    <w:rsid w:val="00F0498D"/>
    <w:rsid w:val="00F125B9"/>
    <w:rsid w:val="00F258E4"/>
    <w:rsid w:val="00F259EE"/>
    <w:rsid w:val="00F259F7"/>
    <w:rsid w:val="00F326FB"/>
    <w:rsid w:val="00F4108E"/>
    <w:rsid w:val="00F4691E"/>
    <w:rsid w:val="00F51FC5"/>
    <w:rsid w:val="00F53533"/>
    <w:rsid w:val="00F53F78"/>
    <w:rsid w:val="00F55F1B"/>
    <w:rsid w:val="00F56880"/>
    <w:rsid w:val="00F574EC"/>
    <w:rsid w:val="00F66424"/>
    <w:rsid w:val="00F74777"/>
    <w:rsid w:val="00F95567"/>
    <w:rsid w:val="00F969FB"/>
    <w:rsid w:val="00FA5E76"/>
    <w:rsid w:val="00FB5D7D"/>
    <w:rsid w:val="00FB5DC0"/>
    <w:rsid w:val="00FD2488"/>
    <w:rsid w:val="00FE222E"/>
    <w:rsid w:val="00FE396E"/>
    <w:rsid w:val="00FF1883"/>
    <w:rsid w:val="00FF1940"/>
    <w:rsid w:val="00FF1F36"/>
    <w:rsid w:val="00FF4899"/>
    <w:rsid w:val="00FF5BB9"/>
    <w:rsid w:val="00FF5E9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DD54"/>
  <w15:docId w15:val="{D5C86A43-D7DE-4E53-B69C-5515817F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locked="0"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4568FF"/>
    <w:rPr>
      <w:rFonts w:ascii="Times New Roman" w:eastAsia="Times New Roman" w:hAnsi="Times New Roman"/>
      <w:sz w:val="24"/>
      <w:szCs w:val="24"/>
      <w:lang w:eastAsia="en-GB"/>
    </w:rPr>
  </w:style>
  <w:style w:type="paragraph" w:styleId="Nadpis1">
    <w:name w:val="heading 1"/>
    <w:basedOn w:val="Normln"/>
    <w:next w:val="Normln"/>
    <w:link w:val="Nadpis1Char"/>
    <w:uiPriority w:val="9"/>
    <w:locked/>
    <w:rsid w:val="00694A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locked/>
    <w:rsid w:val="00933B5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BaseText">
    <w:name w:val="C-BaseText"/>
    <w:qFormat/>
    <w:rsid w:val="004D39EB"/>
    <w:pPr>
      <w:spacing w:after="120" w:line="240" w:lineRule="atLeast"/>
      <w:jc w:val="both"/>
    </w:pPr>
    <w:rPr>
      <w:rFonts w:ascii="Constantia" w:hAnsi="Constantia"/>
      <w:szCs w:val="22"/>
      <w:lang w:val="en-GB" w:eastAsia="en-US"/>
    </w:rPr>
  </w:style>
  <w:style w:type="paragraph" w:customStyle="1" w:styleId="Int-AllHeadings">
    <w:name w:val="Int-AllHeadings"/>
    <w:basedOn w:val="C-BaseText"/>
    <w:rsid w:val="00A414C9"/>
    <w:pPr>
      <w:keepNext/>
      <w:keepLines/>
      <w:suppressAutoHyphens/>
      <w:jc w:val="left"/>
    </w:pPr>
    <w:rPr>
      <w:b/>
    </w:rPr>
  </w:style>
  <w:style w:type="paragraph" w:customStyle="1" w:styleId="C-HeadOfArticle">
    <w:name w:val="C-HeadOfArticle"/>
    <w:basedOn w:val="Int-AllHeadings"/>
    <w:next w:val="C-ArticleAuthor"/>
    <w:rsid w:val="007F779E"/>
    <w:pPr>
      <w:pageBreakBefore/>
      <w:spacing w:after="360" w:line="360" w:lineRule="atLeast"/>
      <w:jc w:val="center"/>
      <w:outlineLvl w:val="0"/>
    </w:pPr>
    <w:rPr>
      <w:sz w:val="28"/>
    </w:rPr>
  </w:style>
  <w:style w:type="paragraph" w:customStyle="1" w:styleId="C-HeadAbstrKeyw">
    <w:name w:val="C-HeadAbstrKeyw"/>
    <w:basedOn w:val="Int-AllHeadings"/>
    <w:rsid w:val="001E03A3"/>
    <w:pPr>
      <w:spacing w:before="360" w:after="140" w:line="280" w:lineRule="atLeast"/>
    </w:pPr>
    <w:rPr>
      <w:b w:val="0"/>
      <w:caps/>
      <w:sz w:val="24"/>
    </w:rPr>
  </w:style>
  <w:style w:type="paragraph" w:customStyle="1" w:styleId="C-ArticleAuthor">
    <w:name w:val="C-ArticleAuthor"/>
    <w:basedOn w:val="C-BaseText"/>
    <w:next w:val="C-HeadAbstrKeyw"/>
    <w:rsid w:val="007F779E"/>
    <w:pPr>
      <w:spacing w:after="360" w:line="360" w:lineRule="atLeast"/>
      <w:jc w:val="center"/>
    </w:pPr>
    <w:rPr>
      <w:i/>
      <w:sz w:val="28"/>
    </w:rPr>
  </w:style>
  <w:style w:type="paragraph" w:customStyle="1" w:styleId="C-AuthorAddress">
    <w:name w:val="C-AuthorAddress"/>
    <w:basedOn w:val="C-BaseText"/>
    <w:rsid w:val="007F779E"/>
    <w:pPr>
      <w:spacing w:before="120" w:after="480"/>
      <w:jc w:val="center"/>
    </w:pPr>
  </w:style>
  <w:style w:type="paragraph" w:customStyle="1" w:styleId="C-AbstractOriginal">
    <w:name w:val="C-AbstractOriginal"/>
    <w:basedOn w:val="C-BaseText"/>
    <w:rsid w:val="00365218"/>
    <w:rPr>
      <w:sz w:val="22"/>
    </w:rPr>
  </w:style>
  <w:style w:type="paragraph" w:customStyle="1" w:styleId="C-BaseEnglishText">
    <w:name w:val="C-BaseEnglishText"/>
    <w:qFormat/>
    <w:rsid w:val="00365218"/>
    <w:pPr>
      <w:spacing w:after="120"/>
      <w:jc w:val="both"/>
    </w:pPr>
    <w:rPr>
      <w:rFonts w:ascii="Constantia" w:hAnsi="Constantia"/>
      <w:sz w:val="22"/>
      <w:szCs w:val="22"/>
      <w:lang w:val="en-GB" w:eastAsia="en-US"/>
    </w:rPr>
  </w:style>
  <w:style w:type="paragraph" w:customStyle="1" w:styleId="C-AbstractEnglish">
    <w:name w:val="C-AbstractEnglish"/>
    <w:basedOn w:val="C-BaseEnglishText"/>
    <w:rsid w:val="001E03A3"/>
  </w:style>
  <w:style w:type="paragraph" w:customStyle="1" w:styleId="C-HeadContact">
    <w:name w:val="C-HeadContact"/>
    <w:basedOn w:val="Int-AllHeadings"/>
    <w:next w:val="C-Contact"/>
    <w:rsid w:val="009B20C9"/>
    <w:pPr>
      <w:spacing w:before="360" w:after="240"/>
    </w:pPr>
    <w:rPr>
      <w:b w:val="0"/>
      <w:sz w:val="24"/>
    </w:rPr>
  </w:style>
  <w:style w:type="paragraph" w:customStyle="1" w:styleId="C-Contact">
    <w:name w:val="C-Contact"/>
    <w:basedOn w:val="C-BaseEnglishText"/>
    <w:rsid w:val="001E03A3"/>
    <w:pPr>
      <w:jc w:val="center"/>
    </w:pPr>
    <w:rPr>
      <w:i/>
    </w:rPr>
  </w:style>
  <w:style w:type="paragraph" w:customStyle="1" w:styleId="C-HeadLiterature">
    <w:name w:val="C-HeadLiterature"/>
    <w:basedOn w:val="C-HeadAbstrKeyw"/>
    <w:rsid w:val="009B20C9"/>
  </w:style>
  <w:style w:type="paragraph" w:customStyle="1" w:styleId="C-Literature">
    <w:name w:val="C-Literature"/>
    <w:basedOn w:val="C-BaseText"/>
    <w:qFormat/>
    <w:rsid w:val="009B20C9"/>
    <w:pPr>
      <w:numPr>
        <w:numId w:val="1"/>
      </w:numPr>
      <w:jc w:val="left"/>
    </w:pPr>
  </w:style>
  <w:style w:type="paragraph" w:customStyle="1" w:styleId="C-KeywEnglish">
    <w:name w:val="C-KeywEnglish"/>
    <w:basedOn w:val="C-AbstractEnglish"/>
    <w:next w:val="C-BaseText"/>
    <w:rsid w:val="00E27629"/>
    <w:pPr>
      <w:spacing w:after="600"/>
    </w:pPr>
  </w:style>
  <w:style w:type="paragraph" w:customStyle="1" w:styleId="C-Heading1">
    <w:name w:val="C-Heading1"/>
    <w:basedOn w:val="Int-AllHeadings"/>
    <w:next w:val="C-BaseText"/>
    <w:qFormat/>
    <w:rsid w:val="00B20318"/>
    <w:pPr>
      <w:spacing w:before="360" w:after="240" w:line="280" w:lineRule="atLeast"/>
    </w:pPr>
    <w:rPr>
      <w:sz w:val="24"/>
    </w:rPr>
  </w:style>
  <w:style w:type="paragraph" w:customStyle="1" w:styleId="C-Heading2">
    <w:name w:val="C-Heading2"/>
    <w:basedOn w:val="Int-AllHeadings"/>
    <w:next w:val="C-BaseText"/>
    <w:qFormat/>
    <w:rsid w:val="009B2F9F"/>
    <w:pPr>
      <w:spacing w:before="240" w:line="280" w:lineRule="atLeast"/>
    </w:pPr>
    <w:rPr>
      <w:sz w:val="24"/>
    </w:rPr>
  </w:style>
  <w:style w:type="paragraph" w:customStyle="1" w:styleId="C-Heading3">
    <w:name w:val="C-Heading3"/>
    <w:basedOn w:val="Int-AllHeadings"/>
    <w:next w:val="C-BaseText"/>
    <w:qFormat/>
    <w:rsid w:val="009B2F9F"/>
    <w:pPr>
      <w:spacing w:before="240"/>
    </w:pPr>
  </w:style>
  <w:style w:type="paragraph" w:customStyle="1" w:styleId="C-HeadingNumbered1">
    <w:name w:val="C-HeadingNumbered 1"/>
    <w:basedOn w:val="C-Heading1"/>
    <w:qFormat/>
    <w:rsid w:val="00365218"/>
    <w:pPr>
      <w:numPr>
        <w:numId w:val="2"/>
      </w:numPr>
    </w:pPr>
    <w:rPr>
      <w:sz w:val="22"/>
    </w:rPr>
  </w:style>
  <w:style w:type="paragraph" w:customStyle="1" w:styleId="C-HeadingNumbered2">
    <w:name w:val="C-HeadingNumbered 2"/>
    <w:basedOn w:val="C-Heading2"/>
    <w:next w:val="C-BaseText"/>
    <w:qFormat/>
    <w:rsid w:val="00365218"/>
    <w:pPr>
      <w:numPr>
        <w:ilvl w:val="1"/>
        <w:numId w:val="2"/>
      </w:numPr>
    </w:pPr>
    <w:rPr>
      <w:sz w:val="22"/>
    </w:rPr>
  </w:style>
  <w:style w:type="paragraph" w:customStyle="1" w:styleId="C-HeadingNumbered3">
    <w:name w:val="C-HeadingNumbered 3"/>
    <w:basedOn w:val="C-Heading3"/>
    <w:next w:val="C-BaseText"/>
    <w:qFormat/>
    <w:rsid w:val="00365218"/>
    <w:pPr>
      <w:numPr>
        <w:ilvl w:val="2"/>
        <w:numId w:val="2"/>
      </w:numPr>
    </w:pPr>
    <w:rPr>
      <w:sz w:val="22"/>
    </w:rPr>
  </w:style>
  <w:style w:type="paragraph" w:customStyle="1" w:styleId="C-ListBullet1">
    <w:name w:val="C-ListBullet 1"/>
    <w:basedOn w:val="C-BaseText"/>
    <w:qFormat/>
    <w:rsid w:val="00415B03"/>
  </w:style>
  <w:style w:type="paragraph" w:customStyle="1" w:styleId="C-ListBullet2">
    <w:name w:val="C-ListBullet 2"/>
    <w:basedOn w:val="C-BaseText"/>
    <w:qFormat/>
    <w:rsid w:val="00415B03"/>
    <w:pPr>
      <w:numPr>
        <w:numId w:val="4"/>
      </w:numPr>
      <w:ind w:left="641" w:hanging="357"/>
    </w:pPr>
  </w:style>
  <w:style w:type="paragraph" w:customStyle="1" w:styleId="C-ListBullet3">
    <w:name w:val="C-ListBullet 3"/>
    <w:basedOn w:val="C-BaseText"/>
    <w:qFormat/>
    <w:rsid w:val="00415B03"/>
    <w:pPr>
      <w:numPr>
        <w:numId w:val="5"/>
      </w:numPr>
      <w:ind w:left="924" w:hanging="357"/>
    </w:pPr>
  </w:style>
  <w:style w:type="paragraph" w:customStyle="1" w:styleId="C-ListNumbered1">
    <w:name w:val="C-ListNumbered 1"/>
    <w:basedOn w:val="C-ListBullet1"/>
    <w:qFormat/>
    <w:rsid w:val="00EC1D7A"/>
    <w:pPr>
      <w:numPr>
        <w:numId w:val="3"/>
      </w:numPr>
    </w:pPr>
  </w:style>
  <w:style w:type="paragraph" w:customStyle="1" w:styleId="C-ListNumbered2">
    <w:name w:val="C-ListNumbered 2"/>
    <w:basedOn w:val="C-ListBullet2"/>
    <w:qFormat/>
    <w:rsid w:val="00EC1D7A"/>
    <w:pPr>
      <w:numPr>
        <w:ilvl w:val="1"/>
        <w:numId w:val="3"/>
      </w:numPr>
    </w:pPr>
  </w:style>
  <w:style w:type="paragraph" w:customStyle="1" w:styleId="C-ListNumbered3">
    <w:name w:val="C-ListNumbered 3"/>
    <w:basedOn w:val="C-ListBullet3"/>
    <w:qFormat/>
    <w:rsid w:val="00EC1D7A"/>
    <w:pPr>
      <w:numPr>
        <w:ilvl w:val="2"/>
        <w:numId w:val="3"/>
      </w:numPr>
    </w:pPr>
  </w:style>
  <w:style w:type="character" w:customStyle="1" w:styleId="C-Emphasize">
    <w:name w:val="C-Emphasize"/>
    <w:uiPriority w:val="1"/>
    <w:qFormat/>
    <w:rsid w:val="00352763"/>
    <w:rPr>
      <w:i/>
    </w:rPr>
  </w:style>
  <w:style w:type="character" w:customStyle="1" w:styleId="C-StrongEmphasize">
    <w:name w:val="C-StrongEmphasize"/>
    <w:uiPriority w:val="1"/>
    <w:qFormat/>
    <w:rsid w:val="00352763"/>
    <w:rPr>
      <w:b/>
    </w:rPr>
  </w:style>
  <w:style w:type="paragraph" w:styleId="Textpoznpodarou">
    <w:name w:val="footnote text"/>
    <w:basedOn w:val="C-BaseText"/>
    <w:link w:val="TextpoznpodarouChar"/>
    <w:unhideWhenUsed/>
    <w:rsid w:val="003E42C0"/>
    <w:pPr>
      <w:spacing w:after="60" w:line="240" w:lineRule="auto"/>
    </w:pPr>
    <w:rPr>
      <w:sz w:val="16"/>
      <w:szCs w:val="20"/>
    </w:rPr>
  </w:style>
  <w:style w:type="character" w:customStyle="1" w:styleId="TextpoznpodarouChar">
    <w:name w:val="Text pozn. pod čarou Char"/>
    <w:link w:val="Textpoznpodarou"/>
    <w:rsid w:val="003E42C0"/>
    <w:rPr>
      <w:rFonts w:ascii="Constantia" w:hAnsi="Constantia"/>
      <w:sz w:val="16"/>
      <w:lang w:val="en-GB" w:eastAsia="en-US"/>
    </w:rPr>
  </w:style>
  <w:style w:type="character" w:styleId="Znakapoznpodarou">
    <w:name w:val="footnote reference"/>
    <w:uiPriority w:val="99"/>
    <w:unhideWhenUsed/>
    <w:rsid w:val="00352763"/>
    <w:rPr>
      <w:vertAlign w:val="superscript"/>
    </w:rPr>
  </w:style>
  <w:style w:type="paragraph" w:styleId="Zhlav">
    <w:name w:val="header"/>
    <w:basedOn w:val="Normln"/>
    <w:link w:val="ZhlavChar"/>
    <w:uiPriority w:val="99"/>
    <w:unhideWhenUsed/>
    <w:locked/>
    <w:rsid w:val="00352763"/>
    <w:pPr>
      <w:tabs>
        <w:tab w:val="center" w:pos="4536"/>
        <w:tab w:val="right" w:pos="9072"/>
      </w:tabs>
    </w:pPr>
  </w:style>
  <w:style w:type="character" w:customStyle="1" w:styleId="ZhlavChar">
    <w:name w:val="Záhlaví Char"/>
    <w:basedOn w:val="Standardnpsmoodstavce"/>
    <w:link w:val="Zhlav"/>
    <w:uiPriority w:val="99"/>
    <w:rsid w:val="00352763"/>
  </w:style>
  <w:style w:type="paragraph" w:styleId="Zpat">
    <w:name w:val="footer"/>
    <w:basedOn w:val="Normln"/>
    <w:link w:val="ZpatChar"/>
    <w:uiPriority w:val="99"/>
    <w:unhideWhenUsed/>
    <w:locked/>
    <w:rsid w:val="00352763"/>
    <w:pPr>
      <w:tabs>
        <w:tab w:val="center" w:pos="4536"/>
        <w:tab w:val="right" w:pos="9072"/>
      </w:tabs>
    </w:pPr>
  </w:style>
  <w:style w:type="character" w:customStyle="1" w:styleId="ZpatChar">
    <w:name w:val="Zápatí Char"/>
    <w:basedOn w:val="Standardnpsmoodstavce"/>
    <w:link w:val="Zpat"/>
    <w:uiPriority w:val="99"/>
    <w:rsid w:val="00352763"/>
  </w:style>
  <w:style w:type="paragraph" w:customStyle="1" w:styleId="C-Footer">
    <w:name w:val="C-Footer"/>
    <w:basedOn w:val="C-BaseText"/>
    <w:rsid w:val="00352763"/>
    <w:pPr>
      <w:jc w:val="center"/>
    </w:pPr>
    <w:rPr>
      <w:b/>
      <w:sz w:val="24"/>
    </w:rPr>
  </w:style>
  <w:style w:type="paragraph" w:customStyle="1" w:styleId="ZPLiteratura">
    <w:name w:val="ZP: Literatura"/>
    <w:basedOn w:val="Normln"/>
    <w:rsid w:val="00CD6F77"/>
    <w:pPr>
      <w:numPr>
        <w:numId w:val="7"/>
      </w:numPr>
      <w:spacing w:before="60" w:line="300" w:lineRule="atLeast"/>
    </w:pPr>
    <w:rPr>
      <w:rFonts w:asciiTheme="minorHAnsi" w:hAnsiTheme="minorHAnsi"/>
      <w:lang w:eastAsia="cs-CZ"/>
    </w:rPr>
  </w:style>
  <w:style w:type="character" w:styleId="Hypertextovodkaz">
    <w:name w:val="Hyperlink"/>
    <w:basedOn w:val="Standardnpsmoodstavce"/>
    <w:uiPriority w:val="99"/>
    <w:unhideWhenUsed/>
    <w:locked/>
    <w:rsid w:val="00E1623B"/>
    <w:rPr>
      <w:color w:val="0000FF" w:themeColor="hyperlink"/>
      <w:u w:val="single"/>
    </w:rPr>
  </w:style>
  <w:style w:type="character" w:styleId="Nevyeenzmnka">
    <w:name w:val="Unresolved Mention"/>
    <w:basedOn w:val="Standardnpsmoodstavce"/>
    <w:uiPriority w:val="99"/>
    <w:semiHidden/>
    <w:unhideWhenUsed/>
    <w:rsid w:val="00E1623B"/>
    <w:rPr>
      <w:color w:val="605E5C"/>
      <w:shd w:val="clear" w:color="auto" w:fill="E1DFDD"/>
    </w:rPr>
  </w:style>
  <w:style w:type="paragraph" w:styleId="Normlnweb">
    <w:name w:val="Normal (Web)"/>
    <w:basedOn w:val="Normln"/>
    <w:uiPriority w:val="99"/>
    <w:semiHidden/>
    <w:unhideWhenUsed/>
    <w:locked/>
    <w:rsid w:val="00FF5BB9"/>
  </w:style>
  <w:style w:type="paragraph" w:styleId="Textvysvtlivek">
    <w:name w:val="endnote text"/>
    <w:basedOn w:val="Normln"/>
    <w:link w:val="TextvysvtlivekChar"/>
    <w:uiPriority w:val="99"/>
    <w:semiHidden/>
    <w:unhideWhenUsed/>
    <w:locked/>
    <w:rsid w:val="005832E5"/>
    <w:rPr>
      <w:sz w:val="20"/>
      <w:szCs w:val="20"/>
    </w:rPr>
  </w:style>
  <w:style w:type="character" w:customStyle="1" w:styleId="TextvysvtlivekChar">
    <w:name w:val="Text vysvětlivek Char"/>
    <w:basedOn w:val="Standardnpsmoodstavce"/>
    <w:link w:val="Textvysvtlivek"/>
    <w:uiPriority w:val="99"/>
    <w:semiHidden/>
    <w:rsid w:val="005832E5"/>
    <w:rPr>
      <w:rFonts w:ascii="Times New Roman" w:eastAsia="Times New Roman" w:hAnsi="Times New Roman"/>
      <w:lang w:eastAsia="en-GB"/>
    </w:rPr>
  </w:style>
  <w:style w:type="character" w:styleId="Odkaznavysvtlivky">
    <w:name w:val="endnote reference"/>
    <w:basedOn w:val="Standardnpsmoodstavce"/>
    <w:uiPriority w:val="99"/>
    <w:semiHidden/>
    <w:unhideWhenUsed/>
    <w:locked/>
    <w:rsid w:val="005832E5"/>
    <w:rPr>
      <w:vertAlign w:val="superscript"/>
    </w:rPr>
  </w:style>
  <w:style w:type="character" w:customStyle="1" w:styleId="Nadpis2Char">
    <w:name w:val="Nadpis 2 Char"/>
    <w:basedOn w:val="Standardnpsmoodstavce"/>
    <w:link w:val="Nadpis2"/>
    <w:uiPriority w:val="9"/>
    <w:semiHidden/>
    <w:rsid w:val="00933B5B"/>
    <w:rPr>
      <w:rFonts w:asciiTheme="majorHAnsi" w:eastAsiaTheme="majorEastAsia" w:hAnsiTheme="majorHAnsi" w:cstheme="majorBidi"/>
      <w:color w:val="365F91" w:themeColor="accent1" w:themeShade="BF"/>
      <w:sz w:val="26"/>
      <w:szCs w:val="26"/>
      <w:lang w:eastAsia="en-GB"/>
    </w:rPr>
  </w:style>
  <w:style w:type="paragraph" w:styleId="Revize">
    <w:name w:val="Revision"/>
    <w:hidden/>
    <w:uiPriority w:val="99"/>
    <w:semiHidden/>
    <w:rsid w:val="00603B02"/>
    <w:rPr>
      <w:rFonts w:ascii="Times New Roman" w:eastAsia="Times New Roman" w:hAnsi="Times New Roman"/>
      <w:sz w:val="24"/>
      <w:szCs w:val="24"/>
      <w:lang w:eastAsia="en-GB"/>
    </w:rPr>
  </w:style>
  <w:style w:type="character" w:customStyle="1" w:styleId="Nadpis1Char">
    <w:name w:val="Nadpis 1 Char"/>
    <w:basedOn w:val="Standardnpsmoodstavce"/>
    <w:link w:val="Nadpis1"/>
    <w:uiPriority w:val="9"/>
    <w:rsid w:val="00694AB9"/>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557">
      <w:bodyDiv w:val="1"/>
      <w:marLeft w:val="0"/>
      <w:marRight w:val="0"/>
      <w:marTop w:val="0"/>
      <w:marBottom w:val="0"/>
      <w:divBdr>
        <w:top w:val="none" w:sz="0" w:space="0" w:color="auto"/>
        <w:left w:val="none" w:sz="0" w:space="0" w:color="auto"/>
        <w:bottom w:val="none" w:sz="0" w:space="0" w:color="auto"/>
        <w:right w:val="none" w:sz="0" w:space="0" w:color="auto"/>
      </w:divBdr>
    </w:div>
    <w:div w:id="21517174">
      <w:bodyDiv w:val="1"/>
      <w:marLeft w:val="0"/>
      <w:marRight w:val="0"/>
      <w:marTop w:val="0"/>
      <w:marBottom w:val="0"/>
      <w:divBdr>
        <w:top w:val="none" w:sz="0" w:space="0" w:color="auto"/>
        <w:left w:val="none" w:sz="0" w:space="0" w:color="auto"/>
        <w:bottom w:val="none" w:sz="0" w:space="0" w:color="auto"/>
        <w:right w:val="none" w:sz="0" w:space="0" w:color="auto"/>
      </w:divBdr>
    </w:div>
    <w:div w:id="22946877">
      <w:bodyDiv w:val="1"/>
      <w:marLeft w:val="0"/>
      <w:marRight w:val="0"/>
      <w:marTop w:val="0"/>
      <w:marBottom w:val="0"/>
      <w:divBdr>
        <w:top w:val="none" w:sz="0" w:space="0" w:color="auto"/>
        <w:left w:val="none" w:sz="0" w:space="0" w:color="auto"/>
        <w:bottom w:val="none" w:sz="0" w:space="0" w:color="auto"/>
        <w:right w:val="none" w:sz="0" w:space="0" w:color="auto"/>
      </w:divBdr>
      <w:divsChild>
        <w:div w:id="189417183">
          <w:marLeft w:val="0"/>
          <w:marRight w:val="0"/>
          <w:marTop w:val="0"/>
          <w:marBottom w:val="0"/>
          <w:divBdr>
            <w:top w:val="none" w:sz="0" w:space="0" w:color="auto"/>
            <w:left w:val="none" w:sz="0" w:space="0" w:color="auto"/>
            <w:bottom w:val="none" w:sz="0" w:space="0" w:color="auto"/>
            <w:right w:val="none" w:sz="0" w:space="0" w:color="auto"/>
          </w:divBdr>
          <w:divsChild>
            <w:div w:id="1671642353">
              <w:marLeft w:val="0"/>
              <w:marRight w:val="0"/>
              <w:marTop w:val="0"/>
              <w:marBottom w:val="0"/>
              <w:divBdr>
                <w:top w:val="none" w:sz="0" w:space="0" w:color="auto"/>
                <w:left w:val="none" w:sz="0" w:space="0" w:color="auto"/>
                <w:bottom w:val="none" w:sz="0" w:space="0" w:color="auto"/>
                <w:right w:val="none" w:sz="0" w:space="0" w:color="auto"/>
              </w:divBdr>
              <w:divsChild>
                <w:div w:id="6992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5683">
      <w:bodyDiv w:val="1"/>
      <w:marLeft w:val="0"/>
      <w:marRight w:val="0"/>
      <w:marTop w:val="0"/>
      <w:marBottom w:val="0"/>
      <w:divBdr>
        <w:top w:val="none" w:sz="0" w:space="0" w:color="auto"/>
        <w:left w:val="none" w:sz="0" w:space="0" w:color="auto"/>
        <w:bottom w:val="none" w:sz="0" w:space="0" w:color="auto"/>
        <w:right w:val="none" w:sz="0" w:space="0" w:color="auto"/>
      </w:divBdr>
    </w:div>
    <w:div w:id="26688471">
      <w:bodyDiv w:val="1"/>
      <w:marLeft w:val="0"/>
      <w:marRight w:val="0"/>
      <w:marTop w:val="0"/>
      <w:marBottom w:val="0"/>
      <w:divBdr>
        <w:top w:val="none" w:sz="0" w:space="0" w:color="auto"/>
        <w:left w:val="none" w:sz="0" w:space="0" w:color="auto"/>
        <w:bottom w:val="none" w:sz="0" w:space="0" w:color="auto"/>
        <w:right w:val="none" w:sz="0" w:space="0" w:color="auto"/>
      </w:divBdr>
    </w:div>
    <w:div w:id="34813901">
      <w:bodyDiv w:val="1"/>
      <w:marLeft w:val="0"/>
      <w:marRight w:val="0"/>
      <w:marTop w:val="0"/>
      <w:marBottom w:val="0"/>
      <w:divBdr>
        <w:top w:val="none" w:sz="0" w:space="0" w:color="auto"/>
        <w:left w:val="none" w:sz="0" w:space="0" w:color="auto"/>
        <w:bottom w:val="none" w:sz="0" w:space="0" w:color="auto"/>
        <w:right w:val="none" w:sz="0" w:space="0" w:color="auto"/>
      </w:divBdr>
    </w:div>
    <w:div w:id="38825243">
      <w:bodyDiv w:val="1"/>
      <w:marLeft w:val="0"/>
      <w:marRight w:val="0"/>
      <w:marTop w:val="0"/>
      <w:marBottom w:val="0"/>
      <w:divBdr>
        <w:top w:val="none" w:sz="0" w:space="0" w:color="auto"/>
        <w:left w:val="none" w:sz="0" w:space="0" w:color="auto"/>
        <w:bottom w:val="none" w:sz="0" w:space="0" w:color="auto"/>
        <w:right w:val="none" w:sz="0" w:space="0" w:color="auto"/>
      </w:divBdr>
      <w:divsChild>
        <w:div w:id="1473715565">
          <w:marLeft w:val="0"/>
          <w:marRight w:val="0"/>
          <w:marTop w:val="0"/>
          <w:marBottom w:val="0"/>
          <w:divBdr>
            <w:top w:val="none" w:sz="0" w:space="0" w:color="auto"/>
            <w:left w:val="none" w:sz="0" w:space="0" w:color="auto"/>
            <w:bottom w:val="none" w:sz="0" w:space="0" w:color="auto"/>
            <w:right w:val="none" w:sz="0" w:space="0" w:color="auto"/>
          </w:divBdr>
          <w:divsChild>
            <w:div w:id="147325791">
              <w:marLeft w:val="0"/>
              <w:marRight w:val="0"/>
              <w:marTop w:val="0"/>
              <w:marBottom w:val="0"/>
              <w:divBdr>
                <w:top w:val="none" w:sz="0" w:space="0" w:color="auto"/>
                <w:left w:val="none" w:sz="0" w:space="0" w:color="auto"/>
                <w:bottom w:val="none" w:sz="0" w:space="0" w:color="auto"/>
                <w:right w:val="none" w:sz="0" w:space="0" w:color="auto"/>
              </w:divBdr>
              <w:divsChild>
                <w:div w:id="5288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6235">
      <w:bodyDiv w:val="1"/>
      <w:marLeft w:val="0"/>
      <w:marRight w:val="0"/>
      <w:marTop w:val="0"/>
      <w:marBottom w:val="0"/>
      <w:divBdr>
        <w:top w:val="none" w:sz="0" w:space="0" w:color="auto"/>
        <w:left w:val="none" w:sz="0" w:space="0" w:color="auto"/>
        <w:bottom w:val="none" w:sz="0" w:space="0" w:color="auto"/>
        <w:right w:val="none" w:sz="0" w:space="0" w:color="auto"/>
      </w:divBdr>
      <w:divsChild>
        <w:div w:id="1861969644">
          <w:marLeft w:val="0"/>
          <w:marRight w:val="0"/>
          <w:marTop w:val="0"/>
          <w:marBottom w:val="0"/>
          <w:divBdr>
            <w:top w:val="none" w:sz="0" w:space="0" w:color="auto"/>
            <w:left w:val="none" w:sz="0" w:space="0" w:color="auto"/>
            <w:bottom w:val="none" w:sz="0" w:space="0" w:color="auto"/>
            <w:right w:val="none" w:sz="0" w:space="0" w:color="auto"/>
          </w:divBdr>
          <w:divsChild>
            <w:div w:id="140078067">
              <w:marLeft w:val="0"/>
              <w:marRight w:val="0"/>
              <w:marTop w:val="0"/>
              <w:marBottom w:val="0"/>
              <w:divBdr>
                <w:top w:val="none" w:sz="0" w:space="0" w:color="auto"/>
                <w:left w:val="none" w:sz="0" w:space="0" w:color="auto"/>
                <w:bottom w:val="none" w:sz="0" w:space="0" w:color="auto"/>
                <w:right w:val="none" w:sz="0" w:space="0" w:color="auto"/>
              </w:divBdr>
              <w:divsChild>
                <w:div w:id="2879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0390">
      <w:bodyDiv w:val="1"/>
      <w:marLeft w:val="0"/>
      <w:marRight w:val="0"/>
      <w:marTop w:val="0"/>
      <w:marBottom w:val="0"/>
      <w:divBdr>
        <w:top w:val="none" w:sz="0" w:space="0" w:color="auto"/>
        <w:left w:val="none" w:sz="0" w:space="0" w:color="auto"/>
        <w:bottom w:val="none" w:sz="0" w:space="0" w:color="auto"/>
        <w:right w:val="none" w:sz="0" w:space="0" w:color="auto"/>
      </w:divBdr>
      <w:divsChild>
        <w:div w:id="2136755078">
          <w:marLeft w:val="0"/>
          <w:marRight w:val="0"/>
          <w:marTop w:val="0"/>
          <w:marBottom w:val="0"/>
          <w:divBdr>
            <w:top w:val="none" w:sz="0" w:space="0" w:color="auto"/>
            <w:left w:val="none" w:sz="0" w:space="0" w:color="auto"/>
            <w:bottom w:val="none" w:sz="0" w:space="0" w:color="auto"/>
            <w:right w:val="none" w:sz="0" w:space="0" w:color="auto"/>
          </w:divBdr>
          <w:divsChild>
            <w:div w:id="2124570294">
              <w:marLeft w:val="0"/>
              <w:marRight w:val="0"/>
              <w:marTop w:val="0"/>
              <w:marBottom w:val="0"/>
              <w:divBdr>
                <w:top w:val="none" w:sz="0" w:space="0" w:color="auto"/>
                <w:left w:val="none" w:sz="0" w:space="0" w:color="auto"/>
                <w:bottom w:val="none" w:sz="0" w:space="0" w:color="auto"/>
                <w:right w:val="none" w:sz="0" w:space="0" w:color="auto"/>
              </w:divBdr>
              <w:divsChild>
                <w:div w:id="4067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3050">
      <w:bodyDiv w:val="1"/>
      <w:marLeft w:val="0"/>
      <w:marRight w:val="0"/>
      <w:marTop w:val="0"/>
      <w:marBottom w:val="0"/>
      <w:divBdr>
        <w:top w:val="none" w:sz="0" w:space="0" w:color="auto"/>
        <w:left w:val="none" w:sz="0" w:space="0" w:color="auto"/>
        <w:bottom w:val="none" w:sz="0" w:space="0" w:color="auto"/>
        <w:right w:val="none" w:sz="0" w:space="0" w:color="auto"/>
      </w:divBdr>
    </w:div>
    <w:div w:id="86537170">
      <w:bodyDiv w:val="1"/>
      <w:marLeft w:val="0"/>
      <w:marRight w:val="0"/>
      <w:marTop w:val="0"/>
      <w:marBottom w:val="0"/>
      <w:divBdr>
        <w:top w:val="none" w:sz="0" w:space="0" w:color="auto"/>
        <w:left w:val="none" w:sz="0" w:space="0" w:color="auto"/>
        <w:bottom w:val="none" w:sz="0" w:space="0" w:color="auto"/>
        <w:right w:val="none" w:sz="0" w:space="0" w:color="auto"/>
      </w:divBdr>
    </w:div>
    <w:div w:id="91173738">
      <w:bodyDiv w:val="1"/>
      <w:marLeft w:val="0"/>
      <w:marRight w:val="0"/>
      <w:marTop w:val="0"/>
      <w:marBottom w:val="0"/>
      <w:divBdr>
        <w:top w:val="none" w:sz="0" w:space="0" w:color="auto"/>
        <w:left w:val="none" w:sz="0" w:space="0" w:color="auto"/>
        <w:bottom w:val="none" w:sz="0" w:space="0" w:color="auto"/>
        <w:right w:val="none" w:sz="0" w:space="0" w:color="auto"/>
      </w:divBdr>
      <w:divsChild>
        <w:div w:id="752438911">
          <w:marLeft w:val="0"/>
          <w:marRight w:val="0"/>
          <w:marTop w:val="0"/>
          <w:marBottom w:val="0"/>
          <w:divBdr>
            <w:top w:val="none" w:sz="0" w:space="0" w:color="auto"/>
            <w:left w:val="none" w:sz="0" w:space="0" w:color="auto"/>
            <w:bottom w:val="none" w:sz="0" w:space="0" w:color="auto"/>
            <w:right w:val="none" w:sz="0" w:space="0" w:color="auto"/>
          </w:divBdr>
          <w:divsChild>
            <w:div w:id="1160583684">
              <w:marLeft w:val="0"/>
              <w:marRight w:val="0"/>
              <w:marTop w:val="0"/>
              <w:marBottom w:val="0"/>
              <w:divBdr>
                <w:top w:val="none" w:sz="0" w:space="0" w:color="auto"/>
                <w:left w:val="none" w:sz="0" w:space="0" w:color="auto"/>
                <w:bottom w:val="none" w:sz="0" w:space="0" w:color="auto"/>
                <w:right w:val="none" w:sz="0" w:space="0" w:color="auto"/>
              </w:divBdr>
              <w:divsChild>
                <w:div w:id="5284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0111">
      <w:bodyDiv w:val="1"/>
      <w:marLeft w:val="0"/>
      <w:marRight w:val="0"/>
      <w:marTop w:val="0"/>
      <w:marBottom w:val="0"/>
      <w:divBdr>
        <w:top w:val="none" w:sz="0" w:space="0" w:color="auto"/>
        <w:left w:val="none" w:sz="0" w:space="0" w:color="auto"/>
        <w:bottom w:val="none" w:sz="0" w:space="0" w:color="auto"/>
        <w:right w:val="none" w:sz="0" w:space="0" w:color="auto"/>
      </w:divBdr>
    </w:div>
    <w:div w:id="144250902">
      <w:bodyDiv w:val="1"/>
      <w:marLeft w:val="0"/>
      <w:marRight w:val="0"/>
      <w:marTop w:val="0"/>
      <w:marBottom w:val="0"/>
      <w:divBdr>
        <w:top w:val="none" w:sz="0" w:space="0" w:color="auto"/>
        <w:left w:val="none" w:sz="0" w:space="0" w:color="auto"/>
        <w:bottom w:val="none" w:sz="0" w:space="0" w:color="auto"/>
        <w:right w:val="none" w:sz="0" w:space="0" w:color="auto"/>
      </w:divBdr>
    </w:div>
    <w:div w:id="187574282">
      <w:bodyDiv w:val="1"/>
      <w:marLeft w:val="0"/>
      <w:marRight w:val="0"/>
      <w:marTop w:val="0"/>
      <w:marBottom w:val="0"/>
      <w:divBdr>
        <w:top w:val="none" w:sz="0" w:space="0" w:color="auto"/>
        <w:left w:val="none" w:sz="0" w:space="0" w:color="auto"/>
        <w:bottom w:val="none" w:sz="0" w:space="0" w:color="auto"/>
        <w:right w:val="none" w:sz="0" w:space="0" w:color="auto"/>
      </w:divBdr>
      <w:divsChild>
        <w:div w:id="462120524">
          <w:marLeft w:val="0"/>
          <w:marRight w:val="0"/>
          <w:marTop w:val="0"/>
          <w:marBottom w:val="0"/>
          <w:divBdr>
            <w:top w:val="none" w:sz="0" w:space="0" w:color="auto"/>
            <w:left w:val="none" w:sz="0" w:space="0" w:color="auto"/>
            <w:bottom w:val="none" w:sz="0" w:space="0" w:color="auto"/>
            <w:right w:val="none" w:sz="0" w:space="0" w:color="auto"/>
          </w:divBdr>
          <w:divsChild>
            <w:div w:id="23486925">
              <w:marLeft w:val="0"/>
              <w:marRight w:val="0"/>
              <w:marTop w:val="0"/>
              <w:marBottom w:val="0"/>
              <w:divBdr>
                <w:top w:val="none" w:sz="0" w:space="0" w:color="auto"/>
                <w:left w:val="none" w:sz="0" w:space="0" w:color="auto"/>
                <w:bottom w:val="none" w:sz="0" w:space="0" w:color="auto"/>
                <w:right w:val="none" w:sz="0" w:space="0" w:color="auto"/>
              </w:divBdr>
              <w:divsChild>
                <w:div w:id="17044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9182">
      <w:bodyDiv w:val="1"/>
      <w:marLeft w:val="0"/>
      <w:marRight w:val="0"/>
      <w:marTop w:val="0"/>
      <w:marBottom w:val="0"/>
      <w:divBdr>
        <w:top w:val="none" w:sz="0" w:space="0" w:color="auto"/>
        <w:left w:val="none" w:sz="0" w:space="0" w:color="auto"/>
        <w:bottom w:val="none" w:sz="0" w:space="0" w:color="auto"/>
        <w:right w:val="none" w:sz="0" w:space="0" w:color="auto"/>
      </w:divBdr>
    </w:div>
    <w:div w:id="264114153">
      <w:bodyDiv w:val="1"/>
      <w:marLeft w:val="0"/>
      <w:marRight w:val="0"/>
      <w:marTop w:val="0"/>
      <w:marBottom w:val="0"/>
      <w:divBdr>
        <w:top w:val="none" w:sz="0" w:space="0" w:color="auto"/>
        <w:left w:val="none" w:sz="0" w:space="0" w:color="auto"/>
        <w:bottom w:val="none" w:sz="0" w:space="0" w:color="auto"/>
        <w:right w:val="none" w:sz="0" w:space="0" w:color="auto"/>
      </w:divBdr>
    </w:div>
    <w:div w:id="287050704">
      <w:bodyDiv w:val="1"/>
      <w:marLeft w:val="0"/>
      <w:marRight w:val="0"/>
      <w:marTop w:val="0"/>
      <w:marBottom w:val="0"/>
      <w:divBdr>
        <w:top w:val="none" w:sz="0" w:space="0" w:color="auto"/>
        <w:left w:val="none" w:sz="0" w:space="0" w:color="auto"/>
        <w:bottom w:val="none" w:sz="0" w:space="0" w:color="auto"/>
        <w:right w:val="none" w:sz="0" w:space="0" w:color="auto"/>
      </w:divBdr>
    </w:div>
    <w:div w:id="298153162">
      <w:bodyDiv w:val="1"/>
      <w:marLeft w:val="0"/>
      <w:marRight w:val="0"/>
      <w:marTop w:val="0"/>
      <w:marBottom w:val="0"/>
      <w:divBdr>
        <w:top w:val="none" w:sz="0" w:space="0" w:color="auto"/>
        <w:left w:val="none" w:sz="0" w:space="0" w:color="auto"/>
        <w:bottom w:val="none" w:sz="0" w:space="0" w:color="auto"/>
        <w:right w:val="none" w:sz="0" w:space="0" w:color="auto"/>
      </w:divBdr>
    </w:div>
    <w:div w:id="342319685">
      <w:bodyDiv w:val="1"/>
      <w:marLeft w:val="0"/>
      <w:marRight w:val="0"/>
      <w:marTop w:val="0"/>
      <w:marBottom w:val="0"/>
      <w:divBdr>
        <w:top w:val="none" w:sz="0" w:space="0" w:color="auto"/>
        <w:left w:val="none" w:sz="0" w:space="0" w:color="auto"/>
        <w:bottom w:val="none" w:sz="0" w:space="0" w:color="auto"/>
        <w:right w:val="none" w:sz="0" w:space="0" w:color="auto"/>
      </w:divBdr>
    </w:div>
    <w:div w:id="365448823">
      <w:bodyDiv w:val="1"/>
      <w:marLeft w:val="0"/>
      <w:marRight w:val="0"/>
      <w:marTop w:val="0"/>
      <w:marBottom w:val="0"/>
      <w:divBdr>
        <w:top w:val="none" w:sz="0" w:space="0" w:color="auto"/>
        <w:left w:val="none" w:sz="0" w:space="0" w:color="auto"/>
        <w:bottom w:val="none" w:sz="0" w:space="0" w:color="auto"/>
        <w:right w:val="none" w:sz="0" w:space="0" w:color="auto"/>
      </w:divBdr>
      <w:divsChild>
        <w:div w:id="658507383">
          <w:marLeft w:val="0"/>
          <w:marRight w:val="0"/>
          <w:marTop w:val="0"/>
          <w:marBottom w:val="0"/>
          <w:divBdr>
            <w:top w:val="none" w:sz="0" w:space="0" w:color="auto"/>
            <w:left w:val="none" w:sz="0" w:space="0" w:color="auto"/>
            <w:bottom w:val="none" w:sz="0" w:space="0" w:color="auto"/>
            <w:right w:val="none" w:sz="0" w:space="0" w:color="auto"/>
          </w:divBdr>
          <w:divsChild>
            <w:div w:id="223609430">
              <w:marLeft w:val="0"/>
              <w:marRight w:val="0"/>
              <w:marTop w:val="0"/>
              <w:marBottom w:val="0"/>
              <w:divBdr>
                <w:top w:val="none" w:sz="0" w:space="0" w:color="auto"/>
                <w:left w:val="none" w:sz="0" w:space="0" w:color="auto"/>
                <w:bottom w:val="none" w:sz="0" w:space="0" w:color="auto"/>
                <w:right w:val="none" w:sz="0" w:space="0" w:color="auto"/>
              </w:divBdr>
              <w:divsChild>
                <w:div w:id="15225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5992">
      <w:bodyDiv w:val="1"/>
      <w:marLeft w:val="0"/>
      <w:marRight w:val="0"/>
      <w:marTop w:val="0"/>
      <w:marBottom w:val="0"/>
      <w:divBdr>
        <w:top w:val="none" w:sz="0" w:space="0" w:color="auto"/>
        <w:left w:val="none" w:sz="0" w:space="0" w:color="auto"/>
        <w:bottom w:val="none" w:sz="0" w:space="0" w:color="auto"/>
        <w:right w:val="none" w:sz="0" w:space="0" w:color="auto"/>
      </w:divBdr>
    </w:div>
    <w:div w:id="394745825">
      <w:bodyDiv w:val="1"/>
      <w:marLeft w:val="0"/>
      <w:marRight w:val="0"/>
      <w:marTop w:val="0"/>
      <w:marBottom w:val="0"/>
      <w:divBdr>
        <w:top w:val="none" w:sz="0" w:space="0" w:color="auto"/>
        <w:left w:val="none" w:sz="0" w:space="0" w:color="auto"/>
        <w:bottom w:val="none" w:sz="0" w:space="0" w:color="auto"/>
        <w:right w:val="none" w:sz="0" w:space="0" w:color="auto"/>
      </w:divBdr>
      <w:divsChild>
        <w:div w:id="1472745168">
          <w:marLeft w:val="0"/>
          <w:marRight w:val="0"/>
          <w:marTop w:val="0"/>
          <w:marBottom w:val="0"/>
          <w:divBdr>
            <w:top w:val="none" w:sz="0" w:space="0" w:color="auto"/>
            <w:left w:val="none" w:sz="0" w:space="0" w:color="auto"/>
            <w:bottom w:val="none" w:sz="0" w:space="0" w:color="auto"/>
            <w:right w:val="none" w:sz="0" w:space="0" w:color="auto"/>
          </w:divBdr>
          <w:divsChild>
            <w:div w:id="2076199129">
              <w:marLeft w:val="0"/>
              <w:marRight w:val="0"/>
              <w:marTop w:val="0"/>
              <w:marBottom w:val="0"/>
              <w:divBdr>
                <w:top w:val="none" w:sz="0" w:space="0" w:color="auto"/>
                <w:left w:val="none" w:sz="0" w:space="0" w:color="auto"/>
                <w:bottom w:val="none" w:sz="0" w:space="0" w:color="auto"/>
                <w:right w:val="none" w:sz="0" w:space="0" w:color="auto"/>
              </w:divBdr>
              <w:divsChild>
                <w:div w:id="15782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43879">
      <w:bodyDiv w:val="1"/>
      <w:marLeft w:val="0"/>
      <w:marRight w:val="0"/>
      <w:marTop w:val="0"/>
      <w:marBottom w:val="0"/>
      <w:divBdr>
        <w:top w:val="none" w:sz="0" w:space="0" w:color="auto"/>
        <w:left w:val="none" w:sz="0" w:space="0" w:color="auto"/>
        <w:bottom w:val="none" w:sz="0" w:space="0" w:color="auto"/>
        <w:right w:val="none" w:sz="0" w:space="0" w:color="auto"/>
      </w:divBdr>
    </w:div>
    <w:div w:id="439689311">
      <w:bodyDiv w:val="1"/>
      <w:marLeft w:val="0"/>
      <w:marRight w:val="0"/>
      <w:marTop w:val="0"/>
      <w:marBottom w:val="0"/>
      <w:divBdr>
        <w:top w:val="none" w:sz="0" w:space="0" w:color="auto"/>
        <w:left w:val="none" w:sz="0" w:space="0" w:color="auto"/>
        <w:bottom w:val="none" w:sz="0" w:space="0" w:color="auto"/>
        <w:right w:val="none" w:sz="0" w:space="0" w:color="auto"/>
      </w:divBdr>
    </w:div>
    <w:div w:id="467627927">
      <w:bodyDiv w:val="1"/>
      <w:marLeft w:val="0"/>
      <w:marRight w:val="0"/>
      <w:marTop w:val="0"/>
      <w:marBottom w:val="0"/>
      <w:divBdr>
        <w:top w:val="none" w:sz="0" w:space="0" w:color="auto"/>
        <w:left w:val="none" w:sz="0" w:space="0" w:color="auto"/>
        <w:bottom w:val="none" w:sz="0" w:space="0" w:color="auto"/>
        <w:right w:val="none" w:sz="0" w:space="0" w:color="auto"/>
      </w:divBdr>
      <w:divsChild>
        <w:div w:id="1827550733">
          <w:marLeft w:val="0"/>
          <w:marRight w:val="0"/>
          <w:marTop w:val="0"/>
          <w:marBottom w:val="0"/>
          <w:divBdr>
            <w:top w:val="none" w:sz="0" w:space="0" w:color="auto"/>
            <w:left w:val="none" w:sz="0" w:space="0" w:color="auto"/>
            <w:bottom w:val="none" w:sz="0" w:space="0" w:color="auto"/>
            <w:right w:val="none" w:sz="0" w:space="0" w:color="auto"/>
          </w:divBdr>
          <w:divsChild>
            <w:div w:id="1054738535">
              <w:marLeft w:val="0"/>
              <w:marRight w:val="0"/>
              <w:marTop w:val="0"/>
              <w:marBottom w:val="0"/>
              <w:divBdr>
                <w:top w:val="none" w:sz="0" w:space="0" w:color="auto"/>
                <w:left w:val="none" w:sz="0" w:space="0" w:color="auto"/>
                <w:bottom w:val="none" w:sz="0" w:space="0" w:color="auto"/>
                <w:right w:val="none" w:sz="0" w:space="0" w:color="auto"/>
              </w:divBdr>
              <w:divsChild>
                <w:div w:id="7710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6610">
      <w:bodyDiv w:val="1"/>
      <w:marLeft w:val="0"/>
      <w:marRight w:val="0"/>
      <w:marTop w:val="0"/>
      <w:marBottom w:val="0"/>
      <w:divBdr>
        <w:top w:val="none" w:sz="0" w:space="0" w:color="auto"/>
        <w:left w:val="none" w:sz="0" w:space="0" w:color="auto"/>
        <w:bottom w:val="none" w:sz="0" w:space="0" w:color="auto"/>
        <w:right w:val="none" w:sz="0" w:space="0" w:color="auto"/>
      </w:divBdr>
      <w:divsChild>
        <w:div w:id="537619728">
          <w:marLeft w:val="0"/>
          <w:marRight w:val="0"/>
          <w:marTop w:val="0"/>
          <w:marBottom w:val="0"/>
          <w:divBdr>
            <w:top w:val="none" w:sz="0" w:space="0" w:color="auto"/>
            <w:left w:val="none" w:sz="0" w:space="0" w:color="auto"/>
            <w:bottom w:val="none" w:sz="0" w:space="0" w:color="auto"/>
            <w:right w:val="none" w:sz="0" w:space="0" w:color="auto"/>
          </w:divBdr>
          <w:divsChild>
            <w:div w:id="883709739">
              <w:marLeft w:val="0"/>
              <w:marRight w:val="0"/>
              <w:marTop w:val="0"/>
              <w:marBottom w:val="0"/>
              <w:divBdr>
                <w:top w:val="none" w:sz="0" w:space="0" w:color="auto"/>
                <w:left w:val="none" w:sz="0" w:space="0" w:color="auto"/>
                <w:bottom w:val="none" w:sz="0" w:space="0" w:color="auto"/>
                <w:right w:val="none" w:sz="0" w:space="0" w:color="auto"/>
              </w:divBdr>
              <w:divsChild>
                <w:div w:id="11837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2965">
      <w:bodyDiv w:val="1"/>
      <w:marLeft w:val="0"/>
      <w:marRight w:val="0"/>
      <w:marTop w:val="0"/>
      <w:marBottom w:val="0"/>
      <w:divBdr>
        <w:top w:val="none" w:sz="0" w:space="0" w:color="auto"/>
        <w:left w:val="none" w:sz="0" w:space="0" w:color="auto"/>
        <w:bottom w:val="none" w:sz="0" w:space="0" w:color="auto"/>
        <w:right w:val="none" w:sz="0" w:space="0" w:color="auto"/>
      </w:divBdr>
      <w:divsChild>
        <w:div w:id="1800806963">
          <w:marLeft w:val="0"/>
          <w:marRight w:val="0"/>
          <w:marTop w:val="0"/>
          <w:marBottom w:val="0"/>
          <w:divBdr>
            <w:top w:val="none" w:sz="0" w:space="0" w:color="auto"/>
            <w:left w:val="none" w:sz="0" w:space="0" w:color="auto"/>
            <w:bottom w:val="none" w:sz="0" w:space="0" w:color="auto"/>
            <w:right w:val="none" w:sz="0" w:space="0" w:color="auto"/>
          </w:divBdr>
          <w:divsChild>
            <w:div w:id="562447518">
              <w:marLeft w:val="0"/>
              <w:marRight w:val="0"/>
              <w:marTop w:val="0"/>
              <w:marBottom w:val="0"/>
              <w:divBdr>
                <w:top w:val="none" w:sz="0" w:space="0" w:color="auto"/>
                <w:left w:val="none" w:sz="0" w:space="0" w:color="auto"/>
                <w:bottom w:val="none" w:sz="0" w:space="0" w:color="auto"/>
                <w:right w:val="none" w:sz="0" w:space="0" w:color="auto"/>
              </w:divBdr>
              <w:divsChild>
                <w:div w:id="1328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21795">
      <w:bodyDiv w:val="1"/>
      <w:marLeft w:val="0"/>
      <w:marRight w:val="0"/>
      <w:marTop w:val="0"/>
      <w:marBottom w:val="0"/>
      <w:divBdr>
        <w:top w:val="none" w:sz="0" w:space="0" w:color="auto"/>
        <w:left w:val="none" w:sz="0" w:space="0" w:color="auto"/>
        <w:bottom w:val="none" w:sz="0" w:space="0" w:color="auto"/>
        <w:right w:val="none" w:sz="0" w:space="0" w:color="auto"/>
      </w:divBdr>
    </w:div>
    <w:div w:id="504590129">
      <w:bodyDiv w:val="1"/>
      <w:marLeft w:val="0"/>
      <w:marRight w:val="0"/>
      <w:marTop w:val="0"/>
      <w:marBottom w:val="0"/>
      <w:divBdr>
        <w:top w:val="none" w:sz="0" w:space="0" w:color="auto"/>
        <w:left w:val="none" w:sz="0" w:space="0" w:color="auto"/>
        <w:bottom w:val="none" w:sz="0" w:space="0" w:color="auto"/>
        <w:right w:val="none" w:sz="0" w:space="0" w:color="auto"/>
      </w:divBdr>
      <w:divsChild>
        <w:div w:id="476267265">
          <w:marLeft w:val="0"/>
          <w:marRight w:val="0"/>
          <w:marTop w:val="0"/>
          <w:marBottom w:val="0"/>
          <w:divBdr>
            <w:top w:val="none" w:sz="0" w:space="0" w:color="auto"/>
            <w:left w:val="none" w:sz="0" w:space="0" w:color="auto"/>
            <w:bottom w:val="none" w:sz="0" w:space="0" w:color="auto"/>
            <w:right w:val="none" w:sz="0" w:space="0" w:color="auto"/>
          </w:divBdr>
          <w:divsChild>
            <w:div w:id="1515996225">
              <w:marLeft w:val="0"/>
              <w:marRight w:val="0"/>
              <w:marTop w:val="0"/>
              <w:marBottom w:val="0"/>
              <w:divBdr>
                <w:top w:val="none" w:sz="0" w:space="0" w:color="auto"/>
                <w:left w:val="none" w:sz="0" w:space="0" w:color="auto"/>
                <w:bottom w:val="none" w:sz="0" w:space="0" w:color="auto"/>
                <w:right w:val="none" w:sz="0" w:space="0" w:color="auto"/>
              </w:divBdr>
              <w:divsChild>
                <w:div w:id="6536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0943">
      <w:bodyDiv w:val="1"/>
      <w:marLeft w:val="0"/>
      <w:marRight w:val="0"/>
      <w:marTop w:val="0"/>
      <w:marBottom w:val="0"/>
      <w:divBdr>
        <w:top w:val="none" w:sz="0" w:space="0" w:color="auto"/>
        <w:left w:val="none" w:sz="0" w:space="0" w:color="auto"/>
        <w:bottom w:val="none" w:sz="0" w:space="0" w:color="auto"/>
        <w:right w:val="none" w:sz="0" w:space="0" w:color="auto"/>
      </w:divBdr>
    </w:div>
    <w:div w:id="592082296">
      <w:bodyDiv w:val="1"/>
      <w:marLeft w:val="0"/>
      <w:marRight w:val="0"/>
      <w:marTop w:val="0"/>
      <w:marBottom w:val="0"/>
      <w:divBdr>
        <w:top w:val="none" w:sz="0" w:space="0" w:color="auto"/>
        <w:left w:val="none" w:sz="0" w:space="0" w:color="auto"/>
        <w:bottom w:val="none" w:sz="0" w:space="0" w:color="auto"/>
        <w:right w:val="none" w:sz="0" w:space="0" w:color="auto"/>
      </w:divBdr>
    </w:div>
    <w:div w:id="637414389">
      <w:bodyDiv w:val="1"/>
      <w:marLeft w:val="0"/>
      <w:marRight w:val="0"/>
      <w:marTop w:val="0"/>
      <w:marBottom w:val="0"/>
      <w:divBdr>
        <w:top w:val="none" w:sz="0" w:space="0" w:color="auto"/>
        <w:left w:val="none" w:sz="0" w:space="0" w:color="auto"/>
        <w:bottom w:val="none" w:sz="0" w:space="0" w:color="auto"/>
        <w:right w:val="none" w:sz="0" w:space="0" w:color="auto"/>
      </w:divBdr>
    </w:div>
    <w:div w:id="652835659">
      <w:bodyDiv w:val="1"/>
      <w:marLeft w:val="0"/>
      <w:marRight w:val="0"/>
      <w:marTop w:val="0"/>
      <w:marBottom w:val="0"/>
      <w:divBdr>
        <w:top w:val="none" w:sz="0" w:space="0" w:color="auto"/>
        <w:left w:val="none" w:sz="0" w:space="0" w:color="auto"/>
        <w:bottom w:val="none" w:sz="0" w:space="0" w:color="auto"/>
        <w:right w:val="none" w:sz="0" w:space="0" w:color="auto"/>
      </w:divBdr>
    </w:div>
    <w:div w:id="655648576">
      <w:bodyDiv w:val="1"/>
      <w:marLeft w:val="0"/>
      <w:marRight w:val="0"/>
      <w:marTop w:val="0"/>
      <w:marBottom w:val="0"/>
      <w:divBdr>
        <w:top w:val="none" w:sz="0" w:space="0" w:color="auto"/>
        <w:left w:val="none" w:sz="0" w:space="0" w:color="auto"/>
        <w:bottom w:val="none" w:sz="0" w:space="0" w:color="auto"/>
        <w:right w:val="none" w:sz="0" w:space="0" w:color="auto"/>
      </w:divBdr>
    </w:div>
    <w:div w:id="661467070">
      <w:bodyDiv w:val="1"/>
      <w:marLeft w:val="0"/>
      <w:marRight w:val="0"/>
      <w:marTop w:val="0"/>
      <w:marBottom w:val="0"/>
      <w:divBdr>
        <w:top w:val="none" w:sz="0" w:space="0" w:color="auto"/>
        <w:left w:val="none" w:sz="0" w:space="0" w:color="auto"/>
        <w:bottom w:val="none" w:sz="0" w:space="0" w:color="auto"/>
        <w:right w:val="none" w:sz="0" w:space="0" w:color="auto"/>
      </w:divBdr>
      <w:divsChild>
        <w:div w:id="1025984465">
          <w:marLeft w:val="0"/>
          <w:marRight w:val="0"/>
          <w:marTop w:val="0"/>
          <w:marBottom w:val="0"/>
          <w:divBdr>
            <w:top w:val="none" w:sz="0" w:space="0" w:color="auto"/>
            <w:left w:val="none" w:sz="0" w:space="0" w:color="auto"/>
            <w:bottom w:val="none" w:sz="0" w:space="0" w:color="auto"/>
            <w:right w:val="none" w:sz="0" w:space="0" w:color="auto"/>
          </w:divBdr>
          <w:divsChild>
            <w:div w:id="160198448">
              <w:marLeft w:val="0"/>
              <w:marRight w:val="0"/>
              <w:marTop w:val="0"/>
              <w:marBottom w:val="0"/>
              <w:divBdr>
                <w:top w:val="none" w:sz="0" w:space="0" w:color="auto"/>
                <w:left w:val="none" w:sz="0" w:space="0" w:color="auto"/>
                <w:bottom w:val="none" w:sz="0" w:space="0" w:color="auto"/>
                <w:right w:val="none" w:sz="0" w:space="0" w:color="auto"/>
              </w:divBdr>
              <w:divsChild>
                <w:div w:id="13458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3275">
      <w:bodyDiv w:val="1"/>
      <w:marLeft w:val="0"/>
      <w:marRight w:val="0"/>
      <w:marTop w:val="0"/>
      <w:marBottom w:val="0"/>
      <w:divBdr>
        <w:top w:val="none" w:sz="0" w:space="0" w:color="auto"/>
        <w:left w:val="none" w:sz="0" w:space="0" w:color="auto"/>
        <w:bottom w:val="none" w:sz="0" w:space="0" w:color="auto"/>
        <w:right w:val="none" w:sz="0" w:space="0" w:color="auto"/>
      </w:divBdr>
    </w:div>
    <w:div w:id="674696181">
      <w:bodyDiv w:val="1"/>
      <w:marLeft w:val="0"/>
      <w:marRight w:val="0"/>
      <w:marTop w:val="0"/>
      <w:marBottom w:val="0"/>
      <w:divBdr>
        <w:top w:val="none" w:sz="0" w:space="0" w:color="auto"/>
        <w:left w:val="none" w:sz="0" w:space="0" w:color="auto"/>
        <w:bottom w:val="none" w:sz="0" w:space="0" w:color="auto"/>
        <w:right w:val="none" w:sz="0" w:space="0" w:color="auto"/>
      </w:divBdr>
      <w:divsChild>
        <w:div w:id="1826315145">
          <w:marLeft w:val="0"/>
          <w:marRight w:val="0"/>
          <w:marTop w:val="0"/>
          <w:marBottom w:val="0"/>
          <w:divBdr>
            <w:top w:val="none" w:sz="0" w:space="0" w:color="auto"/>
            <w:left w:val="none" w:sz="0" w:space="0" w:color="auto"/>
            <w:bottom w:val="none" w:sz="0" w:space="0" w:color="auto"/>
            <w:right w:val="none" w:sz="0" w:space="0" w:color="auto"/>
          </w:divBdr>
          <w:divsChild>
            <w:div w:id="745227558">
              <w:marLeft w:val="0"/>
              <w:marRight w:val="0"/>
              <w:marTop w:val="0"/>
              <w:marBottom w:val="0"/>
              <w:divBdr>
                <w:top w:val="none" w:sz="0" w:space="0" w:color="auto"/>
                <w:left w:val="none" w:sz="0" w:space="0" w:color="auto"/>
                <w:bottom w:val="none" w:sz="0" w:space="0" w:color="auto"/>
                <w:right w:val="none" w:sz="0" w:space="0" w:color="auto"/>
              </w:divBdr>
              <w:divsChild>
                <w:div w:id="12960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60954">
      <w:bodyDiv w:val="1"/>
      <w:marLeft w:val="0"/>
      <w:marRight w:val="0"/>
      <w:marTop w:val="0"/>
      <w:marBottom w:val="0"/>
      <w:divBdr>
        <w:top w:val="none" w:sz="0" w:space="0" w:color="auto"/>
        <w:left w:val="none" w:sz="0" w:space="0" w:color="auto"/>
        <w:bottom w:val="none" w:sz="0" w:space="0" w:color="auto"/>
        <w:right w:val="none" w:sz="0" w:space="0" w:color="auto"/>
      </w:divBdr>
    </w:div>
    <w:div w:id="689141623">
      <w:bodyDiv w:val="1"/>
      <w:marLeft w:val="0"/>
      <w:marRight w:val="0"/>
      <w:marTop w:val="0"/>
      <w:marBottom w:val="0"/>
      <w:divBdr>
        <w:top w:val="none" w:sz="0" w:space="0" w:color="auto"/>
        <w:left w:val="none" w:sz="0" w:space="0" w:color="auto"/>
        <w:bottom w:val="none" w:sz="0" w:space="0" w:color="auto"/>
        <w:right w:val="none" w:sz="0" w:space="0" w:color="auto"/>
      </w:divBdr>
    </w:div>
    <w:div w:id="691610527">
      <w:bodyDiv w:val="1"/>
      <w:marLeft w:val="0"/>
      <w:marRight w:val="0"/>
      <w:marTop w:val="0"/>
      <w:marBottom w:val="0"/>
      <w:divBdr>
        <w:top w:val="none" w:sz="0" w:space="0" w:color="auto"/>
        <w:left w:val="none" w:sz="0" w:space="0" w:color="auto"/>
        <w:bottom w:val="none" w:sz="0" w:space="0" w:color="auto"/>
        <w:right w:val="none" w:sz="0" w:space="0" w:color="auto"/>
      </w:divBdr>
      <w:divsChild>
        <w:div w:id="949779032">
          <w:marLeft w:val="0"/>
          <w:marRight w:val="0"/>
          <w:marTop w:val="0"/>
          <w:marBottom w:val="0"/>
          <w:divBdr>
            <w:top w:val="none" w:sz="0" w:space="0" w:color="auto"/>
            <w:left w:val="none" w:sz="0" w:space="0" w:color="auto"/>
            <w:bottom w:val="none" w:sz="0" w:space="0" w:color="auto"/>
            <w:right w:val="none" w:sz="0" w:space="0" w:color="auto"/>
          </w:divBdr>
          <w:divsChild>
            <w:div w:id="1807972275">
              <w:marLeft w:val="0"/>
              <w:marRight w:val="0"/>
              <w:marTop w:val="0"/>
              <w:marBottom w:val="0"/>
              <w:divBdr>
                <w:top w:val="none" w:sz="0" w:space="0" w:color="auto"/>
                <w:left w:val="none" w:sz="0" w:space="0" w:color="auto"/>
                <w:bottom w:val="none" w:sz="0" w:space="0" w:color="auto"/>
                <w:right w:val="none" w:sz="0" w:space="0" w:color="auto"/>
              </w:divBdr>
              <w:divsChild>
                <w:div w:id="10843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47419">
      <w:bodyDiv w:val="1"/>
      <w:marLeft w:val="0"/>
      <w:marRight w:val="0"/>
      <w:marTop w:val="0"/>
      <w:marBottom w:val="0"/>
      <w:divBdr>
        <w:top w:val="none" w:sz="0" w:space="0" w:color="auto"/>
        <w:left w:val="none" w:sz="0" w:space="0" w:color="auto"/>
        <w:bottom w:val="none" w:sz="0" w:space="0" w:color="auto"/>
        <w:right w:val="none" w:sz="0" w:space="0" w:color="auto"/>
      </w:divBdr>
      <w:divsChild>
        <w:div w:id="1244222294">
          <w:marLeft w:val="0"/>
          <w:marRight w:val="0"/>
          <w:marTop w:val="0"/>
          <w:marBottom w:val="0"/>
          <w:divBdr>
            <w:top w:val="none" w:sz="0" w:space="0" w:color="auto"/>
            <w:left w:val="none" w:sz="0" w:space="0" w:color="auto"/>
            <w:bottom w:val="none" w:sz="0" w:space="0" w:color="auto"/>
            <w:right w:val="none" w:sz="0" w:space="0" w:color="auto"/>
          </w:divBdr>
          <w:divsChild>
            <w:div w:id="448595813">
              <w:marLeft w:val="0"/>
              <w:marRight w:val="0"/>
              <w:marTop w:val="0"/>
              <w:marBottom w:val="0"/>
              <w:divBdr>
                <w:top w:val="none" w:sz="0" w:space="0" w:color="auto"/>
                <w:left w:val="none" w:sz="0" w:space="0" w:color="auto"/>
                <w:bottom w:val="none" w:sz="0" w:space="0" w:color="auto"/>
                <w:right w:val="none" w:sz="0" w:space="0" w:color="auto"/>
              </w:divBdr>
              <w:divsChild>
                <w:div w:id="19643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27694">
      <w:bodyDiv w:val="1"/>
      <w:marLeft w:val="0"/>
      <w:marRight w:val="0"/>
      <w:marTop w:val="0"/>
      <w:marBottom w:val="0"/>
      <w:divBdr>
        <w:top w:val="none" w:sz="0" w:space="0" w:color="auto"/>
        <w:left w:val="none" w:sz="0" w:space="0" w:color="auto"/>
        <w:bottom w:val="none" w:sz="0" w:space="0" w:color="auto"/>
        <w:right w:val="none" w:sz="0" w:space="0" w:color="auto"/>
      </w:divBdr>
    </w:div>
    <w:div w:id="794256746">
      <w:bodyDiv w:val="1"/>
      <w:marLeft w:val="0"/>
      <w:marRight w:val="0"/>
      <w:marTop w:val="0"/>
      <w:marBottom w:val="0"/>
      <w:divBdr>
        <w:top w:val="none" w:sz="0" w:space="0" w:color="auto"/>
        <w:left w:val="none" w:sz="0" w:space="0" w:color="auto"/>
        <w:bottom w:val="none" w:sz="0" w:space="0" w:color="auto"/>
        <w:right w:val="none" w:sz="0" w:space="0" w:color="auto"/>
      </w:divBdr>
    </w:div>
    <w:div w:id="844831326">
      <w:bodyDiv w:val="1"/>
      <w:marLeft w:val="0"/>
      <w:marRight w:val="0"/>
      <w:marTop w:val="0"/>
      <w:marBottom w:val="0"/>
      <w:divBdr>
        <w:top w:val="none" w:sz="0" w:space="0" w:color="auto"/>
        <w:left w:val="none" w:sz="0" w:space="0" w:color="auto"/>
        <w:bottom w:val="none" w:sz="0" w:space="0" w:color="auto"/>
        <w:right w:val="none" w:sz="0" w:space="0" w:color="auto"/>
      </w:divBdr>
    </w:div>
    <w:div w:id="847643303">
      <w:bodyDiv w:val="1"/>
      <w:marLeft w:val="0"/>
      <w:marRight w:val="0"/>
      <w:marTop w:val="0"/>
      <w:marBottom w:val="0"/>
      <w:divBdr>
        <w:top w:val="none" w:sz="0" w:space="0" w:color="auto"/>
        <w:left w:val="none" w:sz="0" w:space="0" w:color="auto"/>
        <w:bottom w:val="none" w:sz="0" w:space="0" w:color="auto"/>
        <w:right w:val="none" w:sz="0" w:space="0" w:color="auto"/>
      </w:divBdr>
      <w:divsChild>
        <w:div w:id="1004355740">
          <w:marLeft w:val="0"/>
          <w:marRight w:val="0"/>
          <w:marTop w:val="0"/>
          <w:marBottom w:val="0"/>
          <w:divBdr>
            <w:top w:val="none" w:sz="0" w:space="0" w:color="auto"/>
            <w:left w:val="none" w:sz="0" w:space="0" w:color="auto"/>
            <w:bottom w:val="none" w:sz="0" w:space="0" w:color="auto"/>
            <w:right w:val="none" w:sz="0" w:space="0" w:color="auto"/>
          </w:divBdr>
          <w:divsChild>
            <w:div w:id="931015711">
              <w:marLeft w:val="0"/>
              <w:marRight w:val="0"/>
              <w:marTop w:val="0"/>
              <w:marBottom w:val="0"/>
              <w:divBdr>
                <w:top w:val="none" w:sz="0" w:space="0" w:color="auto"/>
                <w:left w:val="none" w:sz="0" w:space="0" w:color="auto"/>
                <w:bottom w:val="none" w:sz="0" w:space="0" w:color="auto"/>
                <w:right w:val="none" w:sz="0" w:space="0" w:color="auto"/>
              </w:divBdr>
              <w:divsChild>
                <w:div w:id="19020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4213">
      <w:bodyDiv w:val="1"/>
      <w:marLeft w:val="0"/>
      <w:marRight w:val="0"/>
      <w:marTop w:val="0"/>
      <w:marBottom w:val="0"/>
      <w:divBdr>
        <w:top w:val="none" w:sz="0" w:space="0" w:color="auto"/>
        <w:left w:val="none" w:sz="0" w:space="0" w:color="auto"/>
        <w:bottom w:val="none" w:sz="0" w:space="0" w:color="auto"/>
        <w:right w:val="none" w:sz="0" w:space="0" w:color="auto"/>
      </w:divBdr>
    </w:div>
    <w:div w:id="905383979">
      <w:bodyDiv w:val="1"/>
      <w:marLeft w:val="0"/>
      <w:marRight w:val="0"/>
      <w:marTop w:val="0"/>
      <w:marBottom w:val="0"/>
      <w:divBdr>
        <w:top w:val="none" w:sz="0" w:space="0" w:color="auto"/>
        <w:left w:val="none" w:sz="0" w:space="0" w:color="auto"/>
        <w:bottom w:val="none" w:sz="0" w:space="0" w:color="auto"/>
        <w:right w:val="none" w:sz="0" w:space="0" w:color="auto"/>
      </w:divBdr>
    </w:div>
    <w:div w:id="912659131">
      <w:bodyDiv w:val="1"/>
      <w:marLeft w:val="0"/>
      <w:marRight w:val="0"/>
      <w:marTop w:val="0"/>
      <w:marBottom w:val="0"/>
      <w:divBdr>
        <w:top w:val="none" w:sz="0" w:space="0" w:color="auto"/>
        <w:left w:val="none" w:sz="0" w:space="0" w:color="auto"/>
        <w:bottom w:val="none" w:sz="0" w:space="0" w:color="auto"/>
        <w:right w:val="none" w:sz="0" w:space="0" w:color="auto"/>
      </w:divBdr>
    </w:div>
    <w:div w:id="955798346">
      <w:bodyDiv w:val="1"/>
      <w:marLeft w:val="0"/>
      <w:marRight w:val="0"/>
      <w:marTop w:val="0"/>
      <w:marBottom w:val="0"/>
      <w:divBdr>
        <w:top w:val="none" w:sz="0" w:space="0" w:color="auto"/>
        <w:left w:val="none" w:sz="0" w:space="0" w:color="auto"/>
        <w:bottom w:val="none" w:sz="0" w:space="0" w:color="auto"/>
        <w:right w:val="none" w:sz="0" w:space="0" w:color="auto"/>
      </w:divBdr>
    </w:div>
    <w:div w:id="965431914">
      <w:bodyDiv w:val="1"/>
      <w:marLeft w:val="0"/>
      <w:marRight w:val="0"/>
      <w:marTop w:val="0"/>
      <w:marBottom w:val="0"/>
      <w:divBdr>
        <w:top w:val="none" w:sz="0" w:space="0" w:color="auto"/>
        <w:left w:val="none" w:sz="0" w:space="0" w:color="auto"/>
        <w:bottom w:val="none" w:sz="0" w:space="0" w:color="auto"/>
        <w:right w:val="none" w:sz="0" w:space="0" w:color="auto"/>
      </w:divBdr>
    </w:div>
    <w:div w:id="972440615">
      <w:bodyDiv w:val="1"/>
      <w:marLeft w:val="0"/>
      <w:marRight w:val="0"/>
      <w:marTop w:val="0"/>
      <w:marBottom w:val="0"/>
      <w:divBdr>
        <w:top w:val="none" w:sz="0" w:space="0" w:color="auto"/>
        <w:left w:val="none" w:sz="0" w:space="0" w:color="auto"/>
        <w:bottom w:val="none" w:sz="0" w:space="0" w:color="auto"/>
        <w:right w:val="none" w:sz="0" w:space="0" w:color="auto"/>
      </w:divBdr>
      <w:divsChild>
        <w:div w:id="1227297521">
          <w:marLeft w:val="0"/>
          <w:marRight w:val="0"/>
          <w:marTop w:val="0"/>
          <w:marBottom w:val="0"/>
          <w:divBdr>
            <w:top w:val="none" w:sz="0" w:space="0" w:color="auto"/>
            <w:left w:val="none" w:sz="0" w:space="0" w:color="auto"/>
            <w:bottom w:val="none" w:sz="0" w:space="0" w:color="auto"/>
            <w:right w:val="none" w:sz="0" w:space="0" w:color="auto"/>
          </w:divBdr>
          <w:divsChild>
            <w:div w:id="2009601958">
              <w:marLeft w:val="0"/>
              <w:marRight w:val="0"/>
              <w:marTop w:val="0"/>
              <w:marBottom w:val="0"/>
              <w:divBdr>
                <w:top w:val="none" w:sz="0" w:space="0" w:color="auto"/>
                <w:left w:val="none" w:sz="0" w:space="0" w:color="auto"/>
                <w:bottom w:val="none" w:sz="0" w:space="0" w:color="auto"/>
                <w:right w:val="none" w:sz="0" w:space="0" w:color="auto"/>
              </w:divBdr>
              <w:divsChild>
                <w:div w:id="4414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4483">
      <w:bodyDiv w:val="1"/>
      <w:marLeft w:val="0"/>
      <w:marRight w:val="0"/>
      <w:marTop w:val="0"/>
      <w:marBottom w:val="0"/>
      <w:divBdr>
        <w:top w:val="none" w:sz="0" w:space="0" w:color="auto"/>
        <w:left w:val="none" w:sz="0" w:space="0" w:color="auto"/>
        <w:bottom w:val="none" w:sz="0" w:space="0" w:color="auto"/>
        <w:right w:val="none" w:sz="0" w:space="0" w:color="auto"/>
      </w:divBdr>
    </w:div>
    <w:div w:id="997730123">
      <w:bodyDiv w:val="1"/>
      <w:marLeft w:val="0"/>
      <w:marRight w:val="0"/>
      <w:marTop w:val="0"/>
      <w:marBottom w:val="0"/>
      <w:divBdr>
        <w:top w:val="none" w:sz="0" w:space="0" w:color="auto"/>
        <w:left w:val="none" w:sz="0" w:space="0" w:color="auto"/>
        <w:bottom w:val="none" w:sz="0" w:space="0" w:color="auto"/>
        <w:right w:val="none" w:sz="0" w:space="0" w:color="auto"/>
      </w:divBdr>
    </w:div>
    <w:div w:id="1000081643">
      <w:bodyDiv w:val="1"/>
      <w:marLeft w:val="0"/>
      <w:marRight w:val="0"/>
      <w:marTop w:val="0"/>
      <w:marBottom w:val="0"/>
      <w:divBdr>
        <w:top w:val="none" w:sz="0" w:space="0" w:color="auto"/>
        <w:left w:val="none" w:sz="0" w:space="0" w:color="auto"/>
        <w:bottom w:val="none" w:sz="0" w:space="0" w:color="auto"/>
        <w:right w:val="none" w:sz="0" w:space="0" w:color="auto"/>
      </w:divBdr>
      <w:divsChild>
        <w:div w:id="619340281">
          <w:marLeft w:val="0"/>
          <w:marRight w:val="0"/>
          <w:marTop w:val="0"/>
          <w:marBottom w:val="0"/>
          <w:divBdr>
            <w:top w:val="none" w:sz="0" w:space="0" w:color="auto"/>
            <w:left w:val="none" w:sz="0" w:space="0" w:color="auto"/>
            <w:bottom w:val="none" w:sz="0" w:space="0" w:color="auto"/>
            <w:right w:val="none" w:sz="0" w:space="0" w:color="auto"/>
          </w:divBdr>
          <w:divsChild>
            <w:div w:id="1174415817">
              <w:marLeft w:val="0"/>
              <w:marRight w:val="0"/>
              <w:marTop w:val="0"/>
              <w:marBottom w:val="0"/>
              <w:divBdr>
                <w:top w:val="none" w:sz="0" w:space="0" w:color="auto"/>
                <w:left w:val="none" w:sz="0" w:space="0" w:color="auto"/>
                <w:bottom w:val="none" w:sz="0" w:space="0" w:color="auto"/>
                <w:right w:val="none" w:sz="0" w:space="0" w:color="auto"/>
              </w:divBdr>
              <w:divsChild>
                <w:div w:id="14343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34563">
      <w:bodyDiv w:val="1"/>
      <w:marLeft w:val="0"/>
      <w:marRight w:val="0"/>
      <w:marTop w:val="0"/>
      <w:marBottom w:val="0"/>
      <w:divBdr>
        <w:top w:val="none" w:sz="0" w:space="0" w:color="auto"/>
        <w:left w:val="none" w:sz="0" w:space="0" w:color="auto"/>
        <w:bottom w:val="none" w:sz="0" w:space="0" w:color="auto"/>
        <w:right w:val="none" w:sz="0" w:space="0" w:color="auto"/>
      </w:divBdr>
    </w:div>
    <w:div w:id="1013218983">
      <w:bodyDiv w:val="1"/>
      <w:marLeft w:val="0"/>
      <w:marRight w:val="0"/>
      <w:marTop w:val="0"/>
      <w:marBottom w:val="0"/>
      <w:divBdr>
        <w:top w:val="none" w:sz="0" w:space="0" w:color="auto"/>
        <w:left w:val="none" w:sz="0" w:space="0" w:color="auto"/>
        <w:bottom w:val="none" w:sz="0" w:space="0" w:color="auto"/>
        <w:right w:val="none" w:sz="0" w:space="0" w:color="auto"/>
      </w:divBdr>
    </w:div>
    <w:div w:id="1028217791">
      <w:bodyDiv w:val="1"/>
      <w:marLeft w:val="0"/>
      <w:marRight w:val="0"/>
      <w:marTop w:val="0"/>
      <w:marBottom w:val="0"/>
      <w:divBdr>
        <w:top w:val="none" w:sz="0" w:space="0" w:color="auto"/>
        <w:left w:val="none" w:sz="0" w:space="0" w:color="auto"/>
        <w:bottom w:val="none" w:sz="0" w:space="0" w:color="auto"/>
        <w:right w:val="none" w:sz="0" w:space="0" w:color="auto"/>
      </w:divBdr>
    </w:div>
    <w:div w:id="1052802720">
      <w:bodyDiv w:val="1"/>
      <w:marLeft w:val="0"/>
      <w:marRight w:val="0"/>
      <w:marTop w:val="0"/>
      <w:marBottom w:val="0"/>
      <w:divBdr>
        <w:top w:val="none" w:sz="0" w:space="0" w:color="auto"/>
        <w:left w:val="none" w:sz="0" w:space="0" w:color="auto"/>
        <w:bottom w:val="none" w:sz="0" w:space="0" w:color="auto"/>
        <w:right w:val="none" w:sz="0" w:space="0" w:color="auto"/>
      </w:divBdr>
    </w:div>
    <w:div w:id="1053037960">
      <w:bodyDiv w:val="1"/>
      <w:marLeft w:val="0"/>
      <w:marRight w:val="0"/>
      <w:marTop w:val="0"/>
      <w:marBottom w:val="0"/>
      <w:divBdr>
        <w:top w:val="none" w:sz="0" w:space="0" w:color="auto"/>
        <w:left w:val="none" w:sz="0" w:space="0" w:color="auto"/>
        <w:bottom w:val="none" w:sz="0" w:space="0" w:color="auto"/>
        <w:right w:val="none" w:sz="0" w:space="0" w:color="auto"/>
      </w:divBdr>
      <w:divsChild>
        <w:div w:id="1365980038">
          <w:marLeft w:val="0"/>
          <w:marRight w:val="0"/>
          <w:marTop w:val="0"/>
          <w:marBottom w:val="0"/>
          <w:divBdr>
            <w:top w:val="none" w:sz="0" w:space="0" w:color="auto"/>
            <w:left w:val="none" w:sz="0" w:space="0" w:color="auto"/>
            <w:bottom w:val="none" w:sz="0" w:space="0" w:color="auto"/>
            <w:right w:val="none" w:sz="0" w:space="0" w:color="auto"/>
          </w:divBdr>
          <w:divsChild>
            <w:div w:id="738328795">
              <w:marLeft w:val="0"/>
              <w:marRight w:val="0"/>
              <w:marTop w:val="0"/>
              <w:marBottom w:val="0"/>
              <w:divBdr>
                <w:top w:val="none" w:sz="0" w:space="0" w:color="auto"/>
                <w:left w:val="none" w:sz="0" w:space="0" w:color="auto"/>
                <w:bottom w:val="none" w:sz="0" w:space="0" w:color="auto"/>
                <w:right w:val="none" w:sz="0" w:space="0" w:color="auto"/>
              </w:divBdr>
              <w:divsChild>
                <w:div w:id="19419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26867">
      <w:bodyDiv w:val="1"/>
      <w:marLeft w:val="0"/>
      <w:marRight w:val="0"/>
      <w:marTop w:val="0"/>
      <w:marBottom w:val="0"/>
      <w:divBdr>
        <w:top w:val="none" w:sz="0" w:space="0" w:color="auto"/>
        <w:left w:val="none" w:sz="0" w:space="0" w:color="auto"/>
        <w:bottom w:val="none" w:sz="0" w:space="0" w:color="auto"/>
        <w:right w:val="none" w:sz="0" w:space="0" w:color="auto"/>
      </w:divBdr>
    </w:div>
    <w:div w:id="1081870086">
      <w:bodyDiv w:val="1"/>
      <w:marLeft w:val="0"/>
      <w:marRight w:val="0"/>
      <w:marTop w:val="0"/>
      <w:marBottom w:val="0"/>
      <w:divBdr>
        <w:top w:val="none" w:sz="0" w:space="0" w:color="auto"/>
        <w:left w:val="none" w:sz="0" w:space="0" w:color="auto"/>
        <w:bottom w:val="none" w:sz="0" w:space="0" w:color="auto"/>
        <w:right w:val="none" w:sz="0" w:space="0" w:color="auto"/>
      </w:divBdr>
    </w:div>
    <w:div w:id="1155299680">
      <w:bodyDiv w:val="1"/>
      <w:marLeft w:val="0"/>
      <w:marRight w:val="0"/>
      <w:marTop w:val="0"/>
      <w:marBottom w:val="0"/>
      <w:divBdr>
        <w:top w:val="none" w:sz="0" w:space="0" w:color="auto"/>
        <w:left w:val="none" w:sz="0" w:space="0" w:color="auto"/>
        <w:bottom w:val="none" w:sz="0" w:space="0" w:color="auto"/>
        <w:right w:val="none" w:sz="0" w:space="0" w:color="auto"/>
      </w:divBdr>
    </w:div>
    <w:div w:id="1160806135">
      <w:bodyDiv w:val="1"/>
      <w:marLeft w:val="0"/>
      <w:marRight w:val="0"/>
      <w:marTop w:val="0"/>
      <w:marBottom w:val="0"/>
      <w:divBdr>
        <w:top w:val="none" w:sz="0" w:space="0" w:color="auto"/>
        <w:left w:val="none" w:sz="0" w:space="0" w:color="auto"/>
        <w:bottom w:val="none" w:sz="0" w:space="0" w:color="auto"/>
        <w:right w:val="none" w:sz="0" w:space="0" w:color="auto"/>
      </w:divBdr>
      <w:divsChild>
        <w:div w:id="261189101">
          <w:marLeft w:val="0"/>
          <w:marRight w:val="0"/>
          <w:marTop w:val="0"/>
          <w:marBottom w:val="0"/>
          <w:divBdr>
            <w:top w:val="none" w:sz="0" w:space="0" w:color="auto"/>
            <w:left w:val="none" w:sz="0" w:space="0" w:color="auto"/>
            <w:bottom w:val="none" w:sz="0" w:space="0" w:color="auto"/>
            <w:right w:val="none" w:sz="0" w:space="0" w:color="auto"/>
          </w:divBdr>
          <w:divsChild>
            <w:div w:id="298150746">
              <w:marLeft w:val="0"/>
              <w:marRight w:val="0"/>
              <w:marTop w:val="0"/>
              <w:marBottom w:val="0"/>
              <w:divBdr>
                <w:top w:val="none" w:sz="0" w:space="0" w:color="auto"/>
                <w:left w:val="none" w:sz="0" w:space="0" w:color="auto"/>
                <w:bottom w:val="none" w:sz="0" w:space="0" w:color="auto"/>
                <w:right w:val="none" w:sz="0" w:space="0" w:color="auto"/>
              </w:divBdr>
              <w:divsChild>
                <w:div w:id="5476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82975">
      <w:bodyDiv w:val="1"/>
      <w:marLeft w:val="0"/>
      <w:marRight w:val="0"/>
      <w:marTop w:val="0"/>
      <w:marBottom w:val="0"/>
      <w:divBdr>
        <w:top w:val="none" w:sz="0" w:space="0" w:color="auto"/>
        <w:left w:val="none" w:sz="0" w:space="0" w:color="auto"/>
        <w:bottom w:val="none" w:sz="0" w:space="0" w:color="auto"/>
        <w:right w:val="none" w:sz="0" w:space="0" w:color="auto"/>
      </w:divBdr>
    </w:div>
    <w:div w:id="1174295896">
      <w:bodyDiv w:val="1"/>
      <w:marLeft w:val="0"/>
      <w:marRight w:val="0"/>
      <w:marTop w:val="0"/>
      <w:marBottom w:val="0"/>
      <w:divBdr>
        <w:top w:val="none" w:sz="0" w:space="0" w:color="auto"/>
        <w:left w:val="none" w:sz="0" w:space="0" w:color="auto"/>
        <w:bottom w:val="none" w:sz="0" w:space="0" w:color="auto"/>
        <w:right w:val="none" w:sz="0" w:space="0" w:color="auto"/>
      </w:divBdr>
    </w:div>
    <w:div w:id="1179079309">
      <w:bodyDiv w:val="1"/>
      <w:marLeft w:val="0"/>
      <w:marRight w:val="0"/>
      <w:marTop w:val="0"/>
      <w:marBottom w:val="0"/>
      <w:divBdr>
        <w:top w:val="none" w:sz="0" w:space="0" w:color="auto"/>
        <w:left w:val="none" w:sz="0" w:space="0" w:color="auto"/>
        <w:bottom w:val="none" w:sz="0" w:space="0" w:color="auto"/>
        <w:right w:val="none" w:sz="0" w:space="0" w:color="auto"/>
      </w:divBdr>
      <w:divsChild>
        <w:div w:id="1098865882">
          <w:marLeft w:val="0"/>
          <w:marRight w:val="0"/>
          <w:marTop w:val="0"/>
          <w:marBottom w:val="0"/>
          <w:divBdr>
            <w:top w:val="none" w:sz="0" w:space="0" w:color="auto"/>
            <w:left w:val="none" w:sz="0" w:space="0" w:color="auto"/>
            <w:bottom w:val="none" w:sz="0" w:space="0" w:color="auto"/>
            <w:right w:val="none" w:sz="0" w:space="0" w:color="auto"/>
          </w:divBdr>
          <w:divsChild>
            <w:div w:id="181405248">
              <w:marLeft w:val="0"/>
              <w:marRight w:val="0"/>
              <w:marTop w:val="0"/>
              <w:marBottom w:val="0"/>
              <w:divBdr>
                <w:top w:val="none" w:sz="0" w:space="0" w:color="auto"/>
                <w:left w:val="none" w:sz="0" w:space="0" w:color="auto"/>
                <w:bottom w:val="none" w:sz="0" w:space="0" w:color="auto"/>
                <w:right w:val="none" w:sz="0" w:space="0" w:color="auto"/>
              </w:divBdr>
              <w:divsChild>
                <w:div w:id="4763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09822">
      <w:bodyDiv w:val="1"/>
      <w:marLeft w:val="0"/>
      <w:marRight w:val="0"/>
      <w:marTop w:val="0"/>
      <w:marBottom w:val="0"/>
      <w:divBdr>
        <w:top w:val="none" w:sz="0" w:space="0" w:color="auto"/>
        <w:left w:val="none" w:sz="0" w:space="0" w:color="auto"/>
        <w:bottom w:val="none" w:sz="0" w:space="0" w:color="auto"/>
        <w:right w:val="none" w:sz="0" w:space="0" w:color="auto"/>
      </w:divBdr>
    </w:div>
    <w:div w:id="1208178032">
      <w:bodyDiv w:val="1"/>
      <w:marLeft w:val="0"/>
      <w:marRight w:val="0"/>
      <w:marTop w:val="0"/>
      <w:marBottom w:val="0"/>
      <w:divBdr>
        <w:top w:val="none" w:sz="0" w:space="0" w:color="auto"/>
        <w:left w:val="none" w:sz="0" w:space="0" w:color="auto"/>
        <w:bottom w:val="none" w:sz="0" w:space="0" w:color="auto"/>
        <w:right w:val="none" w:sz="0" w:space="0" w:color="auto"/>
      </w:divBdr>
    </w:div>
    <w:div w:id="1212614757">
      <w:bodyDiv w:val="1"/>
      <w:marLeft w:val="0"/>
      <w:marRight w:val="0"/>
      <w:marTop w:val="0"/>
      <w:marBottom w:val="0"/>
      <w:divBdr>
        <w:top w:val="none" w:sz="0" w:space="0" w:color="auto"/>
        <w:left w:val="none" w:sz="0" w:space="0" w:color="auto"/>
        <w:bottom w:val="none" w:sz="0" w:space="0" w:color="auto"/>
        <w:right w:val="none" w:sz="0" w:space="0" w:color="auto"/>
      </w:divBdr>
      <w:divsChild>
        <w:div w:id="1854879106">
          <w:marLeft w:val="0"/>
          <w:marRight w:val="0"/>
          <w:marTop w:val="0"/>
          <w:marBottom w:val="0"/>
          <w:divBdr>
            <w:top w:val="none" w:sz="0" w:space="0" w:color="auto"/>
            <w:left w:val="none" w:sz="0" w:space="0" w:color="auto"/>
            <w:bottom w:val="none" w:sz="0" w:space="0" w:color="auto"/>
            <w:right w:val="none" w:sz="0" w:space="0" w:color="auto"/>
          </w:divBdr>
          <w:divsChild>
            <w:div w:id="1922711789">
              <w:marLeft w:val="0"/>
              <w:marRight w:val="0"/>
              <w:marTop w:val="0"/>
              <w:marBottom w:val="0"/>
              <w:divBdr>
                <w:top w:val="none" w:sz="0" w:space="0" w:color="auto"/>
                <w:left w:val="none" w:sz="0" w:space="0" w:color="auto"/>
                <w:bottom w:val="none" w:sz="0" w:space="0" w:color="auto"/>
                <w:right w:val="none" w:sz="0" w:space="0" w:color="auto"/>
              </w:divBdr>
              <w:divsChild>
                <w:div w:id="8953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70506">
      <w:bodyDiv w:val="1"/>
      <w:marLeft w:val="0"/>
      <w:marRight w:val="0"/>
      <w:marTop w:val="0"/>
      <w:marBottom w:val="0"/>
      <w:divBdr>
        <w:top w:val="none" w:sz="0" w:space="0" w:color="auto"/>
        <w:left w:val="none" w:sz="0" w:space="0" w:color="auto"/>
        <w:bottom w:val="none" w:sz="0" w:space="0" w:color="auto"/>
        <w:right w:val="none" w:sz="0" w:space="0" w:color="auto"/>
      </w:divBdr>
      <w:divsChild>
        <w:div w:id="1702166747">
          <w:marLeft w:val="0"/>
          <w:marRight w:val="0"/>
          <w:marTop w:val="0"/>
          <w:marBottom w:val="0"/>
          <w:divBdr>
            <w:top w:val="none" w:sz="0" w:space="0" w:color="auto"/>
            <w:left w:val="none" w:sz="0" w:space="0" w:color="auto"/>
            <w:bottom w:val="none" w:sz="0" w:space="0" w:color="auto"/>
            <w:right w:val="none" w:sz="0" w:space="0" w:color="auto"/>
          </w:divBdr>
          <w:divsChild>
            <w:div w:id="349838787">
              <w:marLeft w:val="0"/>
              <w:marRight w:val="0"/>
              <w:marTop w:val="0"/>
              <w:marBottom w:val="0"/>
              <w:divBdr>
                <w:top w:val="none" w:sz="0" w:space="0" w:color="auto"/>
                <w:left w:val="none" w:sz="0" w:space="0" w:color="auto"/>
                <w:bottom w:val="none" w:sz="0" w:space="0" w:color="auto"/>
                <w:right w:val="none" w:sz="0" w:space="0" w:color="auto"/>
              </w:divBdr>
              <w:divsChild>
                <w:div w:id="12239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1754">
      <w:bodyDiv w:val="1"/>
      <w:marLeft w:val="0"/>
      <w:marRight w:val="0"/>
      <w:marTop w:val="0"/>
      <w:marBottom w:val="0"/>
      <w:divBdr>
        <w:top w:val="none" w:sz="0" w:space="0" w:color="auto"/>
        <w:left w:val="none" w:sz="0" w:space="0" w:color="auto"/>
        <w:bottom w:val="none" w:sz="0" w:space="0" w:color="auto"/>
        <w:right w:val="none" w:sz="0" w:space="0" w:color="auto"/>
      </w:divBdr>
    </w:div>
    <w:div w:id="1290554050">
      <w:bodyDiv w:val="1"/>
      <w:marLeft w:val="0"/>
      <w:marRight w:val="0"/>
      <w:marTop w:val="0"/>
      <w:marBottom w:val="0"/>
      <w:divBdr>
        <w:top w:val="none" w:sz="0" w:space="0" w:color="auto"/>
        <w:left w:val="none" w:sz="0" w:space="0" w:color="auto"/>
        <w:bottom w:val="none" w:sz="0" w:space="0" w:color="auto"/>
        <w:right w:val="none" w:sz="0" w:space="0" w:color="auto"/>
      </w:divBdr>
    </w:div>
    <w:div w:id="1301495229">
      <w:bodyDiv w:val="1"/>
      <w:marLeft w:val="0"/>
      <w:marRight w:val="0"/>
      <w:marTop w:val="0"/>
      <w:marBottom w:val="0"/>
      <w:divBdr>
        <w:top w:val="none" w:sz="0" w:space="0" w:color="auto"/>
        <w:left w:val="none" w:sz="0" w:space="0" w:color="auto"/>
        <w:bottom w:val="none" w:sz="0" w:space="0" w:color="auto"/>
        <w:right w:val="none" w:sz="0" w:space="0" w:color="auto"/>
      </w:divBdr>
    </w:div>
    <w:div w:id="1309625739">
      <w:bodyDiv w:val="1"/>
      <w:marLeft w:val="0"/>
      <w:marRight w:val="0"/>
      <w:marTop w:val="0"/>
      <w:marBottom w:val="0"/>
      <w:divBdr>
        <w:top w:val="none" w:sz="0" w:space="0" w:color="auto"/>
        <w:left w:val="none" w:sz="0" w:space="0" w:color="auto"/>
        <w:bottom w:val="none" w:sz="0" w:space="0" w:color="auto"/>
        <w:right w:val="none" w:sz="0" w:space="0" w:color="auto"/>
      </w:divBdr>
    </w:div>
    <w:div w:id="1317149390">
      <w:bodyDiv w:val="1"/>
      <w:marLeft w:val="0"/>
      <w:marRight w:val="0"/>
      <w:marTop w:val="0"/>
      <w:marBottom w:val="0"/>
      <w:divBdr>
        <w:top w:val="none" w:sz="0" w:space="0" w:color="auto"/>
        <w:left w:val="none" w:sz="0" w:space="0" w:color="auto"/>
        <w:bottom w:val="none" w:sz="0" w:space="0" w:color="auto"/>
        <w:right w:val="none" w:sz="0" w:space="0" w:color="auto"/>
      </w:divBdr>
      <w:divsChild>
        <w:div w:id="1356689585">
          <w:marLeft w:val="0"/>
          <w:marRight w:val="0"/>
          <w:marTop w:val="0"/>
          <w:marBottom w:val="0"/>
          <w:divBdr>
            <w:top w:val="none" w:sz="0" w:space="0" w:color="auto"/>
            <w:left w:val="none" w:sz="0" w:space="0" w:color="auto"/>
            <w:bottom w:val="none" w:sz="0" w:space="0" w:color="auto"/>
            <w:right w:val="none" w:sz="0" w:space="0" w:color="auto"/>
          </w:divBdr>
          <w:divsChild>
            <w:div w:id="821969576">
              <w:marLeft w:val="0"/>
              <w:marRight w:val="0"/>
              <w:marTop w:val="0"/>
              <w:marBottom w:val="0"/>
              <w:divBdr>
                <w:top w:val="none" w:sz="0" w:space="0" w:color="auto"/>
                <w:left w:val="none" w:sz="0" w:space="0" w:color="auto"/>
                <w:bottom w:val="none" w:sz="0" w:space="0" w:color="auto"/>
                <w:right w:val="none" w:sz="0" w:space="0" w:color="auto"/>
              </w:divBdr>
              <w:divsChild>
                <w:div w:id="20128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80510">
      <w:bodyDiv w:val="1"/>
      <w:marLeft w:val="0"/>
      <w:marRight w:val="0"/>
      <w:marTop w:val="0"/>
      <w:marBottom w:val="0"/>
      <w:divBdr>
        <w:top w:val="none" w:sz="0" w:space="0" w:color="auto"/>
        <w:left w:val="none" w:sz="0" w:space="0" w:color="auto"/>
        <w:bottom w:val="none" w:sz="0" w:space="0" w:color="auto"/>
        <w:right w:val="none" w:sz="0" w:space="0" w:color="auto"/>
      </w:divBdr>
    </w:div>
    <w:div w:id="1344438196">
      <w:bodyDiv w:val="1"/>
      <w:marLeft w:val="0"/>
      <w:marRight w:val="0"/>
      <w:marTop w:val="0"/>
      <w:marBottom w:val="0"/>
      <w:divBdr>
        <w:top w:val="none" w:sz="0" w:space="0" w:color="auto"/>
        <w:left w:val="none" w:sz="0" w:space="0" w:color="auto"/>
        <w:bottom w:val="none" w:sz="0" w:space="0" w:color="auto"/>
        <w:right w:val="none" w:sz="0" w:space="0" w:color="auto"/>
      </w:divBdr>
    </w:div>
    <w:div w:id="1373967015">
      <w:bodyDiv w:val="1"/>
      <w:marLeft w:val="0"/>
      <w:marRight w:val="0"/>
      <w:marTop w:val="0"/>
      <w:marBottom w:val="0"/>
      <w:divBdr>
        <w:top w:val="none" w:sz="0" w:space="0" w:color="auto"/>
        <w:left w:val="none" w:sz="0" w:space="0" w:color="auto"/>
        <w:bottom w:val="none" w:sz="0" w:space="0" w:color="auto"/>
        <w:right w:val="none" w:sz="0" w:space="0" w:color="auto"/>
      </w:divBdr>
      <w:divsChild>
        <w:div w:id="1607887808">
          <w:marLeft w:val="0"/>
          <w:marRight w:val="0"/>
          <w:marTop w:val="0"/>
          <w:marBottom w:val="0"/>
          <w:divBdr>
            <w:top w:val="none" w:sz="0" w:space="0" w:color="auto"/>
            <w:left w:val="none" w:sz="0" w:space="0" w:color="auto"/>
            <w:bottom w:val="none" w:sz="0" w:space="0" w:color="auto"/>
            <w:right w:val="none" w:sz="0" w:space="0" w:color="auto"/>
          </w:divBdr>
          <w:divsChild>
            <w:div w:id="1969388442">
              <w:marLeft w:val="0"/>
              <w:marRight w:val="0"/>
              <w:marTop w:val="0"/>
              <w:marBottom w:val="0"/>
              <w:divBdr>
                <w:top w:val="none" w:sz="0" w:space="0" w:color="auto"/>
                <w:left w:val="none" w:sz="0" w:space="0" w:color="auto"/>
                <w:bottom w:val="none" w:sz="0" w:space="0" w:color="auto"/>
                <w:right w:val="none" w:sz="0" w:space="0" w:color="auto"/>
              </w:divBdr>
              <w:divsChild>
                <w:div w:id="20660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8965">
      <w:bodyDiv w:val="1"/>
      <w:marLeft w:val="0"/>
      <w:marRight w:val="0"/>
      <w:marTop w:val="0"/>
      <w:marBottom w:val="0"/>
      <w:divBdr>
        <w:top w:val="none" w:sz="0" w:space="0" w:color="auto"/>
        <w:left w:val="none" w:sz="0" w:space="0" w:color="auto"/>
        <w:bottom w:val="none" w:sz="0" w:space="0" w:color="auto"/>
        <w:right w:val="none" w:sz="0" w:space="0" w:color="auto"/>
      </w:divBdr>
    </w:div>
    <w:div w:id="1393114625">
      <w:bodyDiv w:val="1"/>
      <w:marLeft w:val="0"/>
      <w:marRight w:val="0"/>
      <w:marTop w:val="0"/>
      <w:marBottom w:val="0"/>
      <w:divBdr>
        <w:top w:val="none" w:sz="0" w:space="0" w:color="auto"/>
        <w:left w:val="none" w:sz="0" w:space="0" w:color="auto"/>
        <w:bottom w:val="none" w:sz="0" w:space="0" w:color="auto"/>
        <w:right w:val="none" w:sz="0" w:space="0" w:color="auto"/>
      </w:divBdr>
    </w:div>
    <w:div w:id="1418399290">
      <w:bodyDiv w:val="1"/>
      <w:marLeft w:val="0"/>
      <w:marRight w:val="0"/>
      <w:marTop w:val="0"/>
      <w:marBottom w:val="0"/>
      <w:divBdr>
        <w:top w:val="none" w:sz="0" w:space="0" w:color="auto"/>
        <w:left w:val="none" w:sz="0" w:space="0" w:color="auto"/>
        <w:bottom w:val="none" w:sz="0" w:space="0" w:color="auto"/>
        <w:right w:val="none" w:sz="0" w:space="0" w:color="auto"/>
      </w:divBdr>
    </w:div>
    <w:div w:id="1430465551">
      <w:bodyDiv w:val="1"/>
      <w:marLeft w:val="0"/>
      <w:marRight w:val="0"/>
      <w:marTop w:val="0"/>
      <w:marBottom w:val="0"/>
      <w:divBdr>
        <w:top w:val="none" w:sz="0" w:space="0" w:color="auto"/>
        <w:left w:val="none" w:sz="0" w:space="0" w:color="auto"/>
        <w:bottom w:val="none" w:sz="0" w:space="0" w:color="auto"/>
        <w:right w:val="none" w:sz="0" w:space="0" w:color="auto"/>
      </w:divBdr>
    </w:div>
    <w:div w:id="1445535531">
      <w:bodyDiv w:val="1"/>
      <w:marLeft w:val="0"/>
      <w:marRight w:val="0"/>
      <w:marTop w:val="0"/>
      <w:marBottom w:val="0"/>
      <w:divBdr>
        <w:top w:val="none" w:sz="0" w:space="0" w:color="auto"/>
        <w:left w:val="none" w:sz="0" w:space="0" w:color="auto"/>
        <w:bottom w:val="none" w:sz="0" w:space="0" w:color="auto"/>
        <w:right w:val="none" w:sz="0" w:space="0" w:color="auto"/>
      </w:divBdr>
    </w:div>
    <w:div w:id="1471434932">
      <w:bodyDiv w:val="1"/>
      <w:marLeft w:val="0"/>
      <w:marRight w:val="0"/>
      <w:marTop w:val="0"/>
      <w:marBottom w:val="0"/>
      <w:divBdr>
        <w:top w:val="none" w:sz="0" w:space="0" w:color="auto"/>
        <w:left w:val="none" w:sz="0" w:space="0" w:color="auto"/>
        <w:bottom w:val="none" w:sz="0" w:space="0" w:color="auto"/>
        <w:right w:val="none" w:sz="0" w:space="0" w:color="auto"/>
      </w:divBdr>
    </w:div>
    <w:div w:id="1471895650">
      <w:bodyDiv w:val="1"/>
      <w:marLeft w:val="0"/>
      <w:marRight w:val="0"/>
      <w:marTop w:val="0"/>
      <w:marBottom w:val="0"/>
      <w:divBdr>
        <w:top w:val="none" w:sz="0" w:space="0" w:color="auto"/>
        <w:left w:val="none" w:sz="0" w:space="0" w:color="auto"/>
        <w:bottom w:val="none" w:sz="0" w:space="0" w:color="auto"/>
        <w:right w:val="none" w:sz="0" w:space="0" w:color="auto"/>
      </w:divBdr>
    </w:div>
    <w:div w:id="1472943616">
      <w:bodyDiv w:val="1"/>
      <w:marLeft w:val="0"/>
      <w:marRight w:val="0"/>
      <w:marTop w:val="0"/>
      <w:marBottom w:val="0"/>
      <w:divBdr>
        <w:top w:val="none" w:sz="0" w:space="0" w:color="auto"/>
        <w:left w:val="none" w:sz="0" w:space="0" w:color="auto"/>
        <w:bottom w:val="none" w:sz="0" w:space="0" w:color="auto"/>
        <w:right w:val="none" w:sz="0" w:space="0" w:color="auto"/>
      </w:divBdr>
      <w:divsChild>
        <w:div w:id="242111646">
          <w:marLeft w:val="0"/>
          <w:marRight w:val="0"/>
          <w:marTop w:val="0"/>
          <w:marBottom w:val="0"/>
          <w:divBdr>
            <w:top w:val="none" w:sz="0" w:space="0" w:color="auto"/>
            <w:left w:val="none" w:sz="0" w:space="0" w:color="auto"/>
            <w:bottom w:val="none" w:sz="0" w:space="0" w:color="auto"/>
            <w:right w:val="none" w:sz="0" w:space="0" w:color="auto"/>
          </w:divBdr>
          <w:divsChild>
            <w:div w:id="2006391930">
              <w:marLeft w:val="0"/>
              <w:marRight w:val="0"/>
              <w:marTop w:val="0"/>
              <w:marBottom w:val="0"/>
              <w:divBdr>
                <w:top w:val="none" w:sz="0" w:space="0" w:color="auto"/>
                <w:left w:val="none" w:sz="0" w:space="0" w:color="auto"/>
                <w:bottom w:val="none" w:sz="0" w:space="0" w:color="auto"/>
                <w:right w:val="none" w:sz="0" w:space="0" w:color="auto"/>
              </w:divBdr>
              <w:divsChild>
                <w:div w:id="8839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5213">
      <w:bodyDiv w:val="1"/>
      <w:marLeft w:val="0"/>
      <w:marRight w:val="0"/>
      <w:marTop w:val="0"/>
      <w:marBottom w:val="0"/>
      <w:divBdr>
        <w:top w:val="none" w:sz="0" w:space="0" w:color="auto"/>
        <w:left w:val="none" w:sz="0" w:space="0" w:color="auto"/>
        <w:bottom w:val="none" w:sz="0" w:space="0" w:color="auto"/>
        <w:right w:val="none" w:sz="0" w:space="0" w:color="auto"/>
      </w:divBdr>
    </w:div>
    <w:div w:id="1495217178">
      <w:bodyDiv w:val="1"/>
      <w:marLeft w:val="0"/>
      <w:marRight w:val="0"/>
      <w:marTop w:val="0"/>
      <w:marBottom w:val="0"/>
      <w:divBdr>
        <w:top w:val="none" w:sz="0" w:space="0" w:color="auto"/>
        <w:left w:val="none" w:sz="0" w:space="0" w:color="auto"/>
        <w:bottom w:val="none" w:sz="0" w:space="0" w:color="auto"/>
        <w:right w:val="none" w:sz="0" w:space="0" w:color="auto"/>
      </w:divBdr>
    </w:div>
    <w:div w:id="1495678422">
      <w:bodyDiv w:val="1"/>
      <w:marLeft w:val="0"/>
      <w:marRight w:val="0"/>
      <w:marTop w:val="0"/>
      <w:marBottom w:val="0"/>
      <w:divBdr>
        <w:top w:val="none" w:sz="0" w:space="0" w:color="auto"/>
        <w:left w:val="none" w:sz="0" w:space="0" w:color="auto"/>
        <w:bottom w:val="none" w:sz="0" w:space="0" w:color="auto"/>
        <w:right w:val="none" w:sz="0" w:space="0" w:color="auto"/>
      </w:divBdr>
      <w:divsChild>
        <w:div w:id="2066953952">
          <w:marLeft w:val="0"/>
          <w:marRight w:val="0"/>
          <w:marTop w:val="0"/>
          <w:marBottom w:val="0"/>
          <w:divBdr>
            <w:top w:val="none" w:sz="0" w:space="0" w:color="auto"/>
            <w:left w:val="none" w:sz="0" w:space="0" w:color="auto"/>
            <w:bottom w:val="none" w:sz="0" w:space="0" w:color="auto"/>
            <w:right w:val="none" w:sz="0" w:space="0" w:color="auto"/>
          </w:divBdr>
          <w:divsChild>
            <w:div w:id="444665463">
              <w:marLeft w:val="0"/>
              <w:marRight w:val="0"/>
              <w:marTop w:val="0"/>
              <w:marBottom w:val="0"/>
              <w:divBdr>
                <w:top w:val="none" w:sz="0" w:space="0" w:color="auto"/>
                <w:left w:val="none" w:sz="0" w:space="0" w:color="auto"/>
                <w:bottom w:val="none" w:sz="0" w:space="0" w:color="auto"/>
                <w:right w:val="none" w:sz="0" w:space="0" w:color="auto"/>
              </w:divBdr>
              <w:divsChild>
                <w:div w:id="15298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00676">
      <w:bodyDiv w:val="1"/>
      <w:marLeft w:val="0"/>
      <w:marRight w:val="0"/>
      <w:marTop w:val="0"/>
      <w:marBottom w:val="0"/>
      <w:divBdr>
        <w:top w:val="none" w:sz="0" w:space="0" w:color="auto"/>
        <w:left w:val="none" w:sz="0" w:space="0" w:color="auto"/>
        <w:bottom w:val="none" w:sz="0" w:space="0" w:color="auto"/>
        <w:right w:val="none" w:sz="0" w:space="0" w:color="auto"/>
      </w:divBdr>
    </w:div>
    <w:div w:id="1547986345">
      <w:bodyDiv w:val="1"/>
      <w:marLeft w:val="0"/>
      <w:marRight w:val="0"/>
      <w:marTop w:val="0"/>
      <w:marBottom w:val="0"/>
      <w:divBdr>
        <w:top w:val="none" w:sz="0" w:space="0" w:color="auto"/>
        <w:left w:val="none" w:sz="0" w:space="0" w:color="auto"/>
        <w:bottom w:val="none" w:sz="0" w:space="0" w:color="auto"/>
        <w:right w:val="none" w:sz="0" w:space="0" w:color="auto"/>
      </w:divBdr>
      <w:divsChild>
        <w:div w:id="1437362913">
          <w:marLeft w:val="0"/>
          <w:marRight w:val="0"/>
          <w:marTop w:val="0"/>
          <w:marBottom w:val="0"/>
          <w:divBdr>
            <w:top w:val="none" w:sz="0" w:space="0" w:color="auto"/>
            <w:left w:val="none" w:sz="0" w:space="0" w:color="auto"/>
            <w:bottom w:val="none" w:sz="0" w:space="0" w:color="auto"/>
            <w:right w:val="none" w:sz="0" w:space="0" w:color="auto"/>
          </w:divBdr>
          <w:divsChild>
            <w:div w:id="1773939771">
              <w:marLeft w:val="0"/>
              <w:marRight w:val="0"/>
              <w:marTop w:val="0"/>
              <w:marBottom w:val="0"/>
              <w:divBdr>
                <w:top w:val="none" w:sz="0" w:space="0" w:color="auto"/>
                <w:left w:val="none" w:sz="0" w:space="0" w:color="auto"/>
                <w:bottom w:val="none" w:sz="0" w:space="0" w:color="auto"/>
                <w:right w:val="none" w:sz="0" w:space="0" w:color="auto"/>
              </w:divBdr>
              <w:divsChild>
                <w:div w:id="10274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3886">
      <w:bodyDiv w:val="1"/>
      <w:marLeft w:val="0"/>
      <w:marRight w:val="0"/>
      <w:marTop w:val="0"/>
      <w:marBottom w:val="0"/>
      <w:divBdr>
        <w:top w:val="none" w:sz="0" w:space="0" w:color="auto"/>
        <w:left w:val="none" w:sz="0" w:space="0" w:color="auto"/>
        <w:bottom w:val="none" w:sz="0" w:space="0" w:color="auto"/>
        <w:right w:val="none" w:sz="0" w:space="0" w:color="auto"/>
      </w:divBdr>
    </w:div>
    <w:div w:id="1604412409">
      <w:bodyDiv w:val="1"/>
      <w:marLeft w:val="0"/>
      <w:marRight w:val="0"/>
      <w:marTop w:val="0"/>
      <w:marBottom w:val="0"/>
      <w:divBdr>
        <w:top w:val="none" w:sz="0" w:space="0" w:color="auto"/>
        <w:left w:val="none" w:sz="0" w:space="0" w:color="auto"/>
        <w:bottom w:val="none" w:sz="0" w:space="0" w:color="auto"/>
        <w:right w:val="none" w:sz="0" w:space="0" w:color="auto"/>
      </w:divBdr>
    </w:div>
    <w:div w:id="1609315369">
      <w:bodyDiv w:val="1"/>
      <w:marLeft w:val="0"/>
      <w:marRight w:val="0"/>
      <w:marTop w:val="0"/>
      <w:marBottom w:val="0"/>
      <w:divBdr>
        <w:top w:val="none" w:sz="0" w:space="0" w:color="auto"/>
        <w:left w:val="none" w:sz="0" w:space="0" w:color="auto"/>
        <w:bottom w:val="none" w:sz="0" w:space="0" w:color="auto"/>
        <w:right w:val="none" w:sz="0" w:space="0" w:color="auto"/>
      </w:divBdr>
    </w:div>
    <w:div w:id="1609700511">
      <w:bodyDiv w:val="1"/>
      <w:marLeft w:val="0"/>
      <w:marRight w:val="0"/>
      <w:marTop w:val="0"/>
      <w:marBottom w:val="0"/>
      <w:divBdr>
        <w:top w:val="none" w:sz="0" w:space="0" w:color="auto"/>
        <w:left w:val="none" w:sz="0" w:space="0" w:color="auto"/>
        <w:bottom w:val="none" w:sz="0" w:space="0" w:color="auto"/>
        <w:right w:val="none" w:sz="0" w:space="0" w:color="auto"/>
      </w:divBdr>
      <w:divsChild>
        <w:div w:id="634990384">
          <w:marLeft w:val="0"/>
          <w:marRight w:val="0"/>
          <w:marTop w:val="0"/>
          <w:marBottom w:val="0"/>
          <w:divBdr>
            <w:top w:val="none" w:sz="0" w:space="0" w:color="auto"/>
            <w:left w:val="none" w:sz="0" w:space="0" w:color="auto"/>
            <w:bottom w:val="none" w:sz="0" w:space="0" w:color="auto"/>
            <w:right w:val="none" w:sz="0" w:space="0" w:color="auto"/>
          </w:divBdr>
          <w:divsChild>
            <w:div w:id="516390064">
              <w:marLeft w:val="0"/>
              <w:marRight w:val="0"/>
              <w:marTop w:val="0"/>
              <w:marBottom w:val="0"/>
              <w:divBdr>
                <w:top w:val="none" w:sz="0" w:space="0" w:color="auto"/>
                <w:left w:val="none" w:sz="0" w:space="0" w:color="auto"/>
                <w:bottom w:val="none" w:sz="0" w:space="0" w:color="auto"/>
                <w:right w:val="none" w:sz="0" w:space="0" w:color="auto"/>
              </w:divBdr>
              <w:divsChild>
                <w:div w:id="12190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8313">
      <w:bodyDiv w:val="1"/>
      <w:marLeft w:val="0"/>
      <w:marRight w:val="0"/>
      <w:marTop w:val="0"/>
      <w:marBottom w:val="0"/>
      <w:divBdr>
        <w:top w:val="none" w:sz="0" w:space="0" w:color="auto"/>
        <w:left w:val="none" w:sz="0" w:space="0" w:color="auto"/>
        <w:bottom w:val="none" w:sz="0" w:space="0" w:color="auto"/>
        <w:right w:val="none" w:sz="0" w:space="0" w:color="auto"/>
      </w:divBdr>
      <w:divsChild>
        <w:div w:id="775171838">
          <w:marLeft w:val="0"/>
          <w:marRight w:val="0"/>
          <w:marTop w:val="0"/>
          <w:marBottom w:val="0"/>
          <w:divBdr>
            <w:top w:val="none" w:sz="0" w:space="0" w:color="auto"/>
            <w:left w:val="none" w:sz="0" w:space="0" w:color="auto"/>
            <w:bottom w:val="none" w:sz="0" w:space="0" w:color="auto"/>
            <w:right w:val="none" w:sz="0" w:space="0" w:color="auto"/>
          </w:divBdr>
          <w:divsChild>
            <w:div w:id="331759281">
              <w:marLeft w:val="0"/>
              <w:marRight w:val="0"/>
              <w:marTop w:val="0"/>
              <w:marBottom w:val="0"/>
              <w:divBdr>
                <w:top w:val="none" w:sz="0" w:space="0" w:color="auto"/>
                <w:left w:val="none" w:sz="0" w:space="0" w:color="auto"/>
                <w:bottom w:val="none" w:sz="0" w:space="0" w:color="auto"/>
                <w:right w:val="none" w:sz="0" w:space="0" w:color="auto"/>
              </w:divBdr>
              <w:divsChild>
                <w:div w:id="10731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69298">
      <w:bodyDiv w:val="1"/>
      <w:marLeft w:val="0"/>
      <w:marRight w:val="0"/>
      <w:marTop w:val="0"/>
      <w:marBottom w:val="0"/>
      <w:divBdr>
        <w:top w:val="none" w:sz="0" w:space="0" w:color="auto"/>
        <w:left w:val="none" w:sz="0" w:space="0" w:color="auto"/>
        <w:bottom w:val="none" w:sz="0" w:space="0" w:color="auto"/>
        <w:right w:val="none" w:sz="0" w:space="0" w:color="auto"/>
      </w:divBdr>
    </w:div>
    <w:div w:id="1658606870">
      <w:bodyDiv w:val="1"/>
      <w:marLeft w:val="0"/>
      <w:marRight w:val="0"/>
      <w:marTop w:val="0"/>
      <w:marBottom w:val="0"/>
      <w:divBdr>
        <w:top w:val="none" w:sz="0" w:space="0" w:color="auto"/>
        <w:left w:val="none" w:sz="0" w:space="0" w:color="auto"/>
        <w:bottom w:val="none" w:sz="0" w:space="0" w:color="auto"/>
        <w:right w:val="none" w:sz="0" w:space="0" w:color="auto"/>
      </w:divBdr>
    </w:div>
    <w:div w:id="1685744570">
      <w:bodyDiv w:val="1"/>
      <w:marLeft w:val="0"/>
      <w:marRight w:val="0"/>
      <w:marTop w:val="0"/>
      <w:marBottom w:val="0"/>
      <w:divBdr>
        <w:top w:val="none" w:sz="0" w:space="0" w:color="auto"/>
        <w:left w:val="none" w:sz="0" w:space="0" w:color="auto"/>
        <w:bottom w:val="none" w:sz="0" w:space="0" w:color="auto"/>
        <w:right w:val="none" w:sz="0" w:space="0" w:color="auto"/>
      </w:divBdr>
      <w:divsChild>
        <w:div w:id="1357656854">
          <w:marLeft w:val="0"/>
          <w:marRight w:val="0"/>
          <w:marTop w:val="0"/>
          <w:marBottom w:val="0"/>
          <w:divBdr>
            <w:top w:val="none" w:sz="0" w:space="0" w:color="auto"/>
            <w:left w:val="none" w:sz="0" w:space="0" w:color="auto"/>
            <w:bottom w:val="none" w:sz="0" w:space="0" w:color="auto"/>
            <w:right w:val="none" w:sz="0" w:space="0" w:color="auto"/>
          </w:divBdr>
          <w:divsChild>
            <w:div w:id="1848909781">
              <w:marLeft w:val="0"/>
              <w:marRight w:val="0"/>
              <w:marTop w:val="0"/>
              <w:marBottom w:val="0"/>
              <w:divBdr>
                <w:top w:val="none" w:sz="0" w:space="0" w:color="auto"/>
                <w:left w:val="none" w:sz="0" w:space="0" w:color="auto"/>
                <w:bottom w:val="none" w:sz="0" w:space="0" w:color="auto"/>
                <w:right w:val="none" w:sz="0" w:space="0" w:color="auto"/>
              </w:divBdr>
              <w:divsChild>
                <w:div w:id="10677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53161">
      <w:bodyDiv w:val="1"/>
      <w:marLeft w:val="0"/>
      <w:marRight w:val="0"/>
      <w:marTop w:val="0"/>
      <w:marBottom w:val="0"/>
      <w:divBdr>
        <w:top w:val="none" w:sz="0" w:space="0" w:color="auto"/>
        <w:left w:val="none" w:sz="0" w:space="0" w:color="auto"/>
        <w:bottom w:val="none" w:sz="0" w:space="0" w:color="auto"/>
        <w:right w:val="none" w:sz="0" w:space="0" w:color="auto"/>
      </w:divBdr>
      <w:divsChild>
        <w:div w:id="1664621756">
          <w:marLeft w:val="0"/>
          <w:marRight w:val="0"/>
          <w:marTop w:val="0"/>
          <w:marBottom w:val="0"/>
          <w:divBdr>
            <w:top w:val="none" w:sz="0" w:space="0" w:color="auto"/>
            <w:left w:val="none" w:sz="0" w:space="0" w:color="auto"/>
            <w:bottom w:val="none" w:sz="0" w:space="0" w:color="auto"/>
            <w:right w:val="none" w:sz="0" w:space="0" w:color="auto"/>
          </w:divBdr>
          <w:divsChild>
            <w:div w:id="357777985">
              <w:marLeft w:val="0"/>
              <w:marRight w:val="0"/>
              <w:marTop w:val="0"/>
              <w:marBottom w:val="0"/>
              <w:divBdr>
                <w:top w:val="none" w:sz="0" w:space="0" w:color="auto"/>
                <w:left w:val="none" w:sz="0" w:space="0" w:color="auto"/>
                <w:bottom w:val="none" w:sz="0" w:space="0" w:color="auto"/>
                <w:right w:val="none" w:sz="0" w:space="0" w:color="auto"/>
              </w:divBdr>
              <w:divsChild>
                <w:div w:id="16936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3918">
      <w:bodyDiv w:val="1"/>
      <w:marLeft w:val="0"/>
      <w:marRight w:val="0"/>
      <w:marTop w:val="0"/>
      <w:marBottom w:val="0"/>
      <w:divBdr>
        <w:top w:val="none" w:sz="0" w:space="0" w:color="auto"/>
        <w:left w:val="none" w:sz="0" w:space="0" w:color="auto"/>
        <w:bottom w:val="none" w:sz="0" w:space="0" w:color="auto"/>
        <w:right w:val="none" w:sz="0" w:space="0" w:color="auto"/>
      </w:divBdr>
    </w:div>
    <w:div w:id="1696073701">
      <w:bodyDiv w:val="1"/>
      <w:marLeft w:val="0"/>
      <w:marRight w:val="0"/>
      <w:marTop w:val="0"/>
      <w:marBottom w:val="0"/>
      <w:divBdr>
        <w:top w:val="none" w:sz="0" w:space="0" w:color="auto"/>
        <w:left w:val="none" w:sz="0" w:space="0" w:color="auto"/>
        <w:bottom w:val="none" w:sz="0" w:space="0" w:color="auto"/>
        <w:right w:val="none" w:sz="0" w:space="0" w:color="auto"/>
      </w:divBdr>
      <w:divsChild>
        <w:div w:id="786781022">
          <w:marLeft w:val="0"/>
          <w:marRight w:val="0"/>
          <w:marTop w:val="0"/>
          <w:marBottom w:val="0"/>
          <w:divBdr>
            <w:top w:val="none" w:sz="0" w:space="0" w:color="auto"/>
            <w:left w:val="none" w:sz="0" w:space="0" w:color="auto"/>
            <w:bottom w:val="none" w:sz="0" w:space="0" w:color="auto"/>
            <w:right w:val="none" w:sz="0" w:space="0" w:color="auto"/>
          </w:divBdr>
          <w:divsChild>
            <w:div w:id="2089842647">
              <w:marLeft w:val="0"/>
              <w:marRight w:val="0"/>
              <w:marTop w:val="0"/>
              <w:marBottom w:val="0"/>
              <w:divBdr>
                <w:top w:val="none" w:sz="0" w:space="0" w:color="auto"/>
                <w:left w:val="none" w:sz="0" w:space="0" w:color="auto"/>
                <w:bottom w:val="none" w:sz="0" w:space="0" w:color="auto"/>
                <w:right w:val="none" w:sz="0" w:space="0" w:color="auto"/>
              </w:divBdr>
              <w:divsChild>
                <w:div w:id="5379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3985">
      <w:bodyDiv w:val="1"/>
      <w:marLeft w:val="0"/>
      <w:marRight w:val="0"/>
      <w:marTop w:val="0"/>
      <w:marBottom w:val="0"/>
      <w:divBdr>
        <w:top w:val="none" w:sz="0" w:space="0" w:color="auto"/>
        <w:left w:val="none" w:sz="0" w:space="0" w:color="auto"/>
        <w:bottom w:val="none" w:sz="0" w:space="0" w:color="auto"/>
        <w:right w:val="none" w:sz="0" w:space="0" w:color="auto"/>
      </w:divBdr>
    </w:div>
    <w:div w:id="1721592779">
      <w:bodyDiv w:val="1"/>
      <w:marLeft w:val="0"/>
      <w:marRight w:val="0"/>
      <w:marTop w:val="0"/>
      <w:marBottom w:val="0"/>
      <w:divBdr>
        <w:top w:val="none" w:sz="0" w:space="0" w:color="auto"/>
        <w:left w:val="none" w:sz="0" w:space="0" w:color="auto"/>
        <w:bottom w:val="none" w:sz="0" w:space="0" w:color="auto"/>
        <w:right w:val="none" w:sz="0" w:space="0" w:color="auto"/>
      </w:divBdr>
      <w:divsChild>
        <w:div w:id="1980071193">
          <w:marLeft w:val="0"/>
          <w:marRight w:val="0"/>
          <w:marTop w:val="0"/>
          <w:marBottom w:val="0"/>
          <w:divBdr>
            <w:top w:val="none" w:sz="0" w:space="0" w:color="auto"/>
            <w:left w:val="none" w:sz="0" w:space="0" w:color="auto"/>
            <w:bottom w:val="none" w:sz="0" w:space="0" w:color="auto"/>
            <w:right w:val="none" w:sz="0" w:space="0" w:color="auto"/>
          </w:divBdr>
          <w:divsChild>
            <w:div w:id="1180120591">
              <w:marLeft w:val="0"/>
              <w:marRight w:val="0"/>
              <w:marTop w:val="0"/>
              <w:marBottom w:val="0"/>
              <w:divBdr>
                <w:top w:val="none" w:sz="0" w:space="0" w:color="auto"/>
                <w:left w:val="none" w:sz="0" w:space="0" w:color="auto"/>
                <w:bottom w:val="none" w:sz="0" w:space="0" w:color="auto"/>
                <w:right w:val="none" w:sz="0" w:space="0" w:color="auto"/>
              </w:divBdr>
              <w:divsChild>
                <w:div w:id="2413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41710">
      <w:bodyDiv w:val="1"/>
      <w:marLeft w:val="0"/>
      <w:marRight w:val="0"/>
      <w:marTop w:val="0"/>
      <w:marBottom w:val="0"/>
      <w:divBdr>
        <w:top w:val="none" w:sz="0" w:space="0" w:color="auto"/>
        <w:left w:val="none" w:sz="0" w:space="0" w:color="auto"/>
        <w:bottom w:val="none" w:sz="0" w:space="0" w:color="auto"/>
        <w:right w:val="none" w:sz="0" w:space="0" w:color="auto"/>
      </w:divBdr>
    </w:div>
    <w:div w:id="1763380066">
      <w:bodyDiv w:val="1"/>
      <w:marLeft w:val="0"/>
      <w:marRight w:val="0"/>
      <w:marTop w:val="0"/>
      <w:marBottom w:val="0"/>
      <w:divBdr>
        <w:top w:val="none" w:sz="0" w:space="0" w:color="auto"/>
        <w:left w:val="none" w:sz="0" w:space="0" w:color="auto"/>
        <w:bottom w:val="none" w:sz="0" w:space="0" w:color="auto"/>
        <w:right w:val="none" w:sz="0" w:space="0" w:color="auto"/>
      </w:divBdr>
      <w:divsChild>
        <w:div w:id="1169755640">
          <w:marLeft w:val="0"/>
          <w:marRight w:val="0"/>
          <w:marTop w:val="0"/>
          <w:marBottom w:val="0"/>
          <w:divBdr>
            <w:top w:val="none" w:sz="0" w:space="0" w:color="auto"/>
            <w:left w:val="none" w:sz="0" w:space="0" w:color="auto"/>
            <w:bottom w:val="none" w:sz="0" w:space="0" w:color="auto"/>
            <w:right w:val="none" w:sz="0" w:space="0" w:color="auto"/>
          </w:divBdr>
          <w:divsChild>
            <w:div w:id="1830748462">
              <w:marLeft w:val="0"/>
              <w:marRight w:val="0"/>
              <w:marTop w:val="0"/>
              <w:marBottom w:val="0"/>
              <w:divBdr>
                <w:top w:val="none" w:sz="0" w:space="0" w:color="auto"/>
                <w:left w:val="none" w:sz="0" w:space="0" w:color="auto"/>
                <w:bottom w:val="none" w:sz="0" w:space="0" w:color="auto"/>
                <w:right w:val="none" w:sz="0" w:space="0" w:color="auto"/>
              </w:divBdr>
              <w:divsChild>
                <w:div w:id="207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80201">
      <w:bodyDiv w:val="1"/>
      <w:marLeft w:val="0"/>
      <w:marRight w:val="0"/>
      <w:marTop w:val="0"/>
      <w:marBottom w:val="0"/>
      <w:divBdr>
        <w:top w:val="none" w:sz="0" w:space="0" w:color="auto"/>
        <w:left w:val="none" w:sz="0" w:space="0" w:color="auto"/>
        <w:bottom w:val="none" w:sz="0" w:space="0" w:color="auto"/>
        <w:right w:val="none" w:sz="0" w:space="0" w:color="auto"/>
      </w:divBdr>
    </w:div>
    <w:div w:id="1779569463">
      <w:bodyDiv w:val="1"/>
      <w:marLeft w:val="0"/>
      <w:marRight w:val="0"/>
      <w:marTop w:val="0"/>
      <w:marBottom w:val="0"/>
      <w:divBdr>
        <w:top w:val="none" w:sz="0" w:space="0" w:color="auto"/>
        <w:left w:val="none" w:sz="0" w:space="0" w:color="auto"/>
        <w:bottom w:val="none" w:sz="0" w:space="0" w:color="auto"/>
        <w:right w:val="none" w:sz="0" w:space="0" w:color="auto"/>
      </w:divBdr>
    </w:div>
    <w:div w:id="1780639995">
      <w:bodyDiv w:val="1"/>
      <w:marLeft w:val="0"/>
      <w:marRight w:val="0"/>
      <w:marTop w:val="0"/>
      <w:marBottom w:val="0"/>
      <w:divBdr>
        <w:top w:val="none" w:sz="0" w:space="0" w:color="auto"/>
        <w:left w:val="none" w:sz="0" w:space="0" w:color="auto"/>
        <w:bottom w:val="none" w:sz="0" w:space="0" w:color="auto"/>
        <w:right w:val="none" w:sz="0" w:space="0" w:color="auto"/>
      </w:divBdr>
    </w:div>
    <w:div w:id="1795636165">
      <w:bodyDiv w:val="1"/>
      <w:marLeft w:val="0"/>
      <w:marRight w:val="0"/>
      <w:marTop w:val="0"/>
      <w:marBottom w:val="0"/>
      <w:divBdr>
        <w:top w:val="none" w:sz="0" w:space="0" w:color="auto"/>
        <w:left w:val="none" w:sz="0" w:space="0" w:color="auto"/>
        <w:bottom w:val="none" w:sz="0" w:space="0" w:color="auto"/>
        <w:right w:val="none" w:sz="0" w:space="0" w:color="auto"/>
      </w:divBdr>
      <w:divsChild>
        <w:div w:id="1026977502">
          <w:marLeft w:val="0"/>
          <w:marRight w:val="0"/>
          <w:marTop w:val="0"/>
          <w:marBottom w:val="0"/>
          <w:divBdr>
            <w:top w:val="none" w:sz="0" w:space="0" w:color="auto"/>
            <w:left w:val="none" w:sz="0" w:space="0" w:color="auto"/>
            <w:bottom w:val="none" w:sz="0" w:space="0" w:color="auto"/>
            <w:right w:val="none" w:sz="0" w:space="0" w:color="auto"/>
          </w:divBdr>
          <w:divsChild>
            <w:div w:id="1414741451">
              <w:marLeft w:val="0"/>
              <w:marRight w:val="0"/>
              <w:marTop w:val="0"/>
              <w:marBottom w:val="0"/>
              <w:divBdr>
                <w:top w:val="none" w:sz="0" w:space="0" w:color="auto"/>
                <w:left w:val="none" w:sz="0" w:space="0" w:color="auto"/>
                <w:bottom w:val="none" w:sz="0" w:space="0" w:color="auto"/>
                <w:right w:val="none" w:sz="0" w:space="0" w:color="auto"/>
              </w:divBdr>
              <w:divsChild>
                <w:div w:id="187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09363">
      <w:bodyDiv w:val="1"/>
      <w:marLeft w:val="0"/>
      <w:marRight w:val="0"/>
      <w:marTop w:val="0"/>
      <w:marBottom w:val="0"/>
      <w:divBdr>
        <w:top w:val="none" w:sz="0" w:space="0" w:color="auto"/>
        <w:left w:val="none" w:sz="0" w:space="0" w:color="auto"/>
        <w:bottom w:val="none" w:sz="0" w:space="0" w:color="auto"/>
        <w:right w:val="none" w:sz="0" w:space="0" w:color="auto"/>
      </w:divBdr>
      <w:divsChild>
        <w:div w:id="657074588">
          <w:marLeft w:val="0"/>
          <w:marRight w:val="0"/>
          <w:marTop w:val="0"/>
          <w:marBottom w:val="0"/>
          <w:divBdr>
            <w:top w:val="none" w:sz="0" w:space="0" w:color="auto"/>
            <w:left w:val="none" w:sz="0" w:space="0" w:color="auto"/>
            <w:bottom w:val="none" w:sz="0" w:space="0" w:color="auto"/>
            <w:right w:val="none" w:sz="0" w:space="0" w:color="auto"/>
          </w:divBdr>
          <w:divsChild>
            <w:div w:id="97532579">
              <w:marLeft w:val="0"/>
              <w:marRight w:val="0"/>
              <w:marTop w:val="0"/>
              <w:marBottom w:val="0"/>
              <w:divBdr>
                <w:top w:val="none" w:sz="0" w:space="0" w:color="auto"/>
                <w:left w:val="none" w:sz="0" w:space="0" w:color="auto"/>
                <w:bottom w:val="none" w:sz="0" w:space="0" w:color="auto"/>
                <w:right w:val="none" w:sz="0" w:space="0" w:color="auto"/>
              </w:divBdr>
              <w:divsChild>
                <w:div w:id="17637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09186">
      <w:bodyDiv w:val="1"/>
      <w:marLeft w:val="0"/>
      <w:marRight w:val="0"/>
      <w:marTop w:val="0"/>
      <w:marBottom w:val="0"/>
      <w:divBdr>
        <w:top w:val="none" w:sz="0" w:space="0" w:color="auto"/>
        <w:left w:val="none" w:sz="0" w:space="0" w:color="auto"/>
        <w:bottom w:val="none" w:sz="0" w:space="0" w:color="auto"/>
        <w:right w:val="none" w:sz="0" w:space="0" w:color="auto"/>
      </w:divBdr>
      <w:divsChild>
        <w:div w:id="1377699076">
          <w:marLeft w:val="0"/>
          <w:marRight w:val="0"/>
          <w:marTop w:val="0"/>
          <w:marBottom w:val="0"/>
          <w:divBdr>
            <w:top w:val="none" w:sz="0" w:space="0" w:color="auto"/>
            <w:left w:val="none" w:sz="0" w:space="0" w:color="auto"/>
            <w:bottom w:val="none" w:sz="0" w:space="0" w:color="auto"/>
            <w:right w:val="none" w:sz="0" w:space="0" w:color="auto"/>
          </w:divBdr>
          <w:divsChild>
            <w:div w:id="1344090251">
              <w:marLeft w:val="0"/>
              <w:marRight w:val="0"/>
              <w:marTop w:val="0"/>
              <w:marBottom w:val="0"/>
              <w:divBdr>
                <w:top w:val="none" w:sz="0" w:space="0" w:color="auto"/>
                <w:left w:val="none" w:sz="0" w:space="0" w:color="auto"/>
                <w:bottom w:val="none" w:sz="0" w:space="0" w:color="auto"/>
                <w:right w:val="none" w:sz="0" w:space="0" w:color="auto"/>
              </w:divBdr>
              <w:divsChild>
                <w:div w:id="7190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4633">
      <w:bodyDiv w:val="1"/>
      <w:marLeft w:val="0"/>
      <w:marRight w:val="0"/>
      <w:marTop w:val="0"/>
      <w:marBottom w:val="0"/>
      <w:divBdr>
        <w:top w:val="none" w:sz="0" w:space="0" w:color="auto"/>
        <w:left w:val="none" w:sz="0" w:space="0" w:color="auto"/>
        <w:bottom w:val="none" w:sz="0" w:space="0" w:color="auto"/>
        <w:right w:val="none" w:sz="0" w:space="0" w:color="auto"/>
      </w:divBdr>
      <w:divsChild>
        <w:div w:id="1234118665">
          <w:marLeft w:val="0"/>
          <w:marRight w:val="0"/>
          <w:marTop w:val="0"/>
          <w:marBottom w:val="0"/>
          <w:divBdr>
            <w:top w:val="none" w:sz="0" w:space="0" w:color="auto"/>
            <w:left w:val="none" w:sz="0" w:space="0" w:color="auto"/>
            <w:bottom w:val="none" w:sz="0" w:space="0" w:color="auto"/>
            <w:right w:val="none" w:sz="0" w:space="0" w:color="auto"/>
          </w:divBdr>
          <w:divsChild>
            <w:div w:id="680081754">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2286">
      <w:bodyDiv w:val="1"/>
      <w:marLeft w:val="0"/>
      <w:marRight w:val="0"/>
      <w:marTop w:val="0"/>
      <w:marBottom w:val="0"/>
      <w:divBdr>
        <w:top w:val="none" w:sz="0" w:space="0" w:color="auto"/>
        <w:left w:val="none" w:sz="0" w:space="0" w:color="auto"/>
        <w:bottom w:val="none" w:sz="0" w:space="0" w:color="auto"/>
        <w:right w:val="none" w:sz="0" w:space="0" w:color="auto"/>
      </w:divBdr>
    </w:div>
    <w:div w:id="1860923152">
      <w:bodyDiv w:val="1"/>
      <w:marLeft w:val="0"/>
      <w:marRight w:val="0"/>
      <w:marTop w:val="0"/>
      <w:marBottom w:val="0"/>
      <w:divBdr>
        <w:top w:val="none" w:sz="0" w:space="0" w:color="auto"/>
        <w:left w:val="none" w:sz="0" w:space="0" w:color="auto"/>
        <w:bottom w:val="none" w:sz="0" w:space="0" w:color="auto"/>
        <w:right w:val="none" w:sz="0" w:space="0" w:color="auto"/>
      </w:divBdr>
    </w:div>
    <w:div w:id="1876573738">
      <w:bodyDiv w:val="1"/>
      <w:marLeft w:val="0"/>
      <w:marRight w:val="0"/>
      <w:marTop w:val="0"/>
      <w:marBottom w:val="0"/>
      <w:divBdr>
        <w:top w:val="none" w:sz="0" w:space="0" w:color="auto"/>
        <w:left w:val="none" w:sz="0" w:space="0" w:color="auto"/>
        <w:bottom w:val="none" w:sz="0" w:space="0" w:color="auto"/>
        <w:right w:val="none" w:sz="0" w:space="0" w:color="auto"/>
      </w:divBdr>
    </w:div>
    <w:div w:id="1876769883">
      <w:bodyDiv w:val="1"/>
      <w:marLeft w:val="0"/>
      <w:marRight w:val="0"/>
      <w:marTop w:val="0"/>
      <w:marBottom w:val="0"/>
      <w:divBdr>
        <w:top w:val="none" w:sz="0" w:space="0" w:color="auto"/>
        <w:left w:val="none" w:sz="0" w:space="0" w:color="auto"/>
        <w:bottom w:val="none" w:sz="0" w:space="0" w:color="auto"/>
        <w:right w:val="none" w:sz="0" w:space="0" w:color="auto"/>
      </w:divBdr>
    </w:div>
    <w:div w:id="1889759233">
      <w:bodyDiv w:val="1"/>
      <w:marLeft w:val="0"/>
      <w:marRight w:val="0"/>
      <w:marTop w:val="0"/>
      <w:marBottom w:val="0"/>
      <w:divBdr>
        <w:top w:val="none" w:sz="0" w:space="0" w:color="auto"/>
        <w:left w:val="none" w:sz="0" w:space="0" w:color="auto"/>
        <w:bottom w:val="none" w:sz="0" w:space="0" w:color="auto"/>
        <w:right w:val="none" w:sz="0" w:space="0" w:color="auto"/>
      </w:divBdr>
      <w:divsChild>
        <w:div w:id="670137169">
          <w:marLeft w:val="0"/>
          <w:marRight w:val="0"/>
          <w:marTop w:val="0"/>
          <w:marBottom w:val="0"/>
          <w:divBdr>
            <w:top w:val="none" w:sz="0" w:space="0" w:color="auto"/>
            <w:left w:val="none" w:sz="0" w:space="0" w:color="auto"/>
            <w:bottom w:val="none" w:sz="0" w:space="0" w:color="auto"/>
            <w:right w:val="none" w:sz="0" w:space="0" w:color="auto"/>
          </w:divBdr>
          <w:divsChild>
            <w:div w:id="633680971">
              <w:marLeft w:val="0"/>
              <w:marRight w:val="0"/>
              <w:marTop w:val="0"/>
              <w:marBottom w:val="0"/>
              <w:divBdr>
                <w:top w:val="none" w:sz="0" w:space="0" w:color="auto"/>
                <w:left w:val="none" w:sz="0" w:space="0" w:color="auto"/>
                <w:bottom w:val="none" w:sz="0" w:space="0" w:color="auto"/>
                <w:right w:val="none" w:sz="0" w:space="0" w:color="auto"/>
              </w:divBdr>
              <w:divsChild>
                <w:div w:id="25895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1449">
      <w:bodyDiv w:val="1"/>
      <w:marLeft w:val="0"/>
      <w:marRight w:val="0"/>
      <w:marTop w:val="0"/>
      <w:marBottom w:val="0"/>
      <w:divBdr>
        <w:top w:val="none" w:sz="0" w:space="0" w:color="auto"/>
        <w:left w:val="none" w:sz="0" w:space="0" w:color="auto"/>
        <w:bottom w:val="none" w:sz="0" w:space="0" w:color="auto"/>
        <w:right w:val="none" w:sz="0" w:space="0" w:color="auto"/>
      </w:divBdr>
    </w:div>
    <w:div w:id="1937324008">
      <w:bodyDiv w:val="1"/>
      <w:marLeft w:val="0"/>
      <w:marRight w:val="0"/>
      <w:marTop w:val="0"/>
      <w:marBottom w:val="0"/>
      <w:divBdr>
        <w:top w:val="none" w:sz="0" w:space="0" w:color="auto"/>
        <w:left w:val="none" w:sz="0" w:space="0" w:color="auto"/>
        <w:bottom w:val="none" w:sz="0" w:space="0" w:color="auto"/>
        <w:right w:val="none" w:sz="0" w:space="0" w:color="auto"/>
      </w:divBdr>
    </w:div>
    <w:div w:id="1993293657">
      <w:bodyDiv w:val="1"/>
      <w:marLeft w:val="0"/>
      <w:marRight w:val="0"/>
      <w:marTop w:val="0"/>
      <w:marBottom w:val="0"/>
      <w:divBdr>
        <w:top w:val="none" w:sz="0" w:space="0" w:color="auto"/>
        <w:left w:val="none" w:sz="0" w:space="0" w:color="auto"/>
        <w:bottom w:val="none" w:sz="0" w:space="0" w:color="auto"/>
        <w:right w:val="none" w:sz="0" w:space="0" w:color="auto"/>
      </w:divBdr>
      <w:divsChild>
        <w:div w:id="257717566">
          <w:marLeft w:val="0"/>
          <w:marRight w:val="0"/>
          <w:marTop w:val="0"/>
          <w:marBottom w:val="0"/>
          <w:divBdr>
            <w:top w:val="none" w:sz="0" w:space="0" w:color="auto"/>
            <w:left w:val="none" w:sz="0" w:space="0" w:color="auto"/>
            <w:bottom w:val="none" w:sz="0" w:space="0" w:color="auto"/>
            <w:right w:val="none" w:sz="0" w:space="0" w:color="auto"/>
          </w:divBdr>
          <w:divsChild>
            <w:div w:id="1434469835">
              <w:marLeft w:val="0"/>
              <w:marRight w:val="0"/>
              <w:marTop w:val="0"/>
              <w:marBottom w:val="0"/>
              <w:divBdr>
                <w:top w:val="none" w:sz="0" w:space="0" w:color="auto"/>
                <w:left w:val="none" w:sz="0" w:space="0" w:color="auto"/>
                <w:bottom w:val="none" w:sz="0" w:space="0" w:color="auto"/>
                <w:right w:val="none" w:sz="0" w:space="0" w:color="auto"/>
              </w:divBdr>
              <w:divsChild>
                <w:div w:id="1855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878">
      <w:bodyDiv w:val="1"/>
      <w:marLeft w:val="0"/>
      <w:marRight w:val="0"/>
      <w:marTop w:val="0"/>
      <w:marBottom w:val="0"/>
      <w:divBdr>
        <w:top w:val="none" w:sz="0" w:space="0" w:color="auto"/>
        <w:left w:val="none" w:sz="0" w:space="0" w:color="auto"/>
        <w:bottom w:val="none" w:sz="0" w:space="0" w:color="auto"/>
        <w:right w:val="none" w:sz="0" w:space="0" w:color="auto"/>
      </w:divBdr>
    </w:div>
    <w:div w:id="2061441044">
      <w:bodyDiv w:val="1"/>
      <w:marLeft w:val="0"/>
      <w:marRight w:val="0"/>
      <w:marTop w:val="0"/>
      <w:marBottom w:val="0"/>
      <w:divBdr>
        <w:top w:val="none" w:sz="0" w:space="0" w:color="auto"/>
        <w:left w:val="none" w:sz="0" w:space="0" w:color="auto"/>
        <w:bottom w:val="none" w:sz="0" w:space="0" w:color="auto"/>
        <w:right w:val="none" w:sz="0" w:space="0" w:color="auto"/>
      </w:divBdr>
    </w:div>
    <w:div w:id="2075347634">
      <w:bodyDiv w:val="1"/>
      <w:marLeft w:val="0"/>
      <w:marRight w:val="0"/>
      <w:marTop w:val="0"/>
      <w:marBottom w:val="0"/>
      <w:divBdr>
        <w:top w:val="none" w:sz="0" w:space="0" w:color="auto"/>
        <w:left w:val="none" w:sz="0" w:space="0" w:color="auto"/>
        <w:bottom w:val="none" w:sz="0" w:space="0" w:color="auto"/>
        <w:right w:val="none" w:sz="0" w:space="0" w:color="auto"/>
      </w:divBdr>
    </w:div>
    <w:div w:id="2085494201">
      <w:bodyDiv w:val="1"/>
      <w:marLeft w:val="0"/>
      <w:marRight w:val="0"/>
      <w:marTop w:val="0"/>
      <w:marBottom w:val="0"/>
      <w:divBdr>
        <w:top w:val="none" w:sz="0" w:space="0" w:color="auto"/>
        <w:left w:val="none" w:sz="0" w:space="0" w:color="auto"/>
        <w:bottom w:val="none" w:sz="0" w:space="0" w:color="auto"/>
        <w:right w:val="none" w:sz="0" w:space="0" w:color="auto"/>
      </w:divBdr>
    </w:div>
    <w:div w:id="2091459230">
      <w:bodyDiv w:val="1"/>
      <w:marLeft w:val="0"/>
      <w:marRight w:val="0"/>
      <w:marTop w:val="0"/>
      <w:marBottom w:val="0"/>
      <w:divBdr>
        <w:top w:val="none" w:sz="0" w:space="0" w:color="auto"/>
        <w:left w:val="none" w:sz="0" w:space="0" w:color="auto"/>
        <w:bottom w:val="none" w:sz="0" w:space="0" w:color="auto"/>
        <w:right w:val="none" w:sz="0" w:space="0" w:color="auto"/>
      </w:divBdr>
    </w:div>
    <w:div w:id="2102555857">
      <w:bodyDiv w:val="1"/>
      <w:marLeft w:val="0"/>
      <w:marRight w:val="0"/>
      <w:marTop w:val="0"/>
      <w:marBottom w:val="0"/>
      <w:divBdr>
        <w:top w:val="none" w:sz="0" w:space="0" w:color="auto"/>
        <w:left w:val="none" w:sz="0" w:space="0" w:color="auto"/>
        <w:bottom w:val="none" w:sz="0" w:space="0" w:color="auto"/>
        <w:right w:val="none" w:sz="0" w:space="0" w:color="auto"/>
      </w:divBdr>
      <w:divsChild>
        <w:div w:id="558521524">
          <w:marLeft w:val="0"/>
          <w:marRight w:val="0"/>
          <w:marTop w:val="0"/>
          <w:marBottom w:val="0"/>
          <w:divBdr>
            <w:top w:val="none" w:sz="0" w:space="0" w:color="auto"/>
            <w:left w:val="none" w:sz="0" w:space="0" w:color="auto"/>
            <w:bottom w:val="none" w:sz="0" w:space="0" w:color="auto"/>
            <w:right w:val="none" w:sz="0" w:space="0" w:color="auto"/>
          </w:divBdr>
          <w:divsChild>
            <w:div w:id="921454921">
              <w:marLeft w:val="0"/>
              <w:marRight w:val="0"/>
              <w:marTop w:val="0"/>
              <w:marBottom w:val="0"/>
              <w:divBdr>
                <w:top w:val="none" w:sz="0" w:space="0" w:color="auto"/>
                <w:left w:val="none" w:sz="0" w:space="0" w:color="auto"/>
                <w:bottom w:val="none" w:sz="0" w:space="0" w:color="auto"/>
                <w:right w:val="none" w:sz="0" w:space="0" w:color="auto"/>
              </w:divBdr>
              <w:divsChild>
                <w:div w:id="4795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30092">
      <w:bodyDiv w:val="1"/>
      <w:marLeft w:val="0"/>
      <w:marRight w:val="0"/>
      <w:marTop w:val="0"/>
      <w:marBottom w:val="0"/>
      <w:divBdr>
        <w:top w:val="none" w:sz="0" w:space="0" w:color="auto"/>
        <w:left w:val="none" w:sz="0" w:space="0" w:color="auto"/>
        <w:bottom w:val="none" w:sz="0" w:space="0" w:color="auto"/>
        <w:right w:val="none" w:sz="0" w:space="0" w:color="auto"/>
      </w:divBdr>
      <w:divsChild>
        <w:div w:id="428084688">
          <w:marLeft w:val="0"/>
          <w:marRight w:val="0"/>
          <w:marTop w:val="0"/>
          <w:marBottom w:val="0"/>
          <w:divBdr>
            <w:top w:val="none" w:sz="0" w:space="0" w:color="auto"/>
            <w:left w:val="none" w:sz="0" w:space="0" w:color="auto"/>
            <w:bottom w:val="none" w:sz="0" w:space="0" w:color="auto"/>
            <w:right w:val="none" w:sz="0" w:space="0" w:color="auto"/>
          </w:divBdr>
          <w:divsChild>
            <w:div w:id="1138768447">
              <w:marLeft w:val="0"/>
              <w:marRight w:val="0"/>
              <w:marTop w:val="0"/>
              <w:marBottom w:val="0"/>
              <w:divBdr>
                <w:top w:val="none" w:sz="0" w:space="0" w:color="auto"/>
                <w:left w:val="none" w:sz="0" w:space="0" w:color="auto"/>
                <w:bottom w:val="none" w:sz="0" w:space="0" w:color="auto"/>
                <w:right w:val="none" w:sz="0" w:space="0" w:color="auto"/>
              </w:divBdr>
              <w:divsChild>
                <w:div w:id="6977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66489">
      <w:bodyDiv w:val="1"/>
      <w:marLeft w:val="0"/>
      <w:marRight w:val="0"/>
      <w:marTop w:val="0"/>
      <w:marBottom w:val="0"/>
      <w:divBdr>
        <w:top w:val="none" w:sz="0" w:space="0" w:color="auto"/>
        <w:left w:val="none" w:sz="0" w:space="0" w:color="auto"/>
        <w:bottom w:val="none" w:sz="0" w:space="0" w:color="auto"/>
        <w:right w:val="none" w:sz="0" w:space="0" w:color="auto"/>
      </w:divBdr>
      <w:divsChild>
        <w:div w:id="2137867138">
          <w:marLeft w:val="0"/>
          <w:marRight w:val="0"/>
          <w:marTop w:val="0"/>
          <w:marBottom w:val="0"/>
          <w:divBdr>
            <w:top w:val="none" w:sz="0" w:space="0" w:color="auto"/>
            <w:left w:val="none" w:sz="0" w:space="0" w:color="auto"/>
            <w:bottom w:val="none" w:sz="0" w:space="0" w:color="auto"/>
            <w:right w:val="none" w:sz="0" w:space="0" w:color="auto"/>
          </w:divBdr>
          <w:divsChild>
            <w:div w:id="820466677">
              <w:marLeft w:val="0"/>
              <w:marRight w:val="0"/>
              <w:marTop w:val="0"/>
              <w:marBottom w:val="0"/>
              <w:divBdr>
                <w:top w:val="none" w:sz="0" w:space="0" w:color="auto"/>
                <w:left w:val="none" w:sz="0" w:space="0" w:color="auto"/>
                <w:bottom w:val="none" w:sz="0" w:space="0" w:color="auto"/>
                <w:right w:val="none" w:sz="0" w:space="0" w:color="auto"/>
              </w:divBdr>
              <w:divsChild>
                <w:div w:id="1529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5351\Downloads\Sablona_Anglicky.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95B65B-CB6B-7E48-B4D0-9D3A12FC87EA}">
  <we:reference id="f518cb36-c901-4d52-a9e7-4331342e485d" version="1.2.0.0" store="EXCatalog" storeType="EXCatalog"/>
  <we:alternateReferences>
    <we:reference id="WA200001011" version="1.2.0.0"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2FA5E-41D6-4179-BF17-72639A6E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Sablona_Anglicky.dotx</Template>
  <TotalTime>0</TotalTime>
  <Pages>3</Pages>
  <Words>6269</Words>
  <Characters>36990</Characters>
  <Application>Microsoft Office Word</Application>
  <DocSecurity>0</DocSecurity>
  <Lines>308</Lines>
  <Paragraphs>86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Ústav informatiky PEF MENDELU</Company>
  <LinksUpToDate>false</LinksUpToDate>
  <CharactersWithSpaces>43173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 K</cp:lastModifiedBy>
  <cp:revision>2</cp:revision>
  <cp:lastPrinted>2021-08-31T12:42:00Z</cp:lastPrinted>
  <dcterms:created xsi:type="dcterms:W3CDTF">2022-06-09T08:03:00Z</dcterms:created>
  <dcterms:modified xsi:type="dcterms:W3CDTF">2022-06-09T08:03:00Z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documentId_7088</vt:lpwstr>
  </property>
  <property fmtid="{D5CDD505-2E9C-101B-9397-08002B2CF9AE}" pid="3" name="grammarly_documentContext">
    <vt:lpwstr>{"goals":["describe"],"domain":"academic","emotions":["analytical"],"dialect":"british","style":"formal"}</vt:lpwstr>
  </property>
</Properties>
</file>