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1BD" w:rsidRPr="00EE21BD" w:rsidRDefault="00EE21BD">
      <w:pPr>
        <w:shd w:val="clear" w:color="auto" w:fill="FFFFFF"/>
        <w:spacing w:after="80"/>
        <w:rPr>
          <w:b/>
          <w:i/>
          <w:color w:val="C00000"/>
          <w:sz w:val="40"/>
          <w:szCs w:val="40"/>
        </w:rPr>
      </w:pPr>
      <w:r w:rsidRPr="00EE21BD">
        <w:rPr>
          <w:b/>
          <w:i/>
          <w:color w:val="C00000"/>
          <w:sz w:val="40"/>
          <w:szCs w:val="40"/>
        </w:rPr>
        <w:t xml:space="preserve">Změny </w:t>
      </w:r>
      <w:r>
        <w:rPr>
          <w:b/>
          <w:i/>
          <w:color w:val="C00000"/>
          <w:sz w:val="40"/>
          <w:szCs w:val="40"/>
        </w:rPr>
        <w:t xml:space="preserve">orgánů EU </w:t>
      </w:r>
      <w:bookmarkStart w:id="0" w:name="_GoBack"/>
      <w:bookmarkEnd w:id="0"/>
      <w:r w:rsidRPr="00EE21BD">
        <w:rPr>
          <w:b/>
          <w:i/>
          <w:color w:val="C00000"/>
          <w:sz w:val="40"/>
          <w:szCs w:val="40"/>
        </w:rPr>
        <w:t>po Brexitu</w:t>
      </w:r>
    </w:p>
    <w:p w:rsidR="00EE21BD" w:rsidRDefault="00EE21BD">
      <w:pPr>
        <w:shd w:val="clear" w:color="auto" w:fill="FFFFFF"/>
        <w:spacing w:after="80"/>
        <w:rPr>
          <w:b/>
          <w:i/>
          <w:color w:val="002060"/>
        </w:rPr>
      </w:pPr>
    </w:p>
    <w:p w:rsidR="00EE21BD" w:rsidRDefault="00EE21BD">
      <w:pPr>
        <w:shd w:val="clear" w:color="auto" w:fill="FFFFFF"/>
        <w:spacing w:after="80"/>
        <w:rPr>
          <w:b/>
          <w:i/>
          <w:color w:val="002060"/>
        </w:rPr>
      </w:pPr>
      <w:r>
        <w:rPr>
          <w:b/>
          <w:i/>
          <w:color w:val="002060"/>
        </w:rPr>
        <w:t>R A D A   E U</w:t>
      </w:r>
    </w:p>
    <w:p w:rsidR="00EE21BD" w:rsidRDefault="00EE21BD">
      <w:pPr>
        <w:shd w:val="clear" w:color="auto" w:fill="FFFFFF"/>
        <w:spacing w:after="80"/>
        <w:rPr>
          <w:b/>
          <w:i/>
          <w:color w:val="002060"/>
        </w:rPr>
      </w:pPr>
    </w:p>
    <w:p w:rsidR="00900CAA" w:rsidRDefault="008B4084">
      <w:pPr>
        <w:shd w:val="clear" w:color="auto" w:fill="FFFFFF"/>
        <w:spacing w:after="80"/>
      </w:pPr>
      <w:r>
        <w:rPr>
          <w:b/>
          <w:i/>
          <w:color w:val="002060"/>
        </w:rPr>
        <w:t>SHRNUTÍ INFORMACÍ O KVALIFIKOVANÉ VĚTŠINĚ:</w:t>
      </w:r>
    </w:p>
    <w:p w:rsidR="00900CAA" w:rsidRDefault="00900CAA">
      <w:pPr>
        <w:pStyle w:val="Nadpis1"/>
        <w:numPr>
          <w:ilvl w:val="0"/>
          <w:numId w:val="1"/>
        </w:numPr>
        <w:shd w:val="clear" w:color="auto" w:fill="FFFFFF"/>
        <w:spacing w:before="0" w:after="80"/>
        <w:rPr>
          <w:rFonts w:ascii="Times New Roman" w:hAnsi="Times New Roman" w:cs="Times New Roman"/>
          <w:i/>
          <w:color w:val="002060"/>
          <w:sz w:val="24"/>
          <w:lang w:eastAsia="cs-CZ"/>
        </w:rPr>
      </w:pPr>
    </w:p>
    <w:p w:rsidR="00900CAA" w:rsidRDefault="008B4084">
      <w:pPr>
        <w:pStyle w:val="Nadpis1"/>
        <w:numPr>
          <w:ilvl w:val="0"/>
          <w:numId w:val="1"/>
        </w:numPr>
        <w:shd w:val="clear" w:color="auto" w:fill="FFFFFF"/>
        <w:spacing w:before="0" w:after="80"/>
      </w:pPr>
      <w:r>
        <w:rPr>
          <w:rFonts w:ascii="Times New Roman" w:hAnsi="Times New Roman" w:cs="Times New Roman"/>
          <w:i/>
          <w:color w:val="002060"/>
          <w:sz w:val="24"/>
        </w:rPr>
        <w:t>Kvalifikovaná většina</w:t>
      </w:r>
    </w:p>
    <w:p w:rsidR="00900CAA" w:rsidRDefault="008B4084">
      <w:pPr>
        <w:pStyle w:val="Normlnweb"/>
        <w:shd w:val="clear" w:color="auto" w:fill="FFFFFF"/>
        <w:spacing w:beforeAutospacing="0" w:after="80" w:afterAutospacing="0"/>
      </w:pPr>
      <w:r>
        <w:rPr>
          <w:i/>
          <w:color w:val="002060"/>
        </w:rPr>
        <w:t>Hlasuje-li Rada o návrhu Komise nebo vysokého představitele Unie pro zahraniční věci a bezpečnostní politiku, </w:t>
      </w:r>
      <w:r>
        <w:rPr>
          <w:rStyle w:val="Siln"/>
          <w:i/>
          <w:color w:val="002060"/>
        </w:rPr>
        <w:t>kvalifikované většiny</w:t>
      </w:r>
      <w:r>
        <w:rPr>
          <w:i/>
          <w:color w:val="002060"/>
        </w:rPr>
        <w:t> je dosaženo, jsou-li splněny dvě podmínky:</w:t>
      </w:r>
    </w:p>
    <w:p w:rsidR="00900CAA" w:rsidRDefault="008B4084">
      <w:pPr>
        <w:numPr>
          <w:ilvl w:val="0"/>
          <w:numId w:val="2"/>
        </w:numPr>
        <w:shd w:val="clear" w:color="auto" w:fill="FFFFFF"/>
        <w:overflowPunct w:val="0"/>
        <w:spacing w:after="80"/>
      </w:pPr>
      <w:r>
        <w:rPr>
          <w:rStyle w:val="Siln"/>
          <w:i/>
          <w:color w:val="002060"/>
        </w:rPr>
        <w:t>55 % členských</w:t>
      </w:r>
      <w:r>
        <w:rPr>
          <w:rStyle w:val="Siln"/>
          <w:i/>
          <w:color w:val="002060"/>
        </w:rPr>
        <w:t xml:space="preserve"> států</w:t>
      </w:r>
      <w:r>
        <w:rPr>
          <w:i/>
          <w:color w:val="002060"/>
        </w:rPr>
        <w:t> hlasuje pro návrh – v praxi to znamená 15 z 27 států,</w:t>
      </w:r>
    </w:p>
    <w:p w:rsidR="00900CAA" w:rsidRDefault="008B4084">
      <w:pPr>
        <w:numPr>
          <w:ilvl w:val="0"/>
          <w:numId w:val="2"/>
        </w:numPr>
        <w:shd w:val="clear" w:color="auto" w:fill="FFFFFF"/>
        <w:overflowPunct w:val="0"/>
        <w:spacing w:after="80"/>
      </w:pPr>
      <w:r>
        <w:rPr>
          <w:i/>
          <w:color w:val="002060"/>
        </w:rPr>
        <w:t>návrh podporují členské státy zastupující nejméně </w:t>
      </w:r>
      <w:r>
        <w:rPr>
          <w:rStyle w:val="Siln"/>
          <w:i/>
          <w:color w:val="002060"/>
        </w:rPr>
        <w:t>65 % celkového počtu obyvatel EU</w:t>
      </w:r>
      <w:r>
        <w:rPr>
          <w:i/>
          <w:color w:val="002060"/>
        </w:rPr>
        <w:t>.</w:t>
      </w:r>
    </w:p>
    <w:p w:rsidR="00900CAA" w:rsidRDefault="008B4084">
      <w:pPr>
        <w:pStyle w:val="Normlnweb"/>
        <w:shd w:val="clear" w:color="auto" w:fill="FFFFFF"/>
        <w:spacing w:beforeAutospacing="0" w:after="80" w:afterAutospacing="0"/>
      </w:pPr>
      <w:r>
        <w:rPr>
          <w:i/>
          <w:color w:val="002060"/>
        </w:rPr>
        <w:t>Tomuto postupu se říká také pravidlo „dvojí většiny“.</w:t>
      </w:r>
    </w:p>
    <w:p w:rsidR="00900CAA" w:rsidRDefault="008B4084">
      <w:pPr>
        <w:pStyle w:val="Nadpis3"/>
        <w:shd w:val="clear" w:color="auto" w:fill="FFFFFF"/>
        <w:spacing w:before="0" w:after="80"/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Blokační menšina: Blokační menšinu musejí tvořit nejméně 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čtyři členové Rady, kteří zastupují </w:t>
      </w:r>
      <w:r>
        <w:rPr>
          <w:rStyle w:val="Siln"/>
          <w:rFonts w:ascii="Times New Roman" w:hAnsi="Times New Roman" w:cs="Times New Roman"/>
          <w:i/>
          <w:color w:val="002060"/>
          <w:sz w:val="24"/>
          <w:szCs w:val="24"/>
        </w:rPr>
        <w:t>více než 35 % obyvatelstva EU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</w:p>
    <w:p w:rsidR="00900CAA" w:rsidRDefault="008B4084">
      <w:pPr>
        <w:pStyle w:val="Nadpis3"/>
        <w:shd w:val="clear" w:color="auto" w:fill="FFFFFF"/>
        <w:spacing w:before="0" w:after="80"/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Zvláštní případy: V případech, kdy se na hlasování nepodílejí všichni členové Rady – například z důvodu udělení výjimky v určitých oblastech politiky –, je rozhodnutí přijato, pokud pro náv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rh hlasuje 55 % zúčastněných členů Rady, kteří zastupují nejméně 65 % obyvatelstva zúčastněných členských států.</w:t>
      </w:r>
    </w:p>
    <w:p w:rsidR="00900CAA" w:rsidRDefault="008B4084">
      <w:pPr>
        <w:pStyle w:val="Normlnweb"/>
        <w:shd w:val="clear" w:color="auto" w:fill="FFFFFF"/>
        <w:spacing w:beforeAutospacing="0" w:after="80" w:afterAutospacing="0"/>
      </w:pPr>
      <w:r>
        <w:rPr>
          <w:i/>
          <w:color w:val="002060"/>
        </w:rPr>
        <w:t>Rozhoduje-li Rada o návrhu, který nebyl předložen Komisí nebo vysokým představitelem, je rozhodnutí přijato, pokud </w:t>
      </w:r>
      <w:r>
        <w:rPr>
          <w:rStyle w:val="Siln"/>
          <w:i/>
          <w:color w:val="002060"/>
        </w:rPr>
        <w:t>je dosaženo</w:t>
      </w:r>
      <w:r>
        <w:rPr>
          <w:i/>
          <w:color w:val="002060"/>
        </w:rPr>
        <w:t> tzv. „</w:t>
      </w:r>
      <w:r>
        <w:rPr>
          <w:rStyle w:val="Siln"/>
          <w:i/>
          <w:color w:val="002060"/>
        </w:rPr>
        <w:t>posílené k</w:t>
      </w:r>
      <w:r>
        <w:rPr>
          <w:rStyle w:val="Siln"/>
          <w:i/>
          <w:color w:val="002060"/>
        </w:rPr>
        <w:t>valifikované většiny</w:t>
      </w:r>
      <w:r>
        <w:rPr>
          <w:i/>
          <w:color w:val="002060"/>
        </w:rPr>
        <w:t>“:</w:t>
      </w:r>
    </w:p>
    <w:p w:rsidR="00900CAA" w:rsidRDefault="008B4084">
      <w:pPr>
        <w:numPr>
          <w:ilvl w:val="0"/>
          <w:numId w:val="3"/>
        </w:numPr>
        <w:shd w:val="clear" w:color="auto" w:fill="FFFFFF"/>
        <w:overflowPunct w:val="0"/>
        <w:spacing w:after="80"/>
      </w:pPr>
      <w:r>
        <w:rPr>
          <w:i/>
          <w:color w:val="002060"/>
        </w:rPr>
        <w:t>pro návrh hlasuje nejméně 72 % členů Rady,</w:t>
      </w:r>
    </w:p>
    <w:p w:rsidR="00900CAA" w:rsidRDefault="008B4084">
      <w:pPr>
        <w:numPr>
          <w:ilvl w:val="0"/>
          <w:numId w:val="3"/>
        </w:numPr>
        <w:shd w:val="clear" w:color="auto" w:fill="FFFFFF"/>
        <w:overflowPunct w:val="0"/>
        <w:spacing w:after="80"/>
      </w:pPr>
      <w:r>
        <w:rPr>
          <w:i/>
          <w:color w:val="002060"/>
        </w:rPr>
        <w:t>tito členové zastupují nejméně 65 % obyvatelstva EU.</w:t>
      </w:r>
    </w:p>
    <w:p w:rsidR="00900CAA" w:rsidRDefault="008B4084">
      <w:pPr>
        <w:pStyle w:val="Nadpis3"/>
        <w:shd w:val="clear" w:color="auto" w:fill="FFFFFF"/>
        <w:spacing w:before="0" w:after="80"/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Zdržení se hlasování</w:t>
      </w:r>
    </w:p>
    <w:p w:rsidR="00900CAA" w:rsidRDefault="008B4084">
      <w:pPr>
        <w:pStyle w:val="Normlnweb"/>
        <w:shd w:val="clear" w:color="auto" w:fill="FFFFFF"/>
        <w:spacing w:beforeAutospacing="0" w:after="80" w:afterAutospacing="0"/>
      </w:pPr>
      <w:r>
        <w:rPr>
          <w:i/>
          <w:color w:val="002060"/>
        </w:rPr>
        <w:t>Zdržení se hlasování se při hlasování kvalifikovanou většinou považuje za hlas proti návrhu. Zdržení se hlasování ne</w:t>
      </w:r>
      <w:r>
        <w:rPr>
          <w:i/>
          <w:color w:val="002060"/>
        </w:rPr>
        <w:t>znamená totéž co neúčast na hlasování. Hlasování se může kdykoli zdržet kterýkoli člen Rady.</w:t>
      </w:r>
    </w:p>
    <w:p w:rsidR="00900CAA" w:rsidRDefault="00900CAA">
      <w:pPr>
        <w:spacing w:before="57"/>
        <w:rPr>
          <w:rFonts w:ascii="Arial" w:hAnsi="Arial" w:cs="Arial"/>
          <w:color w:val="002060"/>
        </w:rPr>
      </w:pPr>
    </w:p>
    <w:p w:rsidR="00900CAA" w:rsidRDefault="008B4084">
      <w:pPr>
        <w:spacing w:before="57"/>
      </w:pPr>
      <w:r>
        <w:rPr>
          <w:rFonts w:ascii="Arial" w:hAnsi="Arial" w:cs="Arial"/>
          <w:color w:val="002060"/>
        </w:rPr>
        <w:t>Hlasovací váha jednotlivých členských států u kvalifikované většiny:</w:t>
      </w:r>
    </w:p>
    <w:p w:rsidR="00900CAA" w:rsidRDefault="00900CAA">
      <w:pPr>
        <w:spacing w:before="57"/>
        <w:rPr>
          <w:rFonts w:ascii="Arial" w:hAnsi="Arial" w:cs="Arial"/>
          <w:color w:val="002060"/>
        </w:rPr>
      </w:pP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00CAA">
        <w:tc>
          <w:tcPr>
            <w:tcW w:w="9645" w:type="dxa"/>
            <w:shd w:val="clear" w:color="auto" w:fill="auto"/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>  Austria   1.98%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 xml:space="preserve">  Belgium 2.56% 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>  Bulgaria  1.56%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>  Croatia  0.91%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 xml:space="preserve">  Cyprus  </w:t>
            </w:r>
            <w:r>
              <w:rPr>
                <w:color w:val="002060"/>
                <w:sz w:val="22"/>
                <w:szCs w:val="22"/>
                <w:lang w:eastAsia="cs-CZ"/>
              </w:rPr>
              <w:t>0.20%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>  Czech Republic  2.35%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>  Denmark  1.30%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>  Estonia  0.30%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>  Finland  1.23%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>  France  14.98%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>  Germany  18.54%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>  Greece  2.40%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>  Hungary  2.18%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>  Ireland  1.10%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>  Italy  13.65%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>  Latvia  0.43%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lastRenderedPageBreak/>
              <w:t>  Lithuania  0.62%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>  Luxembourg  0.14%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>  Malta  0.11%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>  Netherlands  3.89%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>  Poland  8.49%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>  Portugal  2.30%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>  Romania  4.34%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>  Slovakia  1.22%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>  Slovenia  0.47%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</w:tcBorders>
            <w:shd w:val="clear" w:color="auto" w:fill="auto"/>
            <w:tcMar>
              <w:top w:w="28" w:type="dxa"/>
              <w:left w:w="1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>  Spain  10.49%  </w:t>
            </w:r>
          </w:p>
        </w:tc>
      </w:tr>
      <w:tr w:rsidR="00900CAA">
        <w:tc>
          <w:tcPr>
            <w:tcW w:w="9645" w:type="dxa"/>
            <w:tcBorders>
              <w:top w:val="single" w:sz="8" w:space="0" w:color="CCCCCC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28" w:type="dxa"/>
              <w:left w:w="18" w:type="dxa"/>
              <w:bottom w:w="28" w:type="dxa"/>
            </w:tcMar>
          </w:tcPr>
          <w:p w:rsidR="00900CAA" w:rsidRDefault="008B4084">
            <w:pPr>
              <w:spacing w:beforeAutospacing="1"/>
            </w:pPr>
            <w:r>
              <w:rPr>
                <w:color w:val="002060"/>
                <w:sz w:val="22"/>
                <w:szCs w:val="22"/>
                <w:lang w:eastAsia="cs-CZ"/>
              </w:rPr>
              <w:t>  Sweden  2.29%  </w:t>
            </w:r>
          </w:p>
        </w:tc>
      </w:tr>
    </w:tbl>
    <w:p w:rsidR="00900CAA" w:rsidRDefault="00900CAA">
      <w:pPr>
        <w:spacing w:before="57"/>
        <w:rPr>
          <w:rFonts w:ascii="Arial" w:hAnsi="Arial" w:cs="Arial"/>
          <w:color w:val="002060"/>
        </w:rPr>
      </w:pPr>
    </w:p>
    <w:p w:rsidR="00900CAA" w:rsidRDefault="00900CAA">
      <w:pPr>
        <w:spacing w:before="57"/>
        <w:rPr>
          <w:b/>
          <w:color w:val="002060"/>
        </w:rPr>
      </w:pPr>
    </w:p>
    <w:p w:rsidR="00900CAA" w:rsidRDefault="008B4084">
      <w:pPr>
        <w:spacing w:before="57"/>
      </w:pPr>
      <w:r>
        <w:rPr>
          <w:b/>
          <w:color w:val="002060"/>
        </w:rPr>
        <w:t xml:space="preserve">3) Rozhodování prostou většinou </w:t>
      </w:r>
      <w:r>
        <w:rPr>
          <w:color w:val="002060"/>
        </w:rPr>
        <w:t xml:space="preserve">se používá jen u </w:t>
      </w:r>
      <w:r>
        <w:rPr>
          <w:color w:val="002060"/>
        </w:rPr>
        <w:t>procedurálních otázek. Každý člen má jeden hlas, takže prostá většina činí nejméně 14 hlasů z 27.</w:t>
      </w:r>
    </w:p>
    <w:p w:rsidR="00900CAA" w:rsidRDefault="00900CAA">
      <w:pPr>
        <w:spacing w:before="57"/>
        <w:rPr>
          <w:color w:val="002060"/>
        </w:rPr>
      </w:pPr>
    </w:p>
    <w:p w:rsidR="00900CAA" w:rsidRDefault="008B4084">
      <w:pPr>
        <w:spacing w:before="57"/>
      </w:pPr>
      <w:r>
        <w:rPr>
          <w:color w:val="002060"/>
        </w:rPr>
        <w:t>-----------------</w:t>
      </w:r>
    </w:p>
    <w:p w:rsidR="00900CAA" w:rsidRDefault="00900CAA">
      <w:pPr>
        <w:spacing w:before="57"/>
        <w:rPr>
          <w:color w:val="002060"/>
        </w:rPr>
      </w:pPr>
    </w:p>
    <w:p w:rsidR="00900CAA" w:rsidRDefault="00EE21BD">
      <w:pPr>
        <w:spacing w:before="57"/>
      </w:pPr>
      <w:r>
        <w:rPr>
          <w:b/>
          <w:i/>
          <w:color w:val="002060"/>
        </w:rPr>
        <w:t xml:space="preserve">EVROPSKÝ PARLAMENT - </w:t>
      </w:r>
      <w:r w:rsidR="008B4084">
        <w:rPr>
          <w:b/>
          <w:i/>
          <w:color w:val="002060"/>
        </w:rPr>
        <w:t xml:space="preserve"> Složení</w:t>
      </w:r>
    </w:p>
    <w:p w:rsidR="00900CAA" w:rsidRDefault="00900CAA">
      <w:pPr>
        <w:spacing w:before="57"/>
        <w:rPr>
          <w:b/>
          <w:i/>
          <w:color w:val="002060"/>
        </w:rPr>
      </w:pPr>
    </w:p>
    <w:p w:rsidR="00900CAA" w:rsidRDefault="008B4084">
      <w:pPr>
        <w:spacing w:before="57"/>
      </w:pPr>
      <w:r>
        <w:rPr>
          <w:i/>
          <w:color w:val="002060"/>
        </w:rPr>
        <w:t>Volba poslanců</w:t>
      </w:r>
    </w:p>
    <w:p w:rsidR="00900CAA" w:rsidRDefault="00900CAA">
      <w:pPr>
        <w:spacing w:before="57"/>
        <w:rPr>
          <w:i/>
          <w:color w:val="002060"/>
        </w:rPr>
      </w:pPr>
    </w:p>
    <w:p w:rsidR="00900CAA" w:rsidRDefault="008B4084">
      <w:pPr>
        <w:spacing w:before="57"/>
      </w:pPr>
      <w:r>
        <w:rPr>
          <w:color w:val="002060"/>
        </w:rPr>
        <w:tab/>
        <w:t xml:space="preserve">Celkový počet poslanců Evropského parlamentu je v současnosti (po odchodu Velké Británie) 705. Nejvíce jich </w:t>
      </w:r>
      <w:r>
        <w:rPr>
          <w:color w:val="002060"/>
        </w:rPr>
        <w:t>má Německo (96), nejméně Kypr, Malta a Lucembursko (6). ČR má 21, SR 14.</w:t>
      </w:r>
    </w:p>
    <w:p w:rsidR="00900CAA" w:rsidRDefault="008B4084">
      <w:pPr>
        <w:spacing w:before="57"/>
      </w:pPr>
      <w:r>
        <w:rPr>
          <w:color w:val="002060"/>
        </w:rPr>
        <w:t>V budoucnu má být počet poslanců nejvýše 751, a to včetně těch, kteří budou zvoleni v nově přijímaných zemích. Konkrétní počty vždy stanoví Evropská rada (summit) jednomyslně na podně</w:t>
      </w:r>
      <w:r>
        <w:rPr>
          <w:color w:val="002060"/>
        </w:rPr>
        <w:t>t Evropského parlamentu.</w:t>
      </w:r>
    </w:p>
    <w:p w:rsidR="00900CAA" w:rsidRDefault="00900CAA">
      <w:pPr>
        <w:spacing w:before="57"/>
        <w:rPr>
          <w:color w:val="002060"/>
        </w:rPr>
      </w:pPr>
    </w:p>
    <w:p w:rsidR="00900CAA" w:rsidRDefault="008B4084">
      <w:pPr>
        <w:spacing w:before="57"/>
      </w:pPr>
      <w:r>
        <w:rPr>
          <w:color w:val="002060"/>
        </w:rPr>
        <w:t xml:space="preserve">Volby probíhají v jednotlivých členských státech podle jejich vlastních volebních zákonů, neboť společná unijní úprava evropských voleb neexistuje. </w:t>
      </w:r>
    </w:p>
    <w:sectPr w:rsidR="00900CAA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45DB6"/>
    <w:multiLevelType w:val="multilevel"/>
    <w:tmpl w:val="974CDED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A22E08"/>
    <w:multiLevelType w:val="multilevel"/>
    <w:tmpl w:val="6242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3F61AE0"/>
    <w:multiLevelType w:val="multilevel"/>
    <w:tmpl w:val="77B4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6BF90E54"/>
    <w:multiLevelType w:val="multilevel"/>
    <w:tmpl w:val="AFC46D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CAA"/>
    <w:rsid w:val="008B4084"/>
    <w:rsid w:val="00900CAA"/>
    <w:rsid w:val="00E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1DAE"/>
  <w15:docId w15:val="{05F02D12-D5F6-4167-B430-59974E5A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Free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keepNext/>
      <w:spacing w:before="240" w:after="120"/>
      <w:outlineLvl w:val="0"/>
    </w:pPr>
    <w:rPr>
      <w:rFonts w:ascii="Arial" w:hAnsi="Arial" w:cs="Arial"/>
      <w:b/>
      <w:sz w:val="32"/>
    </w:rPr>
  </w:style>
  <w:style w:type="paragraph" w:styleId="Nadpis3">
    <w:name w:val="heading 3"/>
    <w:basedOn w:val="Normln"/>
    <w:uiPriority w:val="9"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ormlnweb">
    <w:name w:val="Normal (Web)"/>
    <w:basedOn w:val="Normln"/>
    <w:qFormat/>
    <w:pPr>
      <w:overflowPunct w:val="0"/>
      <w:spacing w:beforeAutospacing="1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Týč</dc:creator>
  <dc:description/>
  <cp:lastModifiedBy>Tyc Vladimir</cp:lastModifiedBy>
  <cp:revision>3</cp:revision>
  <dcterms:created xsi:type="dcterms:W3CDTF">2020-04-27T10:30:00Z</dcterms:created>
  <dcterms:modified xsi:type="dcterms:W3CDTF">2022-02-27T19:28:00Z</dcterms:modified>
  <dc:language>cs-CZ</dc:language>
</cp:coreProperties>
</file>