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4C43" w14:textId="311BE1EA" w:rsidR="00795796" w:rsidRPr="00F00B2D" w:rsidRDefault="00F00B2D">
      <w:pPr>
        <w:pStyle w:val="Zkladntext1"/>
        <w:spacing w:after="60"/>
        <w:rPr>
          <w:b/>
          <w:color w:val="auto"/>
          <w:sz w:val="26"/>
          <w:szCs w:val="26"/>
        </w:rPr>
      </w:pPr>
      <w:r w:rsidRPr="009E5501">
        <w:rPr>
          <w:b/>
          <w:color w:val="000000"/>
          <w:sz w:val="26"/>
          <w:szCs w:val="26"/>
          <w:highlight w:val="yellow"/>
        </w:rPr>
        <w:t>Navazující veřejná správa – NP207Zk - Zkušební o</w:t>
      </w:r>
      <w:r w:rsidRPr="009E5501">
        <w:rPr>
          <w:b/>
          <w:color w:val="auto"/>
          <w:sz w:val="26"/>
          <w:szCs w:val="26"/>
          <w:highlight w:val="yellow"/>
        </w:rPr>
        <w:t>kruhy – postupová zkouška (202</w:t>
      </w:r>
      <w:r w:rsidR="00695B65" w:rsidRPr="009E5501">
        <w:rPr>
          <w:b/>
          <w:color w:val="auto"/>
          <w:sz w:val="26"/>
          <w:szCs w:val="26"/>
          <w:highlight w:val="yellow"/>
        </w:rPr>
        <w:t>2</w:t>
      </w:r>
      <w:r w:rsidRPr="009E5501">
        <w:rPr>
          <w:b/>
          <w:color w:val="auto"/>
          <w:sz w:val="26"/>
          <w:szCs w:val="26"/>
          <w:highlight w:val="yellow"/>
        </w:rPr>
        <w:t>)</w:t>
      </w:r>
      <w:r w:rsidRPr="00F00B2D">
        <w:rPr>
          <w:b/>
          <w:color w:val="auto"/>
          <w:sz w:val="26"/>
          <w:szCs w:val="26"/>
        </w:rPr>
        <w:t xml:space="preserve"> </w:t>
      </w:r>
    </w:p>
    <w:p w14:paraId="65C662E1" w14:textId="77777777" w:rsidR="00795796" w:rsidRPr="00F00B2D" w:rsidRDefault="00F00B2D">
      <w:pPr>
        <w:pStyle w:val="Zkladntext1"/>
        <w:spacing w:after="60"/>
        <w:rPr>
          <w:b/>
          <w:color w:val="auto"/>
          <w:sz w:val="26"/>
          <w:szCs w:val="26"/>
        </w:rPr>
      </w:pPr>
      <w:r w:rsidRPr="00F00B2D">
        <w:rPr>
          <w:b/>
          <w:color w:val="auto"/>
          <w:sz w:val="26"/>
          <w:szCs w:val="26"/>
          <w:highlight w:val="yellow"/>
        </w:rPr>
        <w:t>MPV:</w:t>
      </w:r>
    </w:p>
    <w:p w14:paraId="06CC48F4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1. Pojem mezinárodního práva, jeho specifika oproti právu vnitrostátnímu</w:t>
      </w:r>
    </w:p>
    <w:p w14:paraId="66176BBD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2. Prameny mezinárodního práva, pojem a třídění mezinárodních smluv jako jednoho z pramenů</w:t>
      </w:r>
    </w:p>
    <w:p w14:paraId="2B8D2D38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3. Proces vzniku dvoustranné mezinárodní smlouvy od kontaktních jednání až po vstup v platnost - podrobně jednotlivá stadia</w:t>
      </w:r>
    </w:p>
    <w:p w14:paraId="620C84F9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4. Proces vzniku mnohostranné mezinárodní smlouvy až po vstup v platnost - podrobně jednotlivá stadia, vstup v platnost objektivní a subjektivní</w:t>
      </w:r>
    </w:p>
    <w:p w14:paraId="1556372D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 xml:space="preserve">5. </w:t>
      </w:r>
      <w:r w:rsidR="001B5A06" w:rsidRPr="00F00B2D">
        <w:rPr>
          <w:color w:val="auto"/>
          <w:sz w:val="26"/>
          <w:szCs w:val="26"/>
        </w:rPr>
        <w:t>Vnitrostátní účinek smlouvy, smlouva v Ústavě ČR</w:t>
      </w:r>
    </w:p>
    <w:p w14:paraId="278F7059" w14:textId="77777777" w:rsidR="00F00B2D" w:rsidRPr="00F00B2D" w:rsidRDefault="00F00B2D">
      <w:pPr>
        <w:spacing w:after="60"/>
        <w:rPr>
          <w:i/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ab/>
      </w:r>
      <w:r w:rsidRPr="00F00B2D">
        <w:rPr>
          <w:color w:val="auto"/>
          <w:sz w:val="26"/>
          <w:szCs w:val="26"/>
        </w:rPr>
        <w:tab/>
      </w:r>
      <w:r w:rsidRPr="00F00B2D">
        <w:rPr>
          <w:i/>
          <w:color w:val="auto"/>
          <w:sz w:val="26"/>
          <w:szCs w:val="26"/>
        </w:rPr>
        <w:t xml:space="preserve">ot. 1-5: první polovina skript Úvod do mezin. a evr. práva </w:t>
      </w:r>
    </w:p>
    <w:p w14:paraId="44D5C63F" w14:textId="77777777" w:rsidR="00795796" w:rsidRPr="00F00B2D" w:rsidRDefault="00F00B2D">
      <w:pPr>
        <w:spacing w:after="60"/>
        <w:rPr>
          <w:b/>
          <w:color w:val="auto"/>
          <w:sz w:val="26"/>
          <w:szCs w:val="26"/>
        </w:rPr>
      </w:pPr>
      <w:r w:rsidRPr="00F00B2D">
        <w:rPr>
          <w:b/>
          <w:color w:val="auto"/>
          <w:sz w:val="26"/>
          <w:szCs w:val="26"/>
          <w:highlight w:val="yellow"/>
        </w:rPr>
        <w:t>EU:</w:t>
      </w:r>
    </w:p>
    <w:p w14:paraId="58233667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6. Pojem nadstátnosti EU - podstata, projevy, vztah k suverenitě členských států</w:t>
      </w:r>
    </w:p>
    <w:p w14:paraId="59EAED40" w14:textId="77777777" w:rsidR="00795796" w:rsidRPr="00F00B2D" w:rsidRDefault="00725649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7</w:t>
      </w:r>
      <w:r w:rsidR="00F00B2D" w:rsidRPr="00F00B2D">
        <w:rPr>
          <w:color w:val="auto"/>
          <w:sz w:val="26"/>
          <w:szCs w:val="26"/>
        </w:rPr>
        <w:t>. Vývoj evropské integrace a jeho mezníky z hlediska integračních organizací a jejich povahy (EHS, ESVO, Euratom, ES, EU, EHP)</w:t>
      </w:r>
      <w:r w:rsidR="00855344" w:rsidRPr="00F00B2D">
        <w:rPr>
          <w:color w:val="auto"/>
          <w:sz w:val="26"/>
          <w:szCs w:val="26"/>
        </w:rPr>
        <w:t>, primární právo EU</w:t>
      </w:r>
    </w:p>
    <w:p w14:paraId="249C964E" w14:textId="77777777" w:rsidR="00795796" w:rsidRPr="00F00B2D" w:rsidRDefault="00725649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8</w:t>
      </w:r>
      <w:r w:rsidR="00F00B2D" w:rsidRPr="00F00B2D">
        <w:rPr>
          <w:color w:val="auto"/>
          <w:sz w:val="26"/>
          <w:szCs w:val="26"/>
        </w:rPr>
        <w:t>. Lisabonská smlouva - hlavní vývojové změny, které přinesla (ES x EU)</w:t>
      </w:r>
      <w:r w:rsidR="00A07EE7">
        <w:rPr>
          <w:color w:val="auto"/>
          <w:sz w:val="26"/>
          <w:szCs w:val="26"/>
        </w:rPr>
        <w:t>, nové pojetí EU</w:t>
      </w:r>
    </w:p>
    <w:p w14:paraId="263EF0F3" w14:textId="77777777" w:rsidR="00795796" w:rsidRPr="00F00B2D" w:rsidRDefault="00725649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9</w:t>
      </w:r>
      <w:r w:rsidR="00F00B2D" w:rsidRPr="00F00B2D">
        <w:rPr>
          <w:color w:val="auto"/>
          <w:sz w:val="26"/>
          <w:szCs w:val="26"/>
        </w:rPr>
        <w:t>. Pravomoci EU - typy, stanovení, rozšiřování, principy subsidiarity a proporcionality</w:t>
      </w:r>
    </w:p>
    <w:p w14:paraId="57AE601C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0</w:t>
      </w:r>
      <w:r w:rsidRPr="00F00B2D">
        <w:rPr>
          <w:color w:val="auto"/>
          <w:sz w:val="26"/>
          <w:szCs w:val="26"/>
        </w:rPr>
        <w:t>. Institucionální struktura EU - soustava orgánů, jejich pravomoci, vzájemné vazby mezi nimi</w:t>
      </w:r>
    </w:p>
    <w:p w14:paraId="57A9F719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1</w:t>
      </w:r>
      <w:r w:rsidRPr="00F00B2D">
        <w:rPr>
          <w:color w:val="auto"/>
          <w:sz w:val="26"/>
          <w:szCs w:val="26"/>
        </w:rPr>
        <w:t xml:space="preserve">. Právo EU - charakteristika, prameny, úprava jednotná a harmonizovaná, </w:t>
      </w:r>
      <w:r w:rsidR="00725649" w:rsidRPr="00F00B2D">
        <w:rPr>
          <w:color w:val="auto"/>
          <w:sz w:val="26"/>
          <w:szCs w:val="26"/>
        </w:rPr>
        <w:t xml:space="preserve">sekundární právo - </w:t>
      </w:r>
      <w:r w:rsidRPr="00F00B2D">
        <w:rPr>
          <w:color w:val="auto"/>
          <w:sz w:val="26"/>
          <w:szCs w:val="26"/>
        </w:rPr>
        <w:t>legislativní a nelegislativní akty</w:t>
      </w:r>
      <w:r w:rsidR="00725649" w:rsidRPr="00F00B2D">
        <w:rPr>
          <w:color w:val="auto"/>
          <w:sz w:val="26"/>
          <w:szCs w:val="26"/>
        </w:rPr>
        <w:t>, legislativní postupy</w:t>
      </w:r>
    </w:p>
    <w:p w14:paraId="2E796D9F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2</w:t>
      </w:r>
      <w:r w:rsidRPr="00F00B2D">
        <w:rPr>
          <w:color w:val="auto"/>
          <w:sz w:val="26"/>
          <w:szCs w:val="26"/>
        </w:rPr>
        <w:t xml:space="preserve">. Aplikace práva EU v členských státech </w:t>
      </w:r>
      <w:r w:rsidR="00725649" w:rsidRPr="00F00B2D">
        <w:rPr>
          <w:color w:val="auto"/>
          <w:sz w:val="26"/>
          <w:szCs w:val="26"/>
        </w:rPr>
        <w:t>–</w:t>
      </w:r>
      <w:r w:rsidRPr="00F00B2D">
        <w:rPr>
          <w:color w:val="auto"/>
          <w:sz w:val="26"/>
          <w:szCs w:val="26"/>
        </w:rPr>
        <w:t xml:space="preserve"> přednost</w:t>
      </w:r>
      <w:r w:rsidR="00725649" w:rsidRPr="00F00B2D">
        <w:rPr>
          <w:color w:val="auto"/>
          <w:sz w:val="26"/>
          <w:szCs w:val="26"/>
        </w:rPr>
        <w:t xml:space="preserve"> a </w:t>
      </w:r>
      <w:r w:rsidRPr="00F00B2D">
        <w:rPr>
          <w:color w:val="auto"/>
          <w:sz w:val="26"/>
          <w:szCs w:val="26"/>
        </w:rPr>
        <w:t>přímý účinek, nepřímý účinek směrnic</w:t>
      </w:r>
    </w:p>
    <w:p w14:paraId="036F4A0D" w14:textId="77777777" w:rsidR="00725649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3</w:t>
      </w:r>
      <w:r w:rsidRPr="00F00B2D">
        <w:rPr>
          <w:color w:val="auto"/>
          <w:sz w:val="26"/>
          <w:szCs w:val="26"/>
        </w:rPr>
        <w:t xml:space="preserve">. </w:t>
      </w:r>
      <w:r w:rsidR="00725649" w:rsidRPr="00F00B2D">
        <w:rPr>
          <w:color w:val="auto"/>
          <w:sz w:val="26"/>
          <w:szCs w:val="26"/>
        </w:rPr>
        <w:t>Vynucování práva EU vůči členským státům a vůči jednotlivcům</w:t>
      </w:r>
    </w:p>
    <w:p w14:paraId="5F788DAB" w14:textId="77777777" w:rsidR="00795796" w:rsidRPr="00F00B2D" w:rsidRDefault="00725649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 xml:space="preserve">14. </w:t>
      </w:r>
      <w:r w:rsidR="00F00B2D" w:rsidRPr="00F00B2D">
        <w:rPr>
          <w:color w:val="auto"/>
          <w:sz w:val="26"/>
          <w:szCs w:val="26"/>
        </w:rPr>
        <w:t xml:space="preserve">Odpovědnost členského státu EU za porušení práva EU - obecně (vůči EU) </w:t>
      </w:r>
      <w:r w:rsidRPr="00F00B2D">
        <w:rPr>
          <w:color w:val="auto"/>
          <w:sz w:val="26"/>
          <w:szCs w:val="26"/>
        </w:rPr>
        <w:t xml:space="preserve">vč. čl. 7 SEU (zásady) </w:t>
      </w:r>
      <w:r w:rsidR="00F00B2D" w:rsidRPr="00F00B2D">
        <w:rPr>
          <w:color w:val="auto"/>
          <w:sz w:val="26"/>
          <w:szCs w:val="26"/>
        </w:rPr>
        <w:t>a odpovědnost za škodu vůči jednotlivci (Francovich)</w:t>
      </w:r>
    </w:p>
    <w:p w14:paraId="2EDFB4C3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4</w:t>
      </w:r>
      <w:r w:rsidRPr="00F00B2D">
        <w:rPr>
          <w:color w:val="auto"/>
          <w:sz w:val="26"/>
          <w:szCs w:val="26"/>
        </w:rPr>
        <w:t>. Soudní dvůr EU - pravomoci, typy řízení (žalob), role při vynucování práva, příslušnost jeho jednotlivých složek (Tribunál)</w:t>
      </w:r>
    </w:p>
    <w:p w14:paraId="572655EF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5</w:t>
      </w:r>
      <w:r w:rsidRPr="00F00B2D">
        <w:rPr>
          <w:color w:val="auto"/>
          <w:sz w:val="26"/>
          <w:szCs w:val="26"/>
        </w:rPr>
        <w:t>. Řízení před Soudním dvorem EU, generální advokáti, formy rozhodnutí (rozsudky a stanoviska)</w:t>
      </w:r>
    </w:p>
    <w:p w14:paraId="74BB9B65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6</w:t>
      </w:r>
      <w:r w:rsidRPr="00F00B2D">
        <w:rPr>
          <w:color w:val="auto"/>
          <w:sz w:val="26"/>
          <w:szCs w:val="26"/>
        </w:rPr>
        <w:t>. Zajišťování jednotného výkladu práva EU v členských státech - řízení o předběžné otázce</w:t>
      </w:r>
    </w:p>
    <w:p w14:paraId="5C456F45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1</w:t>
      </w:r>
      <w:r w:rsidR="00725649" w:rsidRPr="00F00B2D">
        <w:rPr>
          <w:color w:val="auto"/>
          <w:sz w:val="26"/>
          <w:szCs w:val="26"/>
        </w:rPr>
        <w:t>7.</w:t>
      </w:r>
      <w:r w:rsidRPr="00F00B2D">
        <w:rPr>
          <w:color w:val="auto"/>
          <w:sz w:val="26"/>
          <w:szCs w:val="26"/>
        </w:rPr>
        <w:t xml:space="preserve"> Působení Soudního dvora EU jakožto ústavního nebo správního soudu</w:t>
      </w:r>
    </w:p>
    <w:p w14:paraId="6ECA9463" w14:textId="77777777" w:rsidR="00F00B2D" w:rsidRPr="00F00B2D" w:rsidRDefault="00F00B2D">
      <w:pPr>
        <w:spacing w:after="60"/>
        <w:rPr>
          <w:i/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ab/>
      </w:r>
      <w:r w:rsidRPr="00F00B2D">
        <w:rPr>
          <w:color w:val="auto"/>
          <w:sz w:val="26"/>
          <w:szCs w:val="26"/>
        </w:rPr>
        <w:tab/>
      </w:r>
      <w:r w:rsidRPr="00F00B2D">
        <w:rPr>
          <w:i/>
          <w:color w:val="auto"/>
          <w:sz w:val="26"/>
          <w:szCs w:val="26"/>
        </w:rPr>
        <w:t>ot. 6–17: str. 17-167 učebnice Základy práva EU pro ekonomy</w:t>
      </w:r>
    </w:p>
    <w:p w14:paraId="6CAB9080" w14:textId="77777777" w:rsidR="00795796" w:rsidRPr="00695B65" w:rsidRDefault="00725649">
      <w:pPr>
        <w:spacing w:after="60"/>
        <w:rPr>
          <w:color w:val="0000FF"/>
          <w:sz w:val="26"/>
          <w:szCs w:val="26"/>
        </w:rPr>
      </w:pPr>
      <w:r w:rsidRPr="00695B65">
        <w:rPr>
          <w:color w:val="0000FF"/>
          <w:sz w:val="26"/>
          <w:szCs w:val="26"/>
        </w:rPr>
        <w:t>18</w:t>
      </w:r>
      <w:r w:rsidR="00F00B2D" w:rsidRPr="00695B65">
        <w:rPr>
          <w:color w:val="0000FF"/>
          <w:sz w:val="26"/>
          <w:szCs w:val="26"/>
        </w:rPr>
        <w:t>. Pojem společného trhu a jednotného vnitřního trhu EU</w:t>
      </w:r>
    </w:p>
    <w:p w14:paraId="0CD36621" w14:textId="77777777" w:rsidR="00795796" w:rsidRPr="00695B65" w:rsidRDefault="00725649">
      <w:pPr>
        <w:spacing w:after="60"/>
        <w:rPr>
          <w:color w:val="0000FF"/>
          <w:sz w:val="26"/>
          <w:szCs w:val="26"/>
        </w:rPr>
      </w:pPr>
      <w:r w:rsidRPr="00695B65">
        <w:rPr>
          <w:color w:val="0000FF"/>
          <w:sz w:val="26"/>
          <w:szCs w:val="26"/>
        </w:rPr>
        <w:t>19</w:t>
      </w:r>
      <w:r w:rsidR="00F00B2D" w:rsidRPr="00695B65">
        <w:rPr>
          <w:color w:val="0000FF"/>
          <w:sz w:val="26"/>
          <w:szCs w:val="26"/>
        </w:rPr>
        <w:t>. Volný pohyb zboží na vnitřním trhu EU, dovolená omezení</w:t>
      </w:r>
    </w:p>
    <w:p w14:paraId="2501BB8F" w14:textId="77777777" w:rsidR="00725649" w:rsidRPr="00695B65" w:rsidRDefault="00F00B2D">
      <w:pPr>
        <w:spacing w:after="60"/>
        <w:rPr>
          <w:color w:val="0000FF"/>
          <w:sz w:val="26"/>
          <w:szCs w:val="26"/>
        </w:rPr>
      </w:pPr>
      <w:r w:rsidRPr="00695B65">
        <w:rPr>
          <w:color w:val="0000FF"/>
          <w:sz w:val="26"/>
          <w:szCs w:val="26"/>
        </w:rPr>
        <w:t>2</w:t>
      </w:r>
      <w:r w:rsidR="00725649" w:rsidRPr="00695B65">
        <w:rPr>
          <w:color w:val="0000FF"/>
          <w:sz w:val="26"/>
          <w:szCs w:val="26"/>
        </w:rPr>
        <w:t>0</w:t>
      </w:r>
      <w:r w:rsidRPr="00695B65">
        <w:rPr>
          <w:color w:val="0000FF"/>
          <w:sz w:val="26"/>
          <w:szCs w:val="26"/>
        </w:rPr>
        <w:t xml:space="preserve">. Volný pohyb osob </w:t>
      </w:r>
      <w:r w:rsidR="00725649" w:rsidRPr="00695B65">
        <w:rPr>
          <w:color w:val="0000FF"/>
          <w:sz w:val="26"/>
          <w:szCs w:val="26"/>
        </w:rPr>
        <w:t>a služeb</w:t>
      </w:r>
      <w:r w:rsidRPr="00695B65">
        <w:rPr>
          <w:color w:val="0000FF"/>
          <w:sz w:val="26"/>
          <w:szCs w:val="26"/>
        </w:rPr>
        <w:t xml:space="preserve"> </w:t>
      </w:r>
    </w:p>
    <w:p w14:paraId="4E851FEF" w14:textId="77777777" w:rsidR="00795796" w:rsidRPr="00695B65" w:rsidRDefault="00725649">
      <w:pPr>
        <w:spacing w:after="60"/>
        <w:rPr>
          <w:i/>
          <w:color w:val="0000FF"/>
          <w:sz w:val="26"/>
          <w:szCs w:val="26"/>
        </w:rPr>
      </w:pPr>
      <w:r w:rsidRPr="00695B65">
        <w:rPr>
          <w:color w:val="0000FF"/>
          <w:sz w:val="26"/>
          <w:szCs w:val="26"/>
        </w:rPr>
        <w:t>21.</w:t>
      </w:r>
      <w:r w:rsidR="00F00B2D" w:rsidRPr="00695B65">
        <w:rPr>
          <w:color w:val="0000FF"/>
          <w:sz w:val="26"/>
          <w:szCs w:val="26"/>
        </w:rPr>
        <w:t xml:space="preserve"> Prostor svobody, bezpečnosti a práva v EU </w:t>
      </w:r>
      <w:r w:rsidR="00F00B2D" w:rsidRPr="00695B65">
        <w:rPr>
          <w:i/>
          <w:color w:val="0000FF"/>
          <w:sz w:val="26"/>
          <w:szCs w:val="26"/>
        </w:rPr>
        <w:t>(ot. 18-21:  str. 168-225 učebnice)</w:t>
      </w:r>
    </w:p>
    <w:p w14:paraId="6426FC7F" w14:textId="77777777" w:rsidR="00795796" w:rsidRPr="00F00B2D" w:rsidRDefault="00F00B2D">
      <w:pPr>
        <w:spacing w:after="60"/>
        <w:rPr>
          <w:color w:val="auto"/>
          <w:sz w:val="26"/>
          <w:szCs w:val="26"/>
        </w:rPr>
      </w:pPr>
      <w:r w:rsidRPr="00F00B2D">
        <w:rPr>
          <w:color w:val="auto"/>
          <w:sz w:val="26"/>
          <w:szCs w:val="26"/>
        </w:rPr>
        <w:t>2</w:t>
      </w:r>
      <w:r w:rsidR="00725649" w:rsidRPr="00F00B2D">
        <w:rPr>
          <w:color w:val="auto"/>
          <w:sz w:val="26"/>
          <w:szCs w:val="26"/>
        </w:rPr>
        <w:t>2</w:t>
      </w:r>
      <w:r w:rsidRPr="00F00B2D">
        <w:rPr>
          <w:color w:val="auto"/>
          <w:sz w:val="26"/>
          <w:szCs w:val="26"/>
        </w:rPr>
        <w:t xml:space="preserve">. EU jako celní unie, společná obchodní politika </w:t>
      </w:r>
      <w:r w:rsidRPr="00F00B2D">
        <w:rPr>
          <w:i/>
          <w:color w:val="auto"/>
          <w:sz w:val="26"/>
          <w:szCs w:val="26"/>
        </w:rPr>
        <w:t>(str. 300-313 učebnice)</w:t>
      </w:r>
    </w:p>
    <w:p w14:paraId="46B18AD3" w14:textId="77777777" w:rsidR="00795796" w:rsidRPr="00695B65" w:rsidRDefault="00F00B2D">
      <w:pPr>
        <w:spacing w:after="60"/>
        <w:rPr>
          <w:i/>
          <w:color w:val="0000FF"/>
          <w:sz w:val="26"/>
          <w:szCs w:val="26"/>
        </w:rPr>
      </w:pPr>
      <w:r w:rsidRPr="00695B65">
        <w:rPr>
          <w:color w:val="0000FF"/>
          <w:sz w:val="26"/>
          <w:szCs w:val="26"/>
        </w:rPr>
        <w:t>2</w:t>
      </w:r>
      <w:r w:rsidR="00725649" w:rsidRPr="00695B65">
        <w:rPr>
          <w:color w:val="0000FF"/>
          <w:sz w:val="26"/>
          <w:szCs w:val="26"/>
        </w:rPr>
        <w:t>3</w:t>
      </w:r>
      <w:r w:rsidRPr="00695B65">
        <w:rPr>
          <w:color w:val="0000FF"/>
          <w:sz w:val="26"/>
          <w:szCs w:val="26"/>
        </w:rPr>
        <w:t xml:space="preserve">. Harmonizace daní v EU </w:t>
      </w:r>
      <w:r w:rsidRPr="00695B65">
        <w:rPr>
          <w:i/>
          <w:color w:val="0000FF"/>
          <w:sz w:val="26"/>
          <w:szCs w:val="26"/>
        </w:rPr>
        <w:t>(str. 275-285 učebnice)</w:t>
      </w:r>
    </w:p>
    <w:p w14:paraId="24278FB4" w14:textId="77777777" w:rsidR="00795796" w:rsidRPr="00F00B2D" w:rsidRDefault="00F00B2D">
      <w:pPr>
        <w:spacing w:after="60"/>
        <w:rPr>
          <w:i/>
          <w:color w:val="auto"/>
        </w:rPr>
      </w:pPr>
      <w:r w:rsidRPr="00F00B2D">
        <w:rPr>
          <w:color w:val="auto"/>
          <w:sz w:val="26"/>
          <w:szCs w:val="26"/>
        </w:rPr>
        <w:t>2</w:t>
      </w:r>
      <w:r w:rsidR="00725649" w:rsidRPr="00F00B2D">
        <w:rPr>
          <w:color w:val="auto"/>
          <w:sz w:val="26"/>
          <w:szCs w:val="26"/>
        </w:rPr>
        <w:t>4</w:t>
      </w:r>
      <w:r w:rsidRPr="00F00B2D">
        <w:rPr>
          <w:color w:val="auto"/>
          <w:sz w:val="26"/>
          <w:szCs w:val="26"/>
        </w:rPr>
        <w:t xml:space="preserve">. Ochrana lidských práv v právu EU </w:t>
      </w:r>
      <w:r w:rsidRPr="00F00B2D">
        <w:rPr>
          <w:i/>
          <w:color w:val="auto"/>
          <w:sz w:val="26"/>
          <w:szCs w:val="26"/>
        </w:rPr>
        <w:t>(str. 343-346 učebnice)</w:t>
      </w:r>
    </w:p>
    <w:sectPr w:rsidR="00795796" w:rsidRPr="00F00B2D">
      <w:pgSz w:w="11906" w:h="16838"/>
      <w:pgMar w:top="1134" w:right="1134" w:bottom="1134" w:left="1134" w:header="0" w:footer="0" w:gutter="0"/>
      <w:cols w:space="708"/>
      <w:formProt w:val="0"/>
      <w:docGrid w:linePitch="24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6"/>
    <w:rsid w:val="001B5A06"/>
    <w:rsid w:val="006434B2"/>
    <w:rsid w:val="00695B65"/>
    <w:rsid w:val="00725649"/>
    <w:rsid w:val="00795796"/>
    <w:rsid w:val="00855344"/>
    <w:rsid w:val="009E5501"/>
    <w:rsid w:val="00A07EE7"/>
    <w:rsid w:val="00A750B5"/>
    <w:rsid w:val="00CB6E2E"/>
    <w:rsid w:val="00F0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4F8D"/>
  <w15:docId w15:val="{8E283E00-D65D-4E3B-90D8-F0EC187A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2424F"/>
    <w:rPr>
      <w:rFonts w:ascii="Segoe UI" w:hAnsi="Segoe UI" w:cs="Mangal"/>
      <w:color w:val="00000A"/>
      <w:sz w:val="18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1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Seznamnadpis">
    <w:name w:val="Seznam nadpisů"/>
    <w:basedOn w:val="Normln"/>
    <w:qFormat/>
  </w:style>
  <w:style w:type="paragraph" w:customStyle="1" w:styleId="Obsahseznamu">
    <w:name w:val="Obsah seznamu"/>
    <w:basedOn w:val="Normln"/>
    <w:qFormat/>
    <w:pPr>
      <w:ind w:left="567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2424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dc:description/>
  <cp:lastModifiedBy>Vladimír Týč</cp:lastModifiedBy>
  <cp:revision>3</cp:revision>
  <cp:lastPrinted>2022-04-21T11:38:00Z</cp:lastPrinted>
  <dcterms:created xsi:type="dcterms:W3CDTF">2022-04-21T12:00:00Z</dcterms:created>
  <dcterms:modified xsi:type="dcterms:W3CDTF">2022-04-21T12:01:00Z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