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339A" w14:textId="77777777" w:rsidR="006B42B7" w:rsidRPr="00CB2579" w:rsidRDefault="006B42B7" w:rsidP="006B42B7">
      <w:pPr>
        <w:jc w:val="both"/>
        <w:rPr>
          <w:u w:val="single"/>
        </w:rPr>
      </w:pPr>
      <w:r w:rsidRPr="00CB2579">
        <w:rPr>
          <w:u w:val="single"/>
        </w:rPr>
        <w:t>Evropský sociální dialog</w:t>
      </w:r>
    </w:p>
    <w:p w14:paraId="02C34B5A" w14:textId="77777777" w:rsidR="006B42B7" w:rsidRDefault="006B42B7" w:rsidP="006B42B7">
      <w:pPr>
        <w:jc w:val="both"/>
      </w:pPr>
      <w:r>
        <w:t>Pravidla zapojení zaměstnanců ve formě práva na informování a projednávání vycházejí z práva EU. Za zmínku stojí už úprava obsažená v primárním právu, konkrétně ve Smlouvě o fungování EU:</w:t>
      </w:r>
    </w:p>
    <w:p w14:paraId="192E7C36" w14:textId="77777777" w:rsidR="006B42B7" w:rsidRDefault="006B42B7" w:rsidP="006B42B7">
      <w:pPr>
        <w:jc w:val="both"/>
      </w:pPr>
    </w:p>
    <w:p w14:paraId="275FE628" w14:textId="77777777" w:rsidR="006B42B7" w:rsidRPr="00870047" w:rsidRDefault="006B42B7" w:rsidP="006B42B7">
      <w:pPr>
        <w:widowControl w:val="0"/>
        <w:autoSpaceDE w:val="0"/>
        <w:autoSpaceDN w:val="0"/>
        <w:adjustRightInd w:val="0"/>
        <w:jc w:val="center"/>
        <w:rPr>
          <w:i/>
          <w:iCs/>
        </w:rPr>
      </w:pPr>
      <w:r w:rsidRPr="00870047">
        <w:rPr>
          <w:i/>
          <w:iCs/>
        </w:rPr>
        <w:t>Článek 154</w:t>
      </w:r>
    </w:p>
    <w:p w14:paraId="250D6267" w14:textId="77777777" w:rsidR="006B42B7" w:rsidRPr="00870047" w:rsidRDefault="006B42B7" w:rsidP="006B42B7">
      <w:pPr>
        <w:widowControl w:val="0"/>
        <w:autoSpaceDE w:val="0"/>
        <w:autoSpaceDN w:val="0"/>
        <w:adjustRightInd w:val="0"/>
        <w:jc w:val="both"/>
        <w:rPr>
          <w:i/>
          <w:iCs/>
        </w:rPr>
      </w:pPr>
      <w:r w:rsidRPr="00870047">
        <w:rPr>
          <w:i/>
          <w:iCs/>
        </w:rPr>
        <w:t>1. Úkolem Komise je podporovat konzultace mezi sociálními partnery na úrovni Unie a přijímat všechna účelná opatření pro usnadnění jejich dialogu, přičemž zajišťuje vyváženou podporu jednajících stran.</w:t>
      </w:r>
    </w:p>
    <w:p w14:paraId="0D84C30B" w14:textId="77777777" w:rsidR="006B42B7" w:rsidRPr="00870047" w:rsidRDefault="006B42B7" w:rsidP="006B42B7">
      <w:pPr>
        <w:widowControl w:val="0"/>
        <w:autoSpaceDE w:val="0"/>
        <w:autoSpaceDN w:val="0"/>
        <w:adjustRightInd w:val="0"/>
        <w:jc w:val="both"/>
        <w:rPr>
          <w:i/>
          <w:iCs/>
        </w:rPr>
      </w:pPr>
      <w:r w:rsidRPr="00870047">
        <w:rPr>
          <w:i/>
          <w:iCs/>
        </w:rPr>
        <w:t>2. Za tím účelem Komise před předložením návrhů z oblasti sociální politiky konzultuje se sociálními partnery otázku možného zaměření akce Unie.</w:t>
      </w:r>
    </w:p>
    <w:p w14:paraId="393B2442" w14:textId="77777777" w:rsidR="006B42B7" w:rsidRPr="00870047" w:rsidRDefault="006B42B7" w:rsidP="006B42B7">
      <w:pPr>
        <w:widowControl w:val="0"/>
        <w:autoSpaceDE w:val="0"/>
        <w:autoSpaceDN w:val="0"/>
        <w:adjustRightInd w:val="0"/>
        <w:jc w:val="both"/>
        <w:rPr>
          <w:i/>
          <w:iCs/>
        </w:rPr>
      </w:pPr>
      <w:r w:rsidRPr="00870047">
        <w:rPr>
          <w:i/>
          <w:iCs/>
        </w:rPr>
        <w:t>3. Považuje-li Komise po takové konzultaci akci Unie za účelnou, konzultuje se sociálními partnery obsah zamýšleného návrhu. Sociální partneři předají Komisi své stanovisko, případně doporučení.</w:t>
      </w:r>
    </w:p>
    <w:p w14:paraId="2CEAD8B6" w14:textId="77777777" w:rsidR="006B42B7" w:rsidRPr="00870047" w:rsidRDefault="006B42B7" w:rsidP="006B42B7">
      <w:pPr>
        <w:widowControl w:val="0"/>
        <w:autoSpaceDE w:val="0"/>
        <w:autoSpaceDN w:val="0"/>
        <w:adjustRightInd w:val="0"/>
        <w:jc w:val="both"/>
        <w:rPr>
          <w:i/>
          <w:iCs/>
        </w:rPr>
      </w:pPr>
      <w:r w:rsidRPr="00870047">
        <w:rPr>
          <w:i/>
          <w:iCs/>
        </w:rPr>
        <w:t xml:space="preserve">4. Při konzultaci podle odstavců </w:t>
      </w:r>
      <w:smartTag w:uri="urn:schemas-microsoft-com:office:smarttags" w:element="metricconverter">
        <w:smartTagPr>
          <w:attr w:name="ProductID" w:val="2 a"/>
        </w:smartTagPr>
        <w:r w:rsidRPr="00870047">
          <w:rPr>
            <w:i/>
            <w:iCs/>
          </w:rPr>
          <w:t>2 a</w:t>
        </w:r>
      </w:smartTag>
      <w:r w:rsidRPr="00870047">
        <w:rPr>
          <w:i/>
          <w:iCs/>
        </w:rPr>
        <w:t xml:space="preserve"> 3 mohou sociální partneři informovat Komisi o svém úmyslu zahájit postup podle článku 155. Doba trvání tohoto postupu nesmí překročit devět měsíců, nerozhodnou-li se společně sociální partneři a Komise tuto dobu prodloužit.</w:t>
      </w:r>
    </w:p>
    <w:p w14:paraId="488884B3" w14:textId="77777777" w:rsidR="006B42B7" w:rsidRPr="00870047" w:rsidRDefault="006B42B7" w:rsidP="006B42B7">
      <w:pPr>
        <w:widowControl w:val="0"/>
        <w:autoSpaceDE w:val="0"/>
        <w:autoSpaceDN w:val="0"/>
        <w:adjustRightInd w:val="0"/>
        <w:jc w:val="both"/>
        <w:rPr>
          <w:i/>
          <w:iCs/>
        </w:rPr>
      </w:pPr>
      <w:r w:rsidRPr="00870047">
        <w:rPr>
          <w:i/>
          <w:iCs/>
        </w:rPr>
        <w:t xml:space="preserve"> </w:t>
      </w:r>
    </w:p>
    <w:p w14:paraId="3857A4EA" w14:textId="77777777" w:rsidR="006B42B7" w:rsidRPr="00870047" w:rsidRDefault="006B42B7" w:rsidP="006B42B7">
      <w:pPr>
        <w:widowControl w:val="0"/>
        <w:autoSpaceDE w:val="0"/>
        <w:autoSpaceDN w:val="0"/>
        <w:adjustRightInd w:val="0"/>
        <w:jc w:val="center"/>
        <w:rPr>
          <w:i/>
          <w:iCs/>
        </w:rPr>
      </w:pPr>
      <w:r w:rsidRPr="00870047">
        <w:rPr>
          <w:i/>
          <w:iCs/>
        </w:rPr>
        <w:t>Článek 155</w:t>
      </w:r>
    </w:p>
    <w:p w14:paraId="155E6F57" w14:textId="77777777" w:rsidR="006B42B7" w:rsidRPr="00870047" w:rsidRDefault="006B42B7" w:rsidP="006B42B7">
      <w:pPr>
        <w:widowControl w:val="0"/>
        <w:autoSpaceDE w:val="0"/>
        <w:autoSpaceDN w:val="0"/>
        <w:adjustRightInd w:val="0"/>
        <w:jc w:val="both"/>
        <w:rPr>
          <w:i/>
          <w:iCs/>
        </w:rPr>
      </w:pPr>
      <w:r w:rsidRPr="00870047">
        <w:rPr>
          <w:i/>
          <w:iCs/>
        </w:rPr>
        <w:t>1. Pokud si to sociální partneři přejí, může dialog mezi nimi na úrovni Unie vést ke smluvním vztahům včetně uzavírání dohod.</w:t>
      </w:r>
    </w:p>
    <w:p w14:paraId="62E21746" w14:textId="77777777" w:rsidR="006B42B7" w:rsidRPr="00870047" w:rsidRDefault="006B42B7" w:rsidP="006B42B7">
      <w:pPr>
        <w:widowControl w:val="0"/>
        <w:autoSpaceDE w:val="0"/>
        <w:autoSpaceDN w:val="0"/>
        <w:adjustRightInd w:val="0"/>
        <w:jc w:val="both"/>
        <w:rPr>
          <w:i/>
          <w:iCs/>
        </w:rPr>
      </w:pPr>
      <w:r w:rsidRPr="00870047">
        <w:rPr>
          <w:i/>
          <w:iCs/>
        </w:rPr>
        <w:t>2. Dohody uzavřené na úrovni Unie se provádějí buď podle stávajících postupů a zvyklostí sociálních partnerů a členských států, nebo v záležitostech týkajících se článku 153 rozhodnutím Rady na návrh Komise na základě společné žádosti smluvních stran. Evropský parlament je o tom informován.</w:t>
      </w:r>
    </w:p>
    <w:p w14:paraId="16A3BAE3" w14:textId="77777777" w:rsidR="006B42B7" w:rsidRPr="00870047" w:rsidRDefault="006B42B7" w:rsidP="006B42B7">
      <w:pPr>
        <w:widowControl w:val="0"/>
        <w:autoSpaceDE w:val="0"/>
        <w:autoSpaceDN w:val="0"/>
        <w:adjustRightInd w:val="0"/>
        <w:jc w:val="both"/>
        <w:rPr>
          <w:i/>
          <w:iCs/>
        </w:rPr>
      </w:pPr>
      <w:r w:rsidRPr="00870047">
        <w:rPr>
          <w:i/>
          <w:iCs/>
        </w:rPr>
        <w:t>Rada rozhoduje jednomyslně, pokud dotyčná dohoda obsahuje jedno nebo více ustanovení vztahujících se k některé z oblastí, v nichž je na základě čl. 153 odst. 2 vyžadována jednomyslnost.</w:t>
      </w:r>
    </w:p>
    <w:p w14:paraId="224563DE" w14:textId="77777777" w:rsidR="006B42B7" w:rsidRDefault="006B42B7" w:rsidP="006B42B7">
      <w:pPr>
        <w:jc w:val="both"/>
      </w:pPr>
    </w:p>
    <w:p w14:paraId="2BC39CC7" w14:textId="245A0052" w:rsidR="000B5B9B" w:rsidRDefault="006B42B7" w:rsidP="009E05CD">
      <w:pPr>
        <w:jc w:val="both"/>
      </w:pPr>
      <w:r>
        <w:t xml:space="preserve">Čl. 154 a 155 SFEU zakládá sociálním partnerům mimo jiné právo na participaci v legislativním procesu. Na základě postupu upraveného v čl. 155 mohou sociální partneři (odborové a zaměstnavatelské organizace působící na evropské úrovni, tj. zejména: </w:t>
      </w:r>
      <w:hyperlink r:id="rId4" w:history="1">
        <w:r w:rsidRPr="00866D64">
          <w:rPr>
            <w:rStyle w:val="Hypertextovodkaz"/>
          </w:rPr>
          <w:t>www.etuc.org</w:t>
        </w:r>
      </w:hyperlink>
      <w:r>
        <w:t xml:space="preserve">, </w:t>
      </w:r>
      <w:hyperlink r:id="rId5" w:history="1">
        <w:r>
          <w:rPr>
            <w:rStyle w:val="Hypertextovodkaz"/>
          </w:rPr>
          <w:t>https://www.businesseurope.eu/</w:t>
        </w:r>
      </w:hyperlink>
      <w:r>
        <w:t xml:space="preserve">, </w:t>
      </w:r>
      <w:hyperlink r:id="rId6" w:history="1">
        <w:r>
          <w:rPr>
            <w:rStyle w:val="Hypertextovodkaz"/>
          </w:rPr>
          <w:t>https://smeunited.eu/</w:t>
        </w:r>
      </w:hyperlink>
      <w:r>
        <w:t xml:space="preserve">, </w:t>
      </w:r>
      <w:hyperlink r:id="rId7" w:history="1">
        <w:r w:rsidR="009E05CD" w:rsidRPr="0043464D">
          <w:rPr>
            <w:rStyle w:val="Hypertextovodkaz"/>
          </w:rPr>
          <w:t>https://sgieurope.org/</w:t>
        </w:r>
      </w:hyperlink>
      <w:r>
        <w:t>) v rámci legislativního procesu při řešení některé záležitosti spadající do oblasti sociálního práva EU oznámit, že si přejí určitou problematiku řešit prostřednictvím dohody. Sociální partneři pak de facto přebírají zákonodárnou úlohu. Je-li následující vyjednávání úspěšné, uzavřou dohodu a tato dohoda je pramenem práva EU. Dohoda je poté buď transformována do podoby směrnice, nebo zůstává v podobě tzv. autonomní rámcové dohody sociálních partnerů, která by měla být na národní úrovni implementována prostřednictvím autonomních nástrojů samotných sociálních partnerů (v prvé řadě kolektivní vyjednávání).</w:t>
      </w:r>
    </w:p>
    <w:sectPr w:rsidR="000B5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CF"/>
    <w:rsid w:val="000B5B9B"/>
    <w:rsid w:val="006277CF"/>
    <w:rsid w:val="006B42B7"/>
    <w:rsid w:val="009E05CD"/>
    <w:rsid w:val="00AC5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52B33D"/>
  <w15:chartTrackingRefBased/>
  <w15:docId w15:val="{CA5B3510-33D8-4749-8A76-A36B864A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2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B42B7"/>
    <w:rPr>
      <w:color w:val="0563C1" w:themeColor="hyperlink"/>
      <w:u w:val="single"/>
    </w:rPr>
  </w:style>
  <w:style w:type="character" w:styleId="Nevyeenzmnka">
    <w:name w:val="Unresolved Mention"/>
    <w:basedOn w:val="Standardnpsmoodstavce"/>
    <w:uiPriority w:val="99"/>
    <w:semiHidden/>
    <w:unhideWhenUsed/>
    <w:rsid w:val="009E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gieurop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eunited.eu/" TargetMode="External"/><Relationship Id="rId5" Type="http://schemas.openxmlformats.org/officeDocument/2006/relationships/hyperlink" Target="https://www.businesseurope.eu/" TargetMode="External"/><Relationship Id="rId4" Type="http://schemas.openxmlformats.org/officeDocument/2006/relationships/hyperlink" Target="http://www.etuc.org"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2355</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Jaroslav</dc:creator>
  <cp:keywords/>
  <dc:description/>
  <cp:lastModifiedBy>Stránský Jaroslav</cp:lastModifiedBy>
  <cp:revision>3</cp:revision>
  <dcterms:created xsi:type="dcterms:W3CDTF">2021-04-08T15:08:00Z</dcterms:created>
  <dcterms:modified xsi:type="dcterms:W3CDTF">2023-05-17T15:51:00Z</dcterms:modified>
</cp:coreProperties>
</file>