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D7" w:rsidRPr="00195E51" w:rsidRDefault="00132C91" w:rsidP="00117945">
      <w:pPr>
        <w:ind w:firstLine="0"/>
        <w:jc w:val="center"/>
        <w:rPr>
          <w:rFonts w:cs="Times New Roman"/>
          <w:b/>
          <w:sz w:val="28"/>
          <w:szCs w:val="28"/>
        </w:rPr>
      </w:pPr>
      <w:r w:rsidRPr="00195E51">
        <w:rPr>
          <w:rFonts w:cs="Times New Roman"/>
          <w:b/>
          <w:sz w:val="28"/>
          <w:szCs w:val="28"/>
        </w:rPr>
        <w:t>Unijní právo</w:t>
      </w:r>
      <w:r w:rsidR="009F623E" w:rsidRPr="00195E51">
        <w:rPr>
          <w:rFonts w:cs="Times New Roman"/>
          <w:b/>
          <w:sz w:val="28"/>
          <w:szCs w:val="28"/>
        </w:rPr>
        <w:t xml:space="preserve"> v</w:t>
      </w:r>
      <w:r w:rsidR="00237695" w:rsidRPr="00195E51">
        <w:rPr>
          <w:rFonts w:cs="Times New Roman"/>
          <w:b/>
          <w:sz w:val="28"/>
          <w:szCs w:val="28"/>
        </w:rPr>
        <w:t xml:space="preserve"> aplikační praxi</w:t>
      </w:r>
      <w:r w:rsidR="009F623E" w:rsidRPr="00195E51">
        <w:rPr>
          <w:rFonts w:cs="Times New Roman"/>
          <w:b/>
          <w:sz w:val="28"/>
          <w:szCs w:val="28"/>
        </w:rPr>
        <w:t xml:space="preserve"> Nejvyššího soudu: </w:t>
      </w:r>
      <w:r w:rsidR="00237695" w:rsidRPr="00195E51">
        <w:rPr>
          <w:rFonts w:cs="Times New Roman"/>
          <w:b/>
          <w:sz w:val="28"/>
          <w:szCs w:val="28"/>
        </w:rPr>
        <w:t>vztah sympatie, antipatie či ambivalence?</w:t>
      </w:r>
    </w:p>
    <w:p w:rsidR="00237695" w:rsidRPr="00195E51" w:rsidRDefault="00237695" w:rsidP="00117945">
      <w:pPr>
        <w:ind w:firstLine="0"/>
        <w:jc w:val="center"/>
        <w:rPr>
          <w:rFonts w:cs="Times New Roman"/>
        </w:rPr>
      </w:pPr>
    </w:p>
    <w:p w:rsidR="00237695" w:rsidRPr="00195E51" w:rsidRDefault="003E60C7" w:rsidP="008510D1">
      <w:pPr>
        <w:pStyle w:val="Odstavecseseznamem"/>
        <w:numPr>
          <w:ilvl w:val="0"/>
          <w:numId w:val="2"/>
        </w:numPr>
        <w:rPr>
          <w:rFonts w:cs="Times New Roman"/>
          <w:b/>
        </w:rPr>
      </w:pPr>
      <w:r w:rsidRPr="00195E51">
        <w:rPr>
          <w:rFonts w:cs="Times New Roman"/>
          <w:b/>
        </w:rPr>
        <w:t>Úvod</w:t>
      </w:r>
    </w:p>
    <w:p w:rsidR="003E60C7" w:rsidRPr="00195E51" w:rsidRDefault="003E60C7" w:rsidP="00117945">
      <w:pPr>
        <w:ind w:firstLine="0"/>
        <w:rPr>
          <w:rFonts w:cs="Times New Roman"/>
          <w:b/>
        </w:rPr>
      </w:pPr>
    </w:p>
    <w:p w:rsidR="00286664" w:rsidRPr="00195E51" w:rsidRDefault="00B248A2" w:rsidP="008510D1">
      <w:pPr>
        <w:ind w:firstLine="357"/>
        <w:rPr>
          <w:rFonts w:cs="Times New Roman"/>
        </w:rPr>
      </w:pPr>
      <w:proofErr w:type="spellStart"/>
      <w:r w:rsidRPr="00EE64FB">
        <w:rPr>
          <w:rFonts w:cs="Times New Roman"/>
        </w:rPr>
        <w:t>Raison</w:t>
      </w:r>
      <w:proofErr w:type="spellEnd"/>
      <w:r w:rsidRPr="00EE64FB">
        <w:rPr>
          <w:rFonts w:cs="Times New Roman"/>
        </w:rPr>
        <w:t xml:space="preserve"> </w:t>
      </w:r>
      <w:proofErr w:type="spellStart"/>
      <w:r w:rsidRPr="00EE64FB">
        <w:rPr>
          <w:rFonts w:cs="Times New Roman"/>
        </w:rPr>
        <w:t>d’être</w:t>
      </w:r>
      <w:proofErr w:type="spellEnd"/>
      <w:r w:rsidRPr="00B248A2">
        <w:rPr>
          <w:rFonts w:cs="Times New Roman"/>
        </w:rPr>
        <w:t xml:space="preserve"> </w:t>
      </w:r>
      <w:r w:rsidR="0092607C" w:rsidRPr="00195E51">
        <w:rPr>
          <w:rFonts w:cs="Times New Roman"/>
        </w:rPr>
        <w:t>N</w:t>
      </w:r>
      <w:r w:rsidR="00594BAF" w:rsidRPr="00195E51">
        <w:rPr>
          <w:rFonts w:cs="Times New Roman"/>
        </w:rPr>
        <w:t>ejvyšší</w:t>
      </w:r>
      <w:r w:rsidR="00412D05" w:rsidRPr="00195E51">
        <w:rPr>
          <w:rFonts w:cs="Times New Roman"/>
        </w:rPr>
        <w:t>ho</w:t>
      </w:r>
      <w:r w:rsidR="00594BAF" w:rsidRPr="00195E51">
        <w:rPr>
          <w:rFonts w:cs="Times New Roman"/>
        </w:rPr>
        <w:t xml:space="preserve"> soud</w:t>
      </w:r>
      <w:r w:rsidR="00412D05" w:rsidRPr="00195E51">
        <w:rPr>
          <w:rFonts w:cs="Times New Roman"/>
        </w:rPr>
        <w:t>u</w:t>
      </w:r>
      <w:r w:rsidR="00594BAF" w:rsidRPr="00195E51">
        <w:rPr>
          <w:rFonts w:cs="Times New Roman"/>
        </w:rPr>
        <w:t xml:space="preserve"> </w:t>
      </w:r>
      <w:r w:rsidR="004D5998" w:rsidRPr="00195E51">
        <w:rPr>
          <w:rFonts w:cs="Times New Roman"/>
        </w:rPr>
        <w:t xml:space="preserve">(NS) </w:t>
      </w:r>
      <w:r w:rsidR="00117945" w:rsidRPr="00195E51">
        <w:rPr>
          <w:rFonts w:cs="Times New Roman"/>
        </w:rPr>
        <w:t>jako</w:t>
      </w:r>
      <w:r w:rsidR="007F27DF">
        <w:rPr>
          <w:rFonts w:cs="Times New Roman"/>
        </w:rPr>
        <w:t>žto</w:t>
      </w:r>
      <w:r w:rsidR="00117945" w:rsidRPr="00195E51">
        <w:rPr>
          <w:rFonts w:cs="Times New Roman"/>
        </w:rPr>
        <w:t xml:space="preserve"> vrcholn</w:t>
      </w:r>
      <w:r w:rsidR="007517C8" w:rsidRPr="00195E51">
        <w:rPr>
          <w:rFonts w:cs="Times New Roman"/>
        </w:rPr>
        <w:t>ého</w:t>
      </w:r>
      <w:r w:rsidR="00117945" w:rsidRPr="00195E51">
        <w:rPr>
          <w:rFonts w:cs="Times New Roman"/>
        </w:rPr>
        <w:t xml:space="preserve"> soudní</w:t>
      </w:r>
      <w:r w:rsidR="007517C8" w:rsidRPr="00195E51">
        <w:rPr>
          <w:rFonts w:cs="Times New Roman"/>
        </w:rPr>
        <w:t>ho</w:t>
      </w:r>
      <w:r w:rsidR="00117945" w:rsidRPr="00195E51">
        <w:rPr>
          <w:rFonts w:cs="Times New Roman"/>
        </w:rPr>
        <w:t xml:space="preserve"> orgán</w:t>
      </w:r>
      <w:r w:rsidR="007517C8" w:rsidRPr="00195E51">
        <w:rPr>
          <w:rFonts w:cs="Times New Roman"/>
        </w:rPr>
        <w:t>u</w:t>
      </w:r>
      <w:r w:rsidR="00117945" w:rsidRPr="00195E51">
        <w:rPr>
          <w:rFonts w:cs="Times New Roman"/>
        </w:rPr>
        <w:t xml:space="preserve"> ve věcech patřících do pravomoci soudů v</w:t>
      </w:r>
      <w:r w:rsidR="00E71DDD" w:rsidRPr="00195E51">
        <w:rPr>
          <w:rFonts w:cs="Times New Roman"/>
        </w:rPr>
        <w:t xml:space="preserve"> </w:t>
      </w:r>
      <w:r w:rsidR="00117945" w:rsidRPr="00195E51">
        <w:rPr>
          <w:rFonts w:cs="Times New Roman"/>
        </w:rPr>
        <w:t>občanském soudním řízení a v</w:t>
      </w:r>
      <w:r w:rsidR="00412D05" w:rsidRPr="00195E51">
        <w:rPr>
          <w:rFonts w:cs="Times New Roman"/>
        </w:rPr>
        <w:t xml:space="preserve"> </w:t>
      </w:r>
      <w:r w:rsidR="00117945" w:rsidRPr="00195E51">
        <w:rPr>
          <w:rFonts w:cs="Times New Roman"/>
        </w:rPr>
        <w:t>trestním řízení</w:t>
      </w:r>
      <w:r w:rsidR="0092607C" w:rsidRPr="00195E51">
        <w:rPr>
          <w:rFonts w:cs="Times New Roman"/>
        </w:rPr>
        <w:t xml:space="preserve"> </w:t>
      </w:r>
      <w:r w:rsidR="007517C8" w:rsidRPr="00195E51">
        <w:rPr>
          <w:rFonts w:cs="Times New Roman"/>
        </w:rPr>
        <w:t xml:space="preserve">je </w:t>
      </w:r>
      <w:r w:rsidR="0092607C" w:rsidRPr="00195E51">
        <w:rPr>
          <w:rFonts w:cs="Times New Roman"/>
        </w:rPr>
        <w:t>zaji</w:t>
      </w:r>
      <w:r w:rsidR="007517C8" w:rsidRPr="00195E51">
        <w:rPr>
          <w:rFonts w:cs="Times New Roman"/>
        </w:rPr>
        <w:t>šťovat</w:t>
      </w:r>
      <w:r w:rsidR="00195E51" w:rsidRPr="00195E51">
        <w:rPr>
          <w:rFonts w:cs="Times New Roman"/>
        </w:rPr>
        <w:t xml:space="preserve"> jednotu a </w:t>
      </w:r>
      <w:r w:rsidR="00412D05" w:rsidRPr="00195E51">
        <w:rPr>
          <w:rFonts w:cs="Times New Roman"/>
        </w:rPr>
        <w:t>zákonnost rozhodování</w:t>
      </w:r>
      <w:r w:rsidR="00863DA8" w:rsidRPr="00863DA8">
        <w:rPr>
          <w:rFonts w:cs="Times New Roman"/>
        </w:rPr>
        <w:t xml:space="preserve"> </w:t>
      </w:r>
      <w:r w:rsidR="00863DA8">
        <w:rPr>
          <w:rFonts w:cs="Times New Roman"/>
        </w:rPr>
        <w:t>v uvedených</w:t>
      </w:r>
      <w:r w:rsidR="00863DA8" w:rsidRPr="00195E51">
        <w:rPr>
          <w:rFonts w:cs="Times New Roman"/>
        </w:rPr>
        <w:t xml:space="preserve"> oblastech</w:t>
      </w:r>
      <w:r w:rsidR="00E71DDD" w:rsidRPr="00195E51">
        <w:rPr>
          <w:rFonts w:cs="Times New Roman"/>
        </w:rPr>
        <w:t>.</w:t>
      </w:r>
      <w:r w:rsidR="007F293F" w:rsidRPr="00195E51">
        <w:rPr>
          <w:rStyle w:val="Znakapoznpodarou"/>
          <w:rFonts w:cs="Times New Roman"/>
        </w:rPr>
        <w:footnoteReference w:id="1"/>
      </w:r>
      <w:r w:rsidR="00A93DAC" w:rsidRPr="00195E51">
        <w:rPr>
          <w:rFonts w:cs="Times New Roman"/>
        </w:rPr>
        <w:t xml:space="preserve"> </w:t>
      </w:r>
      <w:r w:rsidR="0033483E">
        <w:rPr>
          <w:rFonts w:cs="Times New Roman"/>
        </w:rPr>
        <w:t>Naopak z</w:t>
      </w:r>
      <w:r w:rsidR="004F0135" w:rsidRPr="00195E51">
        <w:rPr>
          <w:rFonts w:cs="Times New Roman"/>
        </w:rPr>
        <w:t>ajištění</w:t>
      </w:r>
      <w:r w:rsidR="00B20CDC" w:rsidRPr="00195E51">
        <w:rPr>
          <w:rFonts w:cs="Times New Roman"/>
        </w:rPr>
        <w:t xml:space="preserve"> </w:t>
      </w:r>
      <w:r w:rsidR="00406C8D" w:rsidRPr="00195E51">
        <w:rPr>
          <w:rFonts w:cs="Times New Roman"/>
        </w:rPr>
        <w:t xml:space="preserve">dodržování práva </w:t>
      </w:r>
      <w:r w:rsidR="00163B88" w:rsidRPr="00195E51">
        <w:rPr>
          <w:rFonts w:cs="Times New Roman"/>
        </w:rPr>
        <w:t xml:space="preserve">při </w:t>
      </w:r>
      <w:r w:rsidR="00406C8D" w:rsidRPr="00195E51">
        <w:rPr>
          <w:rFonts w:cs="Times New Roman"/>
        </w:rPr>
        <w:t>výkladu</w:t>
      </w:r>
      <w:r w:rsidR="0033483E">
        <w:rPr>
          <w:rFonts w:cs="Times New Roman"/>
        </w:rPr>
        <w:t xml:space="preserve"> a </w:t>
      </w:r>
      <w:r w:rsidR="00163B88" w:rsidRPr="00195E51">
        <w:rPr>
          <w:rFonts w:cs="Times New Roman"/>
        </w:rPr>
        <w:t>provádění</w:t>
      </w:r>
      <w:r w:rsidR="00CD423F" w:rsidRPr="00195E51">
        <w:rPr>
          <w:rFonts w:cs="Times New Roman"/>
        </w:rPr>
        <w:t xml:space="preserve"> </w:t>
      </w:r>
      <w:r w:rsidR="00F55CE6" w:rsidRPr="00195E51">
        <w:rPr>
          <w:rFonts w:cs="Times New Roman"/>
        </w:rPr>
        <w:t xml:space="preserve">norem </w:t>
      </w:r>
      <w:r w:rsidR="00CD423F" w:rsidRPr="00195E51">
        <w:rPr>
          <w:rFonts w:cs="Times New Roman"/>
        </w:rPr>
        <w:t>unijního práva</w:t>
      </w:r>
      <w:r w:rsidR="00263C04" w:rsidRPr="00195E51">
        <w:rPr>
          <w:rFonts w:cs="Times New Roman"/>
        </w:rPr>
        <w:t xml:space="preserve"> </w:t>
      </w:r>
      <w:r w:rsidR="00CD423F" w:rsidRPr="00195E51">
        <w:rPr>
          <w:rFonts w:cs="Times New Roman"/>
        </w:rPr>
        <w:t>je</w:t>
      </w:r>
      <w:r w:rsidR="004B63F8" w:rsidRPr="00195E51">
        <w:rPr>
          <w:rFonts w:cs="Times New Roman"/>
        </w:rPr>
        <w:t xml:space="preserve"> primárně</w:t>
      </w:r>
      <w:r w:rsidR="00CD423F" w:rsidRPr="00195E51">
        <w:rPr>
          <w:rFonts w:cs="Times New Roman"/>
        </w:rPr>
        <w:t xml:space="preserve"> úkolem Soudního dvora Evropské unie</w:t>
      </w:r>
      <w:r w:rsidR="00406C8D" w:rsidRPr="00195E51">
        <w:rPr>
          <w:rFonts w:cs="Times New Roman"/>
        </w:rPr>
        <w:t xml:space="preserve"> (SDEU)</w:t>
      </w:r>
      <w:r w:rsidR="00A052E3" w:rsidRPr="00195E51">
        <w:rPr>
          <w:rFonts w:cs="Times New Roman"/>
        </w:rPr>
        <w:t>.</w:t>
      </w:r>
      <w:r w:rsidR="0020050D" w:rsidRPr="00195E51">
        <w:rPr>
          <w:rStyle w:val="Znakapoznpodarou"/>
          <w:rFonts w:cs="Times New Roman"/>
        </w:rPr>
        <w:footnoteReference w:id="2"/>
      </w:r>
      <w:r w:rsidR="00886055" w:rsidRPr="00195E51">
        <w:rPr>
          <w:rFonts w:cs="Times New Roman"/>
        </w:rPr>
        <w:t xml:space="preserve"> </w:t>
      </w:r>
      <w:r w:rsidR="00495DE8">
        <w:rPr>
          <w:rFonts w:cs="Times New Roman"/>
        </w:rPr>
        <w:t>J</w:t>
      </w:r>
      <w:r w:rsidR="002F1751">
        <w:rPr>
          <w:rFonts w:cs="Times New Roman"/>
        </w:rPr>
        <w:t>iž s</w:t>
      </w:r>
      <w:r w:rsidR="00ED0572" w:rsidRPr="00195E51">
        <w:rPr>
          <w:rFonts w:cs="Times New Roman"/>
        </w:rPr>
        <w:t xml:space="preserve"> </w:t>
      </w:r>
      <w:r w:rsidR="004D5998" w:rsidRPr="00195E51">
        <w:rPr>
          <w:rFonts w:cs="Times New Roman"/>
        </w:rPr>
        <w:t>ohledem na funkce, které plní vnitrostátní vrcholné soudy v</w:t>
      </w:r>
      <w:r w:rsidR="00EE64FB">
        <w:rPr>
          <w:rFonts w:cs="Times New Roman"/>
        </w:rPr>
        <w:t> </w:t>
      </w:r>
      <w:r w:rsidR="002F1751">
        <w:rPr>
          <w:rFonts w:cs="Times New Roman"/>
        </w:rPr>
        <w:t>jednotlivých</w:t>
      </w:r>
      <w:r w:rsidR="004D5998" w:rsidRPr="00195E51">
        <w:rPr>
          <w:rFonts w:cs="Times New Roman"/>
        </w:rPr>
        <w:t xml:space="preserve"> </w:t>
      </w:r>
      <w:r w:rsidR="00B3626C" w:rsidRPr="00195E51">
        <w:rPr>
          <w:rFonts w:cs="Times New Roman"/>
        </w:rPr>
        <w:t>soudních</w:t>
      </w:r>
      <w:r w:rsidR="004D5998" w:rsidRPr="00195E51">
        <w:rPr>
          <w:rFonts w:cs="Times New Roman"/>
        </w:rPr>
        <w:t xml:space="preserve"> systémech, zejména pak</w:t>
      </w:r>
      <w:r w:rsidR="00F779BD" w:rsidRPr="00195E51">
        <w:rPr>
          <w:rFonts w:cs="Times New Roman"/>
        </w:rPr>
        <w:t xml:space="preserve"> s ohledem</w:t>
      </w:r>
      <w:r w:rsidR="004D5998" w:rsidRPr="00195E51">
        <w:rPr>
          <w:rFonts w:cs="Times New Roman"/>
        </w:rPr>
        <w:t xml:space="preserve"> na </w:t>
      </w:r>
      <w:r w:rsidR="00EB7BAD" w:rsidRPr="00195E51">
        <w:rPr>
          <w:rFonts w:cs="Times New Roman"/>
        </w:rPr>
        <w:t xml:space="preserve">nepopíratelný </w:t>
      </w:r>
      <w:r w:rsidR="004D5998" w:rsidRPr="00195E51">
        <w:rPr>
          <w:rFonts w:cs="Times New Roman"/>
        </w:rPr>
        <w:t xml:space="preserve">normativní význam </w:t>
      </w:r>
      <w:r w:rsidR="0033483E">
        <w:rPr>
          <w:rFonts w:cs="Times New Roman"/>
        </w:rPr>
        <w:t xml:space="preserve">jejich </w:t>
      </w:r>
      <w:r w:rsidR="004D5998" w:rsidRPr="00195E51">
        <w:rPr>
          <w:rFonts w:cs="Times New Roman"/>
        </w:rPr>
        <w:t>rozhodnutí,</w:t>
      </w:r>
      <w:r w:rsidR="00EB7BAD" w:rsidRPr="00195E51">
        <w:rPr>
          <w:rStyle w:val="Znakapoznpodarou"/>
          <w:rFonts w:cs="Times New Roman"/>
        </w:rPr>
        <w:footnoteReference w:id="3"/>
      </w:r>
      <w:r w:rsidR="004D5998" w:rsidRPr="00195E51">
        <w:rPr>
          <w:rFonts w:cs="Times New Roman"/>
        </w:rPr>
        <w:t xml:space="preserve"> je</w:t>
      </w:r>
      <w:r w:rsidR="00495DE8">
        <w:rPr>
          <w:rFonts w:cs="Times New Roman"/>
        </w:rPr>
        <w:t xml:space="preserve"> však</w:t>
      </w:r>
      <w:r w:rsidR="0049454B">
        <w:rPr>
          <w:rFonts w:cs="Times New Roman"/>
        </w:rPr>
        <w:t xml:space="preserve"> </w:t>
      </w:r>
      <w:r w:rsidR="00CB732B">
        <w:rPr>
          <w:rFonts w:cs="Times New Roman"/>
        </w:rPr>
        <w:t>nepochybné</w:t>
      </w:r>
      <w:r w:rsidR="00163B88" w:rsidRPr="00195E51">
        <w:rPr>
          <w:rFonts w:cs="Times New Roman"/>
        </w:rPr>
        <w:t>, že</w:t>
      </w:r>
      <w:r w:rsidR="00816CB0">
        <w:rPr>
          <w:rFonts w:cs="Times New Roman"/>
        </w:rPr>
        <w:t xml:space="preserve"> </w:t>
      </w:r>
      <w:r w:rsidR="008C1528">
        <w:rPr>
          <w:rFonts w:cs="Times New Roman"/>
        </w:rPr>
        <w:t xml:space="preserve">na </w:t>
      </w:r>
      <w:r w:rsidR="004B63F8" w:rsidRPr="00195E51">
        <w:rPr>
          <w:rFonts w:cs="Times New Roman"/>
        </w:rPr>
        <w:t>kvalitu</w:t>
      </w:r>
      <w:r w:rsidR="008C7F8F" w:rsidRPr="00195E51">
        <w:rPr>
          <w:rFonts w:cs="Times New Roman"/>
        </w:rPr>
        <w:t xml:space="preserve"> </w:t>
      </w:r>
      <w:r w:rsidR="00ED0572" w:rsidRPr="00195E51">
        <w:rPr>
          <w:rFonts w:cs="Times New Roman"/>
        </w:rPr>
        <w:t>implementace</w:t>
      </w:r>
      <w:r w:rsidR="00163B88" w:rsidRPr="00195E51">
        <w:rPr>
          <w:rFonts w:cs="Times New Roman"/>
        </w:rPr>
        <w:t xml:space="preserve"> </w:t>
      </w:r>
      <w:r w:rsidR="007F293F" w:rsidRPr="00195E51">
        <w:rPr>
          <w:rFonts w:cs="Times New Roman"/>
        </w:rPr>
        <w:t>evropského práva</w:t>
      </w:r>
      <w:r w:rsidR="007F293F" w:rsidRPr="00195E51">
        <w:rPr>
          <w:rStyle w:val="Znakapoznpodarou"/>
          <w:rFonts w:cs="Times New Roman"/>
        </w:rPr>
        <w:footnoteReference w:id="4"/>
      </w:r>
      <w:r w:rsidR="00163B88" w:rsidRPr="00195E51">
        <w:rPr>
          <w:rFonts w:cs="Times New Roman"/>
        </w:rPr>
        <w:t xml:space="preserve"> v</w:t>
      </w:r>
      <w:r w:rsidR="00EE64FB">
        <w:rPr>
          <w:rFonts w:cs="Times New Roman"/>
        </w:rPr>
        <w:t> </w:t>
      </w:r>
      <w:r w:rsidR="00163B88" w:rsidRPr="00195E51">
        <w:rPr>
          <w:rFonts w:cs="Times New Roman"/>
        </w:rPr>
        <w:t>členských</w:t>
      </w:r>
      <w:r w:rsidR="008C7F8F" w:rsidRPr="00195E51">
        <w:rPr>
          <w:rFonts w:cs="Times New Roman"/>
        </w:rPr>
        <w:t xml:space="preserve"> </w:t>
      </w:r>
      <w:r w:rsidR="007F7F6A" w:rsidRPr="00195E51">
        <w:rPr>
          <w:rFonts w:cs="Times New Roman"/>
        </w:rPr>
        <w:t>státech</w:t>
      </w:r>
      <w:r w:rsidR="00816CB0">
        <w:rPr>
          <w:rFonts w:cs="Times New Roman"/>
        </w:rPr>
        <w:t xml:space="preserve"> EU</w:t>
      </w:r>
      <w:r w:rsidR="00675E42" w:rsidRPr="00195E51">
        <w:rPr>
          <w:rFonts w:cs="Times New Roman"/>
        </w:rPr>
        <w:t xml:space="preserve"> </w:t>
      </w:r>
      <w:r w:rsidR="008C1528">
        <w:rPr>
          <w:rFonts w:cs="Times New Roman"/>
        </w:rPr>
        <w:t>má zásadní vliv</w:t>
      </w:r>
      <w:r w:rsidR="00CB732B">
        <w:rPr>
          <w:rFonts w:cs="Times New Roman"/>
        </w:rPr>
        <w:t xml:space="preserve"> </w:t>
      </w:r>
      <w:r w:rsidR="00623028">
        <w:rPr>
          <w:rFonts w:cs="Times New Roman"/>
        </w:rPr>
        <w:t>právě</w:t>
      </w:r>
      <w:r w:rsidR="00E97AE2">
        <w:rPr>
          <w:rFonts w:cs="Times New Roman"/>
        </w:rPr>
        <w:t xml:space="preserve"> </w:t>
      </w:r>
      <w:r w:rsidR="00EB7BAD" w:rsidRPr="00195E51">
        <w:rPr>
          <w:rFonts w:cs="Times New Roman"/>
        </w:rPr>
        <w:t>způsob</w:t>
      </w:r>
      <w:r w:rsidR="007F7F6A" w:rsidRPr="00195E51">
        <w:rPr>
          <w:rFonts w:cs="Times New Roman"/>
        </w:rPr>
        <w:t>, jakým toto právo</w:t>
      </w:r>
      <w:r w:rsidR="00EA3961" w:rsidRPr="00195E51">
        <w:rPr>
          <w:rFonts w:cs="Times New Roman"/>
        </w:rPr>
        <w:t xml:space="preserve"> vykládají a</w:t>
      </w:r>
      <w:r w:rsidR="00EE64FB">
        <w:rPr>
          <w:rFonts w:cs="Times New Roman"/>
        </w:rPr>
        <w:t> </w:t>
      </w:r>
      <w:r w:rsidR="007F293F" w:rsidRPr="00195E51">
        <w:rPr>
          <w:rFonts w:cs="Times New Roman"/>
        </w:rPr>
        <w:t>aplikují</w:t>
      </w:r>
      <w:r w:rsidR="00292C1D" w:rsidRPr="00195E51">
        <w:rPr>
          <w:rFonts w:cs="Times New Roman"/>
        </w:rPr>
        <w:t xml:space="preserve"> </w:t>
      </w:r>
      <w:r w:rsidR="002F1751">
        <w:rPr>
          <w:rFonts w:cs="Times New Roman"/>
        </w:rPr>
        <w:t>příslušné</w:t>
      </w:r>
      <w:r w:rsidR="00EB7BAD" w:rsidRPr="00195E51">
        <w:rPr>
          <w:rFonts w:cs="Times New Roman"/>
        </w:rPr>
        <w:t xml:space="preserve"> </w:t>
      </w:r>
      <w:r w:rsidR="00952E52" w:rsidRPr="00195E51">
        <w:rPr>
          <w:rFonts w:cs="Times New Roman"/>
        </w:rPr>
        <w:t xml:space="preserve">vnitrostátní </w:t>
      </w:r>
      <w:r w:rsidR="007F7F6A" w:rsidRPr="00195E51">
        <w:rPr>
          <w:rFonts w:cs="Times New Roman"/>
        </w:rPr>
        <w:t>vrcholné soudy</w:t>
      </w:r>
      <w:r w:rsidR="005A453D" w:rsidRPr="00195E51">
        <w:rPr>
          <w:rFonts w:cs="Times New Roman"/>
        </w:rPr>
        <w:t>.</w:t>
      </w:r>
      <w:r w:rsidR="00A17775">
        <w:rPr>
          <w:rStyle w:val="Znakapoznpodarou"/>
          <w:rFonts w:cs="Times New Roman"/>
        </w:rPr>
        <w:footnoteReference w:id="5"/>
      </w:r>
    </w:p>
    <w:p w:rsidR="00594BAF" w:rsidRDefault="00FE70A7" w:rsidP="008510D1">
      <w:pPr>
        <w:ind w:firstLine="357"/>
        <w:rPr>
          <w:rFonts w:cs="Times New Roman"/>
        </w:rPr>
      </w:pPr>
      <w:r w:rsidRPr="00195E51">
        <w:rPr>
          <w:rFonts w:cs="Times New Roman"/>
        </w:rPr>
        <w:t xml:space="preserve">Ucelených </w:t>
      </w:r>
      <w:r w:rsidR="00C60048">
        <w:rPr>
          <w:rFonts w:cs="Times New Roman"/>
        </w:rPr>
        <w:t>publikací</w:t>
      </w:r>
      <w:r w:rsidRPr="00195E51">
        <w:rPr>
          <w:rFonts w:cs="Times New Roman"/>
        </w:rPr>
        <w:t xml:space="preserve"> </w:t>
      </w:r>
      <w:r w:rsidR="00C60048">
        <w:rPr>
          <w:rFonts w:cs="Times New Roman"/>
        </w:rPr>
        <w:t>věnujících s</w:t>
      </w:r>
      <w:r w:rsidRPr="00195E51">
        <w:rPr>
          <w:rFonts w:cs="Times New Roman"/>
        </w:rPr>
        <w:t xml:space="preserve">e </w:t>
      </w:r>
      <w:r w:rsidR="00C60048">
        <w:rPr>
          <w:rFonts w:cs="Times New Roman"/>
        </w:rPr>
        <w:t>recepci</w:t>
      </w:r>
      <w:r w:rsidR="00D63EF8" w:rsidRPr="00195E51">
        <w:rPr>
          <w:rFonts w:cs="Times New Roman"/>
        </w:rPr>
        <w:t xml:space="preserve"> unijního práva českými vrcholnými soudy </w:t>
      </w:r>
      <w:r w:rsidRPr="00195E51">
        <w:rPr>
          <w:rFonts w:cs="Times New Roman"/>
        </w:rPr>
        <w:t xml:space="preserve">je </w:t>
      </w:r>
      <w:r w:rsidR="00BB75D8">
        <w:rPr>
          <w:rFonts w:cs="Times New Roman"/>
        </w:rPr>
        <w:t>v</w:t>
      </w:r>
      <w:r w:rsidR="00A76083">
        <w:rPr>
          <w:rFonts w:cs="Times New Roman"/>
        </w:rPr>
        <w:t> </w:t>
      </w:r>
      <w:r w:rsidR="00BB75D8">
        <w:rPr>
          <w:rFonts w:cs="Times New Roman"/>
        </w:rPr>
        <w:t>domácí odborné produkci</w:t>
      </w:r>
      <w:r w:rsidR="004831FD">
        <w:rPr>
          <w:rFonts w:cs="Times New Roman"/>
        </w:rPr>
        <w:t xml:space="preserve"> nadále </w:t>
      </w:r>
      <w:r w:rsidR="00C60048">
        <w:rPr>
          <w:rFonts w:cs="Times New Roman"/>
        </w:rPr>
        <w:t>jako šafránu, což</w:t>
      </w:r>
      <w:r w:rsidR="00BB75D8">
        <w:rPr>
          <w:rFonts w:cs="Times New Roman"/>
        </w:rPr>
        <w:t xml:space="preserve"> </w:t>
      </w:r>
      <w:r w:rsidR="008F5BB7">
        <w:rPr>
          <w:rFonts w:cs="Times New Roman"/>
        </w:rPr>
        <w:t xml:space="preserve">je </w:t>
      </w:r>
      <w:r w:rsidR="00C60048">
        <w:rPr>
          <w:rFonts w:cs="Times New Roman"/>
        </w:rPr>
        <w:t xml:space="preserve">v </w:t>
      </w:r>
      <w:r w:rsidR="00C60048" w:rsidRPr="00195E51">
        <w:rPr>
          <w:rFonts w:cs="Times New Roman"/>
        </w:rPr>
        <w:t xml:space="preserve">kontextu </w:t>
      </w:r>
      <w:r w:rsidR="00BB75D8">
        <w:rPr>
          <w:rFonts w:cs="Times New Roman"/>
        </w:rPr>
        <w:t xml:space="preserve">již </w:t>
      </w:r>
      <w:r w:rsidR="00C60048" w:rsidRPr="00195E51">
        <w:rPr>
          <w:rFonts w:cs="Times New Roman"/>
        </w:rPr>
        <w:t>více než desetileté zkušenosti s</w:t>
      </w:r>
      <w:r w:rsidR="00134E79">
        <w:rPr>
          <w:rFonts w:cs="Times New Roman"/>
        </w:rPr>
        <w:t xml:space="preserve"> </w:t>
      </w:r>
      <w:r w:rsidR="00C60048" w:rsidRPr="00195E51">
        <w:rPr>
          <w:rFonts w:cs="Times New Roman"/>
        </w:rPr>
        <w:t xml:space="preserve">aplikací práva EU </w:t>
      </w:r>
      <w:r w:rsidR="00C60048">
        <w:rPr>
          <w:rFonts w:cs="Times New Roman"/>
        </w:rPr>
        <w:t>v</w:t>
      </w:r>
      <w:r w:rsidR="00BB75D8">
        <w:rPr>
          <w:rFonts w:cs="Times New Roman"/>
        </w:rPr>
        <w:t xml:space="preserve"> </w:t>
      </w:r>
      <w:r w:rsidR="008F5BB7">
        <w:rPr>
          <w:rFonts w:cs="Times New Roman"/>
        </w:rPr>
        <w:t>České republice</w:t>
      </w:r>
      <w:r w:rsidR="00134E79">
        <w:rPr>
          <w:rFonts w:cs="Times New Roman"/>
        </w:rPr>
        <w:t xml:space="preserve"> spíše</w:t>
      </w:r>
      <w:r w:rsidR="00A636BC">
        <w:rPr>
          <w:rFonts w:cs="Times New Roman"/>
        </w:rPr>
        <w:t xml:space="preserve"> </w:t>
      </w:r>
      <w:r w:rsidR="00C60048">
        <w:rPr>
          <w:rFonts w:cs="Times New Roman"/>
        </w:rPr>
        <w:t xml:space="preserve">poněkud </w:t>
      </w:r>
      <w:r w:rsidR="008F5BB7">
        <w:rPr>
          <w:rFonts w:cs="Times New Roman"/>
        </w:rPr>
        <w:t>překvapivým zjištěním</w:t>
      </w:r>
      <w:r w:rsidR="00C60048">
        <w:rPr>
          <w:rFonts w:cs="Times New Roman"/>
        </w:rPr>
        <w:t>.</w:t>
      </w:r>
      <w:r w:rsidR="000F6875">
        <w:rPr>
          <w:rStyle w:val="Znakapoznpodarou"/>
          <w:rFonts w:cs="Times New Roman"/>
        </w:rPr>
        <w:footnoteReference w:id="6"/>
      </w:r>
      <w:r w:rsidR="008F5BB7">
        <w:rPr>
          <w:rFonts w:cs="Times New Roman"/>
        </w:rPr>
        <w:t xml:space="preserve"> </w:t>
      </w:r>
      <w:r w:rsidR="00BB30F3" w:rsidRPr="00195E51">
        <w:rPr>
          <w:rFonts w:cs="Times New Roman"/>
        </w:rPr>
        <w:t xml:space="preserve">Konkrétně </w:t>
      </w:r>
      <w:r w:rsidR="009B321C" w:rsidRPr="00195E51">
        <w:rPr>
          <w:rFonts w:cs="Times New Roman"/>
        </w:rPr>
        <w:t>Nejvyššímu soudu je</w:t>
      </w:r>
      <w:r w:rsidR="00A76083">
        <w:rPr>
          <w:rFonts w:cs="Times New Roman"/>
        </w:rPr>
        <w:t xml:space="preserve"> </w:t>
      </w:r>
      <w:r w:rsidR="00E82ED9" w:rsidRPr="00195E51">
        <w:rPr>
          <w:rFonts w:cs="Times New Roman"/>
        </w:rPr>
        <w:t xml:space="preserve">v tomto ohledu </w:t>
      </w:r>
      <w:r w:rsidR="009B321C" w:rsidRPr="00195E51">
        <w:rPr>
          <w:rFonts w:cs="Times New Roman"/>
        </w:rPr>
        <w:t xml:space="preserve">z českého vrcholného </w:t>
      </w:r>
      <w:r w:rsidR="00E82ED9" w:rsidRPr="00195E51">
        <w:rPr>
          <w:rFonts w:cs="Times New Roman"/>
        </w:rPr>
        <w:t xml:space="preserve">soudního </w:t>
      </w:r>
      <w:r w:rsidR="009B321C" w:rsidRPr="00195E51">
        <w:rPr>
          <w:rFonts w:cs="Times New Roman"/>
        </w:rPr>
        <w:t xml:space="preserve">trojlístku </w:t>
      </w:r>
      <w:r w:rsidR="00603AD5" w:rsidRPr="00195E51">
        <w:rPr>
          <w:rFonts w:cs="Times New Roman"/>
        </w:rPr>
        <w:t xml:space="preserve">věnováno </w:t>
      </w:r>
      <w:r w:rsidR="009B321C" w:rsidRPr="00195E51">
        <w:rPr>
          <w:rFonts w:cs="Times New Roman"/>
        </w:rPr>
        <w:t>nejméně pozornosti</w:t>
      </w:r>
      <w:r w:rsidR="00E82ED9" w:rsidRPr="00195E51">
        <w:rPr>
          <w:rFonts w:cs="Times New Roman"/>
        </w:rPr>
        <w:t>,</w:t>
      </w:r>
      <w:r w:rsidR="00D43657" w:rsidRPr="00195E51">
        <w:rPr>
          <w:rStyle w:val="Znakapoznpodarou"/>
          <w:rFonts w:cs="Times New Roman"/>
        </w:rPr>
        <w:footnoteReference w:id="7"/>
      </w:r>
      <w:r w:rsidR="00E82ED9" w:rsidRPr="00195E51">
        <w:rPr>
          <w:rFonts w:cs="Times New Roman"/>
        </w:rPr>
        <w:t xml:space="preserve"> což je dáno i tím, že oblast civilního </w:t>
      </w:r>
      <w:r w:rsidR="004E0B93" w:rsidRPr="00195E51">
        <w:rPr>
          <w:rFonts w:cs="Times New Roman"/>
        </w:rPr>
        <w:t>a</w:t>
      </w:r>
      <w:r w:rsidR="00E82ED9" w:rsidRPr="00195E51">
        <w:rPr>
          <w:rFonts w:cs="Times New Roman"/>
        </w:rPr>
        <w:t xml:space="preserve"> trestního </w:t>
      </w:r>
      <w:r w:rsidR="004E0B93" w:rsidRPr="00195E51">
        <w:rPr>
          <w:rFonts w:cs="Times New Roman"/>
        </w:rPr>
        <w:t xml:space="preserve">práva je </w:t>
      </w:r>
      <w:r w:rsidR="004E0B93" w:rsidRPr="00195E51">
        <w:rPr>
          <w:rFonts w:cs="Times New Roman"/>
        </w:rPr>
        <w:lastRenderedPageBreak/>
        <w:t>unijním právem dotčena výrazně méně</w:t>
      </w:r>
      <w:r w:rsidR="00E82ED9" w:rsidRPr="00195E51">
        <w:rPr>
          <w:rFonts w:cs="Times New Roman"/>
        </w:rPr>
        <w:t xml:space="preserve">, než </w:t>
      </w:r>
      <w:r w:rsidR="004E0B93" w:rsidRPr="00195E51">
        <w:rPr>
          <w:rFonts w:cs="Times New Roman"/>
        </w:rPr>
        <w:t xml:space="preserve">je tomu </w:t>
      </w:r>
      <w:r w:rsidR="00BE6A25" w:rsidRPr="00195E51">
        <w:rPr>
          <w:rFonts w:cs="Times New Roman"/>
        </w:rPr>
        <w:t>v případě</w:t>
      </w:r>
      <w:r w:rsidR="004E0B93" w:rsidRPr="00195E51">
        <w:rPr>
          <w:rFonts w:cs="Times New Roman"/>
        </w:rPr>
        <w:t xml:space="preserve"> správního práva v</w:t>
      </w:r>
      <w:r w:rsidR="002C1244" w:rsidRPr="00195E51">
        <w:rPr>
          <w:rFonts w:cs="Times New Roman"/>
        </w:rPr>
        <w:t xml:space="preserve"> </w:t>
      </w:r>
      <w:r w:rsidR="004E0B93" w:rsidRPr="00195E51">
        <w:rPr>
          <w:rFonts w:cs="Times New Roman"/>
        </w:rPr>
        <w:t xml:space="preserve">jeho širším smyslu, </w:t>
      </w:r>
      <w:r w:rsidR="00BE6A25" w:rsidRPr="00195E51">
        <w:rPr>
          <w:rFonts w:cs="Times New Roman"/>
        </w:rPr>
        <w:t xml:space="preserve">a </w:t>
      </w:r>
      <w:r w:rsidR="004E0B93" w:rsidRPr="00195E51">
        <w:rPr>
          <w:rFonts w:cs="Times New Roman"/>
        </w:rPr>
        <w:t xml:space="preserve">zároveň se pro mnohé </w:t>
      </w:r>
      <w:r w:rsidR="00EE64FB">
        <w:rPr>
          <w:rFonts w:cs="Times New Roman"/>
        </w:rPr>
        <w:t>„</w:t>
      </w:r>
      <w:r w:rsidR="00060C27">
        <w:rPr>
          <w:rFonts w:cs="Times New Roman"/>
        </w:rPr>
        <w:t>unijně</w:t>
      </w:r>
      <w:r w:rsidR="00EE64FB">
        <w:rPr>
          <w:rFonts w:cs="Times New Roman"/>
        </w:rPr>
        <w:t>“</w:t>
      </w:r>
      <w:r w:rsidR="002C1244" w:rsidRPr="00195E51">
        <w:rPr>
          <w:rFonts w:cs="Times New Roman"/>
        </w:rPr>
        <w:t xml:space="preserve"> orientované </w:t>
      </w:r>
      <w:r w:rsidR="00782453" w:rsidRPr="00195E51">
        <w:rPr>
          <w:rFonts w:cs="Times New Roman"/>
        </w:rPr>
        <w:t>autory</w:t>
      </w:r>
      <w:r w:rsidR="002C1244" w:rsidRPr="00195E51">
        <w:rPr>
          <w:rFonts w:cs="Times New Roman"/>
        </w:rPr>
        <w:t xml:space="preserve"> </w:t>
      </w:r>
      <w:r w:rsidR="00DC23A7">
        <w:rPr>
          <w:rFonts w:cs="Times New Roman"/>
        </w:rPr>
        <w:t>zjevně</w:t>
      </w:r>
      <w:r w:rsidR="00A76083">
        <w:rPr>
          <w:rFonts w:cs="Times New Roman"/>
        </w:rPr>
        <w:t xml:space="preserve"> </w:t>
      </w:r>
      <w:r w:rsidR="002C1244" w:rsidRPr="00195E51">
        <w:rPr>
          <w:rFonts w:cs="Times New Roman"/>
        </w:rPr>
        <w:t xml:space="preserve">nejedná o otázky tak atraktivní, jakými </w:t>
      </w:r>
      <w:r w:rsidR="000C73F5" w:rsidRPr="00195E51">
        <w:rPr>
          <w:rFonts w:cs="Times New Roman"/>
        </w:rPr>
        <w:t>jsou</w:t>
      </w:r>
      <w:r w:rsidR="00BE6A25" w:rsidRPr="00195E51">
        <w:rPr>
          <w:rFonts w:cs="Times New Roman"/>
        </w:rPr>
        <w:t xml:space="preserve"> problematika</w:t>
      </w:r>
      <w:r w:rsidR="002C1244" w:rsidRPr="00195E51">
        <w:rPr>
          <w:rFonts w:cs="Times New Roman"/>
        </w:rPr>
        <w:t xml:space="preserve"> ústavního základu</w:t>
      </w:r>
      <w:r w:rsidR="0014301A">
        <w:rPr>
          <w:rFonts w:cs="Times New Roman"/>
        </w:rPr>
        <w:t xml:space="preserve"> pro</w:t>
      </w:r>
      <w:r w:rsidR="007D1C99" w:rsidRPr="00195E51">
        <w:rPr>
          <w:rFonts w:cs="Times New Roman"/>
        </w:rPr>
        <w:t xml:space="preserve"> </w:t>
      </w:r>
      <w:r w:rsidR="00DC23A7">
        <w:rPr>
          <w:rFonts w:cs="Times New Roman"/>
        </w:rPr>
        <w:t xml:space="preserve">působení </w:t>
      </w:r>
      <w:r w:rsidR="009C32C4" w:rsidRPr="00195E51">
        <w:rPr>
          <w:rFonts w:cs="Times New Roman"/>
        </w:rPr>
        <w:t>práva EU</w:t>
      </w:r>
      <w:r w:rsidR="009C32C4">
        <w:rPr>
          <w:rFonts w:cs="Times New Roman"/>
        </w:rPr>
        <w:t xml:space="preserve"> </w:t>
      </w:r>
      <w:r w:rsidR="00DC23A7">
        <w:rPr>
          <w:rFonts w:cs="Times New Roman"/>
        </w:rPr>
        <w:t>v</w:t>
      </w:r>
      <w:r w:rsidR="00B2729B">
        <w:rPr>
          <w:rFonts w:cs="Times New Roman"/>
        </w:rPr>
        <w:t xml:space="preserve"> </w:t>
      </w:r>
      <w:r w:rsidR="009C32C4">
        <w:rPr>
          <w:rFonts w:cs="Times New Roman"/>
        </w:rPr>
        <w:t xml:space="preserve">českém </w:t>
      </w:r>
      <w:r w:rsidR="002C1244" w:rsidRPr="00195E51">
        <w:rPr>
          <w:rFonts w:cs="Times New Roman"/>
        </w:rPr>
        <w:t>právním řádu</w:t>
      </w:r>
      <w:r w:rsidR="00B2729B">
        <w:rPr>
          <w:rFonts w:cs="Times New Roman"/>
        </w:rPr>
        <w:t xml:space="preserve"> </w:t>
      </w:r>
      <w:r w:rsidR="002C1244" w:rsidRPr="00195E51">
        <w:rPr>
          <w:rFonts w:cs="Times New Roman"/>
        </w:rPr>
        <w:t>nebo postoj Ústavního soudu</w:t>
      </w:r>
      <w:r w:rsidR="00C13814">
        <w:rPr>
          <w:rFonts w:cs="Times New Roman"/>
        </w:rPr>
        <w:t xml:space="preserve"> (ÚS)</w:t>
      </w:r>
      <w:r w:rsidR="002C1244" w:rsidRPr="00195E51">
        <w:rPr>
          <w:rFonts w:cs="Times New Roman"/>
        </w:rPr>
        <w:t xml:space="preserve"> k</w:t>
      </w:r>
      <w:r w:rsidR="00FC06CB">
        <w:rPr>
          <w:rFonts w:cs="Times New Roman"/>
        </w:rPr>
        <w:t xml:space="preserve"> </w:t>
      </w:r>
      <w:r w:rsidR="007D1C99" w:rsidRPr="00195E51">
        <w:rPr>
          <w:rFonts w:cs="Times New Roman"/>
        </w:rPr>
        <w:t>limitům účinků</w:t>
      </w:r>
      <w:r w:rsidR="002C1244" w:rsidRPr="00195E51">
        <w:rPr>
          <w:rFonts w:cs="Times New Roman"/>
        </w:rPr>
        <w:t xml:space="preserve"> </w:t>
      </w:r>
      <w:r w:rsidR="009C32C4">
        <w:rPr>
          <w:rFonts w:cs="Times New Roman"/>
        </w:rPr>
        <w:t xml:space="preserve">unijního práva </w:t>
      </w:r>
      <w:r w:rsidR="00FC06CB">
        <w:rPr>
          <w:rFonts w:cs="Times New Roman"/>
        </w:rPr>
        <w:t>v</w:t>
      </w:r>
      <w:r w:rsidR="00923946">
        <w:rPr>
          <w:rFonts w:cs="Times New Roman"/>
        </w:rPr>
        <w:t xml:space="preserve"> </w:t>
      </w:r>
      <w:r w:rsidR="00B2729B">
        <w:rPr>
          <w:rFonts w:cs="Times New Roman"/>
        </w:rPr>
        <w:t>ústavní</w:t>
      </w:r>
      <w:r w:rsidR="00FC06CB">
        <w:rPr>
          <w:rFonts w:cs="Times New Roman"/>
        </w:rPr>
        <w:t>m</w:t>
      </w:r>
      <w:r w:rsidR="00B2729B">
        <w:rPr>
          <w:rFonts w:cs="Times New Roman"/>
        </w:rPr>
        <w:t xml:space="preserve"> pořád</w:t>
      </w:r>
      <w:r w:rsidR="00923946">
        <w:rPr>
          <w:rFonts w:cs="Times New Roman"/>
        </w:rPr>
        <w:t>k</w:t>
      </w:r>
      <w:r w:rsidR="00FC06CB">
        <w:rPr>
          <w:rFonts w:cs="Times New Roman"/>
        </w:rPr>
        <w:t>u</w:t>
      </w:r>
      <w:r w:rsidR="009C32C4" w:rsidRPr="009C32C4">
        <w:rPr>
          <w:rFonts w:cs="Times New Roman"/>
        </w:rPr>
        <w:t xml:space="preserve"> </w:t>
      </w:r>
      <w:r w:rsidR="009C32C4">
        <w:rPr>
          <w:rFonts w:cs="Times New Roman"/>
        </w:rPr>
        <w:t>ČR</w:t>
      </w:r>
      <w:r w:rsidR="00B2729B">
        <w:rPr>
          <w:rFonts w:cs="Times New Roman"/>
        </w:rPr>
        <w:t>, o nichž byl napsán nespočet statí.</w:t>
      </w:r>
      <w:r w:rsidR="00B2729B">
        <w:rPr>
          <w:rStyle w:val="Znakapoznpodarou"/>
          <w:rFonts w:cs="Times New Roman"/>
        </w:rPr>
        <w:footnoteReference w:id="8"/>
      </w:r>
    </w:p>
    <w:p w:rsidR="0074540F" w:rsidRDefault="00923946" w:rsidP="008510D1">
      <w:pPr>
        <w:ind w:firstLine="357"/>
        <w:rPr>
          <w:rFonts w:cs="Times New Roman"/>
        </w:rPr>
      </w:pPr>
      <w:r>
        <w:rPr>
          <w:rFonts w:cs="Times New Roman"/>
        </w:rPr>
        <w:t xml:space="preserve">Nejvyšší soud </w:t>
      </w:r>
      <w:r w:rsidR="003F7C0F">
        <w:rPr>
          <w:rFonts w:cs="Times New Roman"/>
        </w:rPr>
        <w:t xml:space="preserve">je </w:t>
      </w:r>
      <w:r w:rsidR="00134E79">
        <w:rPr>
          <w:rFonts w:cs="Times New Roman"/>
        </w:rPr>
        <w:t>zároveň</w:t>
      </w:r>
      <w:r w:rsidR="003F7C0F">
        <w:rPr>
          <w:rFonts w:cs="Times New Roman"/>
        </w:rPr>
        <w:t xml:space="preserve"> </w:t>
      </w:r>
      <w:r w:rsidR="0051025D">
        <w:rPr>
          <w:rFonts w:cs="Times New Roman"/>
        </w:rPr>
        <w:t>odbornou veřejností</w:t>
      </w:r>
      <w:r w:rsidR="0051025D" w:rsidRPr="0051025D">
        <w:rPr>
          <w:rFonts w:cs="Times New Roman"/>
        </w:rPr>
        <w:t xml:space="preserve"> </w:t>
      </w:r>
      <w:r w:rsidR="005E2A8A">
        <w:rPr>
          <w:rFonts w:cs="Times New Roman"/>
        </w:rPr>
        <w:t xml:space="preserve">nezřídka </w:t>
      </w:r>
      <w:r w:rsidR="00C54D5F">
        <w:rPr>
          <w:rFonts w:cs="Times New Roman"/>
        </w:rPr>
        <w:t>považován</w:t>
      </w:r>
      <w:r w:rsidR="0051025D">
        <w:rPr>
          <w:rFonts w:cs="Times New Roman"/>
        </w:rPr>
        <w:t xml:space="preserve"> za</w:t>
      </w:r>
      <w:r w:rsidR="002606BF">
        <w:rPr>
          <w:rFonts w:cs="Times New Roman"/>
        </w:rPr>
        <w:t xml:space="preserve"> </w:t>
      </w:r>
      <w:r w:rsidR="00C86D62">
        <w:rPr>
          <w:rFonts w:cs="Times New Roman"/>
        </w:rPr>
        <w:t>instituci</w:t>
      </w:r>
      <w:r w:rsidR="002606BF">
        <w:rPr>
          <w:rFonts w:cs="Times New Roman"/>
        </w:rPr>
        <w:t xml:space="preserve">, </w:t>
      </w:r>
      <w:r w:rsidR="00B46851">
        <w:rPr>
          <w:rFonts w:cs="Times New Roman"/>
        </w:rPr>
        <w:t>která</w:t>
      </w:r>
      <w:r w:rsidR="002606BF">
        <w:rPr>
          <w:rFonts w:cs="Times New Roman"/>
        </w:rPr>
        <w:t xml:space="preserve"> je</w:t>
      </w:r>
      <w:r w:rsidR="0051025D">
        <w:rPr>
          <w:rFonts w:cs="Times New Roman"/>
        </w:rPr>
        <w:t xml:space="preserve"> </w:t>
      </w:r>
      <w:r w:rsidR="005E2D8C">
        <w:rPr>
          <w:rFonts w:cs="Times New Roman"/>
        </w:rPr>
        <w:t xml:space="preserve">z českých vrcholných soudů </w:t>
      </w:r>
      <w:r w:rsidR="0051025D">
        <w:rPr>
          <w:rFonts w:cs="Times New Roman"/>
        </w:rPr>
        <w:t>názorově nejrigidnější, a to</w:t>
      </w:r>
      <w:r w:rsidR="00B46851">
        <w:rPr>
          <w:rFonts w:cs="Times New Roman"/>
        </w:rPr>
        <w:t xml:space="preserve"> především</w:t>
      </w:r>
      <w:r w:rsidR="0051025D">
        <w:rPr>
          <w:rFonts w:cs="Times New Roman"/>
        </w:rPr>
        <w:t xml:space="preserve"> pro</w:t>
      </w:r>
      <w:r w:rsidR="00157F96">
        <w:rPr>
          <w:rFonts w:cs="Times New Roman"/>
        </w:rPr>
        <w:t xml:space="preserve"> </w:t>
      </w:r>
      <w:r w:rsidR="0051025D">
        <w:rPr>
          <w:rFonts w:cs="Times New Roman"/>
        </w:rPr>
        <w:t xml:space="preserve">úzkou specializaci </w:t>
      </w:r>
      <w:r w:rsidR="00FA6104">
        <w:rPr>
          <w:rFonts w:cs="Times New Roman"/>
        </w:rPr>
        <w:t>svých</w:t>
      </w:r>
      <w:r w:rsidR="005243C7">
        <w:rPr>
          <w:rFonts w:cs="Times New Roman"/>
        </w:rPr>
        <w:t xml:space="preserve"> </w:t>
      </w:r>
      <w:r w:rsidR="0051025D">
        <w:rPr>
          <w:rFonts w:cs="Times New Roman"/>
        </w:rPr>
        <w:t>senátů</w:t>
      </w:r>
      <w:r w:rsidR="00AC1278">
        <w:rPr>
          <w:rFonts w:cs="Times New Roman"/>
        </w:rPr>
        <w:t>.</w:t>
      </w:r>
      <w:r w:rsidR="00C54D5F">
        <w:rPr>
          <w:rStyle w:val="Znakapoznpodarou"/>
          <w:rFonts w:cs="Times New Roman"/>
        </w:rPr>
        <w:footnoteReference w:id="9"/>
      </w:r>
      <w:r w:rsidR="00E35DCB">
        <w:rPr>
          <w:rFonts w:cs="Times New Roman"/>
        </w:rPr>
        <w:t xml:space="preserve"> Kritika</w:t>
      </w:r>
      <w:r w:rsidR="007039D9">
        <w:rPr>
          <w:rFonts w:cs="Times New Roman"/>
        </w:rPr>
        <w:t>, a to i v kontextu aplikace unijního práva, zaznívá rovněž</w:t>
      </w:r>
      <w:r w:rsidR="00E35DCB">
        <w:rPr>
          <w:rFonts w:cs="Times New Roman"/>
        </w:rPr>
        <w:t xml:space="preserve"> </w:t>
      </w:r>
      <w:r w:rsidR="001D59A2">
        <w:rPr>
          <w:rFonts w:cs="Times New Roman"/>
        </w:rPr>
        <w:t>směrem ke způsobu</w:t>
      </w:r>
      <w:r w:rsidR="00E35DCB">
        <w:rPr>
          <w:rFonts w:cs="Times New Roman"/>
        </w:rPr>
        <w:t xml:space="preserve"> </w:t>
      </w:r>
      <w:r w:rsidR="007039D9">
        <w:rPr>
          <w:rFonts w:cs="Times New Roman"/>
        </w:rPr>
        <w:t xml:space="preserve">argumentace a </w:t>
      </w:r>
      <w:r w:rsidR="00E35DCB">
        <w:rPr>
          <w:rFonts w:cs="Times New Roman"/>
        </w:rPr>
        <w:t xml:space="preserve">odůvodňování rozhodnutí </w:t>
      </w:r>
      <w:r w:rsidR="009857B6">
        <w:rPr>
          <w:rFonts w:cs="Times New Roman"/>
        </w:rPr>
        <w:t>NS</w:t>
      </w:r>
      <w:r w:rsidR="001D59A2">
        <w:rPr>
          <w:rFonts w:cs="Times New Roman"/>
        </w:rPr>
        <w:t xml:space="preserve">, </w:t>
      </w:r>
      <w:r w:rsidR="00053855">
        <w:rPr>
          <w:rFonts w:cs="Times New Roman"/>
        </w:rPr>
        <w:t>který</w:t>
      </w:r>
      <w:r w:rsidR="00134E79">
        <w:rPr>
          <w:rFonts w:cs="Times New Roman"/>
        </w:rPr>
        <w:t xml:space="preserve"> je – zejména ve srovnání s</w:t>
      </w:r>
      <w:r w:rsidR="00623028">
        <w:rPr>
          <w:rFonts w:cs="Times New Roman"/>
        </w:rPr>
        <w:t> praxí Nejvyššího správního soudu</w:t>
      </w:r>
      <w:r w:rsidR="0068325B">
        <w:rPr>
          <w:rFonts w:cs="Times New Roman"/>
        </w:rPr>
        <w:t xml:space="preserve"> (NSS)</w:t>
      </w:r>
      <w:r w:rsidR="001D59A2">
        <w:rPr>
          <w:rFonts w:cs="Times New Roman"/>
        </w:rPr>
        <w:t xml:space="preserve"> – </w:t>
      </w:r>
      <w:r w:rsidR="009125ED">
        <w:rPr>
          <w:rFonts w:cs="Times New Roman"/>
        </w:rPr>
        <w:t xml:space="preserve">považován za </w:t>
      </w:r>
      <w:r w:rsidR="001D59A2">
        <w:rPr>
          <w:rFonts w:cs="Times New Roman"/>
        </w:rPr>
        <w:t>výrazně méně diskur</w:t>
      </w:r>
      <w:r w:rsidR="0036788A">
        <w:rPr>
          <w:rFonts w:cs="Times New Roman"/>
        </w:rPr>
        <w:t>z</w:t>
      </w:r>
      <w:r w:rsidR="001D59A2">
        <w:rPr>
          <w:rFonts w:cs="Times New Roman"/>
        </w:rPr>
        <w:t>ivní</w:t>
      </w:r>
      <w:r w:rsidR="0036788A">
        <w:rPr>
          <w:rFonts w:cs="Times New Roman"/>
        </w:rPr>
        <w:t>.</w:t>
      </w:r>
      <w:r w:rsidR="00B925AF">
        <w:rPr>
          <w:rStyle w:val="Znakapoznpodarou"/>
          <w:rFonts w:cs="Times New Roman"/>
        </w:rPr>
        <w:footnoteReference w:id="10"/>
      </w:r>
      <w:r w:rsidR="0036788A">
        <w:rPr>
          <w:rFonts w:cs="Times New Roman"/>
        </w:rPr>
        <w:t xml:space="preserve"> Jinými slovy </w:t>
      </w:r>
      <w:r w:rsidR="009857B6">
        <w:rPr>
          <w:rFonts w:cs="Times New Roman"/>
        </w:rPr>
        <w:t>Nejvyšší soud</w:t>
      </w:r>
      <w:r w:rsidR="00053855">
        <w:rPr>
          <w:rFonts w:cs="Times New Roman"/>
        </w:rPr>
        <w:t xml:space="preserve"> </w:t>
      </w:r>
      <w:r w:rsidR="00DE4280">
        <w:rPr>
          <w:rFonts w:cs="Times New Roman"/>
        </w:rPr>
        <w:t>ve svých rozhodnutích</w:t>
      </w:r>
      <w:r w:rsidR="00623028">
        <w:rPr>
          <w:rFonts w:cs="Times New Roman"/>
        </w:rPr>
        <w:t xml:space="preserve">, </w:t>
      </w:r>
      <w:r w:rsidR="00053855">
        <w:rPr>
          <w:rFonts w:cs="Times New Roman"/>
        </w:rPr>
        <w:t xml:space="preserve">na rozdíl od NSS, </w:t>
      </w:r>
      <w:r w:rsidR="009857B6">
        <w:rPr>
          <w:rFonts w:cs="Times New Roman"/>
        </w:rPr>
        <w:t xml:space="preserve">tíhne </w:t>
      </w:r>
      <w:r w:rsidR="00966F68">
        <w:rPr>
          <w:rFonts w:cs="Times New Roman"/>
        </w:rPr>
        <w:t>spíše</w:t>
      </w:r>
      <w:r w:rsidR="001D59A2">
        <w:rPr>
          <w:rFonts w:cs="Times New Roman"/>
        </w:rPr>
        <w:t xml:space="preserve"> k</w:t>
      </w:r>
      <w:r w:rsidR="002B0D9F">
        <w:rPr>
          <w:rFonts w:cs="Times New Roman"/>
        </w:rPr>
        <w:t xml:space="preserve"> </w:t>
      </w:r>
      <w:r w:rsidR="009125ED">
        <w:rPr>
          <w:rFonts w:cs="Times New Roman"/>
        </w:rPr>
        <w:t>označení</w:t>
      </w:r>
      <w:r w:rsidR="00C8285C">
        <w:rPr>
          <w:rFonts w:cs="Times New Roman"/>
        </w:rPr>
        <w:t xml:space="preserve"> </w:t>
      </w:r>
      <w:r w:rsidR="002B0D9F">
        <w:rPr>
          <w:rFonts w:cs="Times New Roman"/>
        </w:rPr>
        <w:t>a </w:t>
      </w:r>
      <w:r w:rsidR="00CA1D89">
        <w:rPr>
          <w:rFonts w:cs="Times New Roman"/>
        </w:rPr>
        <w:t xml:space="preserve">odůvodnění </w:t>
      </w:r>
      <w:r w:rsidR="00C8285C">
        <w:rPr>
          <w:rFonts w:cs="Times New Roman"/>
        </w:rPr>
        <w:t xml:space="preserve">jediného </w:t>
      </w:r>
      <w:r w:rsidR="00B934C1">
        <w:rPr>
          <w:rFonts w:cs="Times New Roman"/>
        </w:rPr>
        <w:t>„</w:t>
      </w:r>
      <w:r w:rsidR="00C8285C">
        <w:rPr>
          <w:rFonts w:cs="Times New Roman"/>
        </w:rPr>
        <w:t>správného</w:t>
      </w:r>
      <w:r w:rsidR="00B934C1">
        <w:rPr>
          <w:rFonts w:cs="Times New Roman"/>
        </w:rPr>
        <w:t>“</w:t>
      </w:r>
      <w:r w:rsidR="00C8285C">
        <w:rPr>
          <w:rFonts w:cs="Times New Roman"/>
        </w:rPr>
        <w:t xml:space="preserve"> řešení</w:t>
      </w:r>
      <w:r w:rsidR="00623028">
        <w:rPr>
          <w:rFonts w:cs="Times New Roman"/>
        </w:rPr>
        <w:t xml:space="preserve"> a</w:t>
      </w:r>
      <w:r w:rsidR="0068325B">
        <w:rPr>
          <w:rFonts w:cs="Times New Roman"/>
        </w:rPr>
        <w:t xml:space="preserve"> </w:t>
      </w:r>
      <w:r w:rsidR="0036788A">
        <w:rPr>
          <w:rFonts w:cs="Times New Roman"/>
        </w:rPr>
        <w:t>svou</w:t>
      </w:r>
      <w:r w:rsidR="00623028">
        <w:rPr>
          <w:rFonts w:cs="Times New Roman"/>
        </w:rPr>
        <w:t xml:space="preserve"> </w:t>
      </w:r>
      <w:r w:rsidR="0036788A">
        <w:rPr>
          <w:rFonts w:cs="Times New Roman"/>
        </w:rPr>
        <w:t>argumentaci</w:t>
      </w:r>
      <w:r w:rsidR="00262F61">
        <w:rPr>
          <w:rFonts w:cs="Times New Roman"/>
        </w:rPr>
        <w:t xml:space="preserve"> </w:t>
      </w:r>
      <w:r w:rsidR="00623028">
        <w:rPr>
          <w:rFonts w:cs="Times New Roman"/>
        </w:rPr>
        <w:t xml:space="preserve">přitom </w:t>
      </w:r>
      <w:r w:rsidR="00497CCA">
        <w:rPr>
          <w:rFonts w:cs="Times New Roman"/>
        </w:rPr>
        <w:t>zřídka zasazuje</w:t>
      </w:r>
      <w:r w:rsidR="0036788A">
        <w:rPr>
          <w:rFonts w:cs="Times New Roman"/>
        </w:rPr>
        <w:t xml:space="preserve"> do širšího právního diskurzu</w:t>
      </w:r>
      <w:r w:rsidR="00D933F3">
        <w:rPr>
          <w:rFonts w:cs="Times New Roman"/>
        </w:rPr>
        <w:t>.</w:t>
      </w:r>
      <w:r w:rsidR="000C014D">
        <w:rPr>
          <w:rStyle w:val="Znakapoznpodarou"/>
          <w:rFonts w:cs="Times New Roman"/>
        </w:rPr>
        <w:footnoteReference w:id="11"/>
      </w:r>
      <w:r w:rsidR="002B0D9F">
        <w:rPr>
          <w:rFonts w:cs="Times New Roman"/>
        </w:rPr>
        <w:t xml:space="preserve"> Ačkoliv </w:t>
      </w:r>
      <w:r w:rsidR="00623028">
        <w:rPr>
          <w:rFonts w:cs="Times New Roman"/>
        </w:rPr>
        <w:t>výše uvedená</w:t>
      </w:r>
      <w:r w:rsidR="002B0D9F">
        <w:rPr>
          <w:rFonts w:cs="Times New Roman"/>
        </w:rPr>
        <w:t xml:space="preserve"> kritika</w:t>
      </w:r>
      <w:r w:rsidR="00623028">
        <w:rPr>
          <w:rFonts w:cs="Times New Roman"/>
        </w:rPr>
        <w:t xml:space="preserve"> ze strany odborné veřejnosti </w:t>
      </w:r>
      <w:r w:rsidR="002B0D9F">
        <w:rPr>
          <w:rFonts w:cs="Times New Roman"/>
        </w:rPr>
        <w:t xml:space="preserve">vychází ze značně zobecněného pohledu na judikaturu </w:t>
      </w:r>
      <w:r w:rsidR="009C3414">
        <w:rPr>
          <w:rFonts w:cs="Times New Roman"/>
        </w:rPr>
        <w:t>obou</w:t>
      </w:r>
      <w:r w:rsidR="002B0D9F">
        <w:rPr>
          <w:rFonts w:cs="Times New Roman"/>
        </w:rPr>
        <w:t xml:space="preserve"> vrcholných soudů</w:t>
      </w:r>
      <w:r w:rsidR="00623028">
        <w:rPr>
          <w:rFonts w:cs="Times New Roman"/>
        </w:rPr>
        <w:t xml:space="preserve"> – </w:t>
      </w:r>
      <w:r w:rsidR="009C3414">
        <w:rPr>
          <w:rFonts w:cs="Times New Roman"/>
        </w:rPr>
        <w:t xml:space="preserve">v </w:t>
      </w:r>
      <w:r w:rsidR="002B0D9F">
        <w:rPr>
          <w:rFonts w:cs="Times New Roman"/>
        </w:rPr>
        <w:t>konkrétních případech</w:t>
      </w:r>
      <w:r w:rsidR="00B626FB">
        <w:rPr>
          <w:rFonts w:cs="Times New Roman"/>
        </w:rPr>
        <w:t xml:space="preserve"> </w:t>
      </w:r>
      <w:r w:rsidR="00516F9C">
        <w:rPr>
          <w:rFonts w:cs="Times New Roman"/>
        </w:rPr>
        <w:t xml:space="preserve">proto </w:t>
      </w:r>
      <w:r w:rsidR="009C3414">
        <w:rPr>
          <w:rFonts w:cs="Times New Roman"/>
        </w:rPr>
        <w:t>nikoliv nutně odpovídá realitě</w:t>
      </w:r>
      <w:r w:rsidR="00623028">
        <w:rPr>
          <w:rFonts w:cs="Times New Roman"/>
        </w:rPr>
        <w:t xml:space="preserve"> –</w:t>
      </w:r>
      <w:r w:rsidR="00FF2E53">
        <w:rPr>
          <w:rFonts w:cs="Times New Roman"/>
        </w:rPr>
        <w:t xml:space="preserve"> nelze </w:t>
      </w:r>
      <w:r w:rsidR="00BC40A3">
        <w:rPr>
          <w:rFonts w:cs="Times New Roman"/>
        </w:rPr>
        <w:t>popřít</w:t>
      </w:r>
      <w:r w:rsidR="00FF2E53">
        <w:rPr>
          <w:rFonts w:cs="Times New Roman"/>
        </w:rPr>
        <w:t xml:space="preserve">, že </w:t>
      </w:r>
      <w:r w:rsidR="00BC40A3">
        <w:rPr>
          <w:rFonts w:cs="Times New Roman"/>
        </w:rPr>
        <w:t xml:space="preserve">ve své podstatě </w:t>
      </w:r>
      <w:r w:rsidR="00623028">
        <w:rPr>
          <w:rFonts w:cs="Times New Roman"/>
        </w:rPr>
        <w:t>označuje</w:t>
      </w:r>
      <w:r w:rsidR="00BC40A3">
        <w:rPr>
          <w:rFonts w:cs="Times New Roman"/>
        </w:rPr>
        <w:t xml:space="preserve"> </w:t>
      </w:r>
      <w:r w:rsidR="009C3414">
        <w:rPr>
          <w:rFonts w:cs="Times New Roman"/>
        </w:rPr>
        <w:t>faktory, které</w:t>
      </w:r>
      <w:r w:rsidR="00636DEB">
        <w:rPr>
          <w:rFonts w:cs="Times New Roman"/>
        </w:rPr>
        <w:t xml:space="preserve"> </w:t>
      </w:r>
      <w:r w:rsidR="00735518">
        <w:rPr>
          <w:rFonts w:cs="Times New Roman"/>
        </w:rPr>
        <w:t xml:space="preserve">mohly a nadále mohou </w:t>
      </w:r>
      <w:r w:rsidR="00FF2E53">
        <w:rPr>
          <w:rFonts w:cs="Times New Roman"/>
        </w:rPr>
        <w:t>mít vliv</w:t>
      </w:r>
      <w:r w:rsidR="00B626FB">
        <w:rPr>
          <w:rFonts w:cs="Times New Roman"/>
        </w:rPr>
        <w:t xml:space="preserve"> rovněž</w:t>
      </w:r>
      <w:r w:rsidR="00FF2E53">
        <w:rPr>
          <w:rFonts w:cs="Times New Roman"/>
        </w:rPr>
        <w:t xml:space="preserve"> na</w:t>
      </w:r>
      <w:r w:rsidR="00B626FB">
        <w:rPr>
          <w:rFonts w:cs="Times New Roman"/>
        </w:rPr>
        <w:t xml:space="preserve"> způsob</w:t>
      </w:r>
      <w:r w:rsidR="009C5C9D">
        <w:rPr>
          <w:rFonts w:cs="Times New Roman"/>
        </w:rPr>
        <w:t xml:space="preserve">, jakým </w:t>
      </w:r>
      <w:r w:rsidR="00636DEB">
        <w:rPr>
          <w:rFonts w:cs="Times New Roman"/>
        </w:rPr>
        <w:t>Nejvyšší soud</w:t>
      </w:r>
      <w:r w:rsidR="0074540F">
        <w:rPr>
          <w:rFonts w:cs="Times New Roman"/>
        </w:rPr>
        <w:t xml:space="preserve"> </w:t>
      </w:r>
      <w:r w:rsidR="00735518">
        <w:rPr>
          <w:rFonts w:cs="Times New Roman"/>
        </w:rPr>
        <w:t>ve</w:t>
      </w:r>
      <w:r w:rsidR="0074540F">
        <w:rPr>
          <w:rFonts w:cs="Times New Roman"/>
        </w:rPr>
        <w:t xml:space="preserve"> svých rozhodnutích </w:t>
      </w:r>
      <w:r w:rsidR="00364453">
        <w:rPr>
          <w:rFonts w:cs="Times New Roman"/>
        </w:rPr>
        <w:t>recipoval</w:t>
      </w:r>
      <w:r w:rsidR="00452387">
        <w:rPr>
          <w:rFonts w:cs="Times New Roman"/>
        </w:rPr>
        <w:t xml:space="preserve"> </w:t>
      </w:r>
      <w:r w:rsidR="00636DEB">
        <w:rPr>
          <w:rFonts w:cs="Times New Roman"/>
        </w:rPr>
        <w:t xml:space="preserve">základní </w:t>
      </w:r>
      <w:r w:rsidR="00452387">
        <w:rPr>
          <w:rFonts w:cs="Times New Roman"/>
        </w:rPr>
        <w:t>principy</w:t>
      </w:r>
      <w:r w:rsidR="00636DEB">
        <w:rPr>
          <w:rFonts w:cs="Times New Roman"/>
        </w:rPr>
        <w:t xml:space="preserve"> unijního</w:t>
      </w:r>
      <w:r w:rsidR="00452387">
        <w:rPr>
          <w:rFonts w:cs="Times New Roman"/>
        </w:rPr>
        <w:t xml:space="preserve"> práva</w:t>
      </w:r>
      <w:r w:rsidR="00735518">
        <w:rPr>
          <w:rFonts w:cs="Times New Roman"/>
        </w:rPr>
        <w:t xml:space="preserve">, jakož i na způsob, jakým </w:t>
      </w:r>
      <w:r w:rsidR="00636DEB">
        <w:rPr>
          <w:rFonts w:cs="Times New Roman"/>
        </w:rPr>
        <w:t>toto právo</w:t>
      </w:r>
      <w:r w:rsidR="00364453">
        <w:rPr>
          <w:rFonts w:cs="Times New Roman"/>
        </w:rPr>
        <w:t xml:space="preserve"> </w:t>
      </w:r>
      <w:r w:rsidR="00C65D19">
        <w:rPr>
          <w:rFonts w:cs="Times New Roman"/>
        </w:rPr>
        <w:t xml:space="preserve">dnes </w:t>
      </w:r>
      <w:r w:rsidR="0074540F">
        <w:rPr>
          <w:rFonts w:cs="Times New Roman"/>
        </w:rPr>
        <w:t xml:space="preserve">běžně </w:t>
      </w:r>
      <w:r w:rsidR="00B626FB">
        <w:rPr>
          <w:rFonts w:cs="Times New Roman"/>
        </w:rPr>
        <w:t>vykládá a </w:t>
      </w:r>
      <w:r w:rsidR="00452387">
        <w:rPr>
          <w:rFonts w:cs="Times New Roman"/>
        </w:rPr>
        <w:t>aplikuje</w:t>
      </w:r>
      <w:r w:rsidR="0074540F">
        <w:rPr>
          <w:rFonts w:cs="Times New Roman"/>
        </w:rPr>
        <w:t>.</w:t>
      </w:r>
    </w:p>
    <w:p w:rsidR="0074540F" w:rsidRDefault="00B860F1" w:rsidP="008510D1">
      <w:pPr>
        <w:ind w:firstLine="357"/>
        <w:rPr>
          <w:rFonts w:cs="Times New Roman"/>
        </w:rPr>
      </w:pPr>
      <w:r>
        <w:rPr>
          <w:rFonts w:cs="Times New Roman"/>
        </w:rPr>
        <w:t>K dnešnímu dni</w:t>
      </w:r>
      <w:r w:rsidR="00331644">
        <w:rPr>
          <w:rFonts w:cs="Times New Roman"/>
        </w:rPr>
        <w:t xml:space="preserve"> </w:t>
      </w:r>
      <w:r>
        <w:rPr>
          <w:rFonts w:cs="Times New Roman"/>
        </w:rPr>
        <w:t xml:space="preserve">již </w:t>
      </w:r>
      <w:r w:rsidR="003C62FB">
        <w:rPr>
          <w:rFonts w:cs="Times New Roman"/>
        </w:rPr>
        <w:t>existují</w:t>
      </w:r>
      <w:r>
        <w:rPr>
          <w:rFonts w:cs="Times New Roman"/>
        </w:rPr>
        <w:t xml:space="preserve"> </w:t>
      </w:r>
      <w:r w:rsidR="00331644">
        <w:rPr>
          <w:rFonts w:cs="Times New Roman"/>
        </w:rPr>
        <w:t>řádově stovky rozhodnutí, v</w:t>
      </w:r>
      <w:r w:rsidR="00D637C0">
        <w:rPr>
          <w:rFonts w:cs="Times New Roman"/>
        </w:rPr>
        <w:t xml:space="preserve"> </w:t>
      </w:r>
      <w:r w:rsidR="00331644">
        <w:rPr>
          <w:rFonts w:cs="Times New Roman"/>
        </w:rPr>
        <w:t>nich</w:t>
      </w:r>
      <w:r w:rsidR="00D637C0">
        <w:rPr>
          <w:rFonts w:cs="Times New Roman"/>
        </w:rPr>
        <w:t>ž</w:t>
      </w:r>
      <w:r w:rsidR="00331644">
        <w:rPr>
          <w:rFonts w:cs="Times New Roman"/>
        </w:rPr>
        <w:t xml:space="preserve"> </w:t>
      </w:r>
      <w:r w:rsidR="00D637C0">
        <w:rPr>
          <w:rFonts w:cs="Times New Roman"/>
        </w:rPr>
        <w:t>Nejvyšší soud</w:t>
      </w:r>
      <w:r w:rsidR="00331644">
        <w:rPr>
          <w:rFonts w:cs="Times New Roman"/>
        </w:rPr>
        <w:t xml:space="preserve"> aplikoval právo</w:t>
      </w:r>
      <w:r w:rsidR="000A0DF8">
        <w:rPr>
          <w:rFonts w:cs="Times New Roman"/>
        </w:rPr>
        <w:t xml:space="preserve"> EU</w:t>
      </w:r>
      <w:r w:rsidR="00331644">
        <w:rPr>
          <w:rFonts w:cs="Times New Roman"/>
        </w:rPr>
        <w:t xml:space="preserve">. </w:t>
      </w:r>
      <w:r w:rsidR="00D637C0">
        <w:rPr>
          <w:rFonts w:cs="Times New Roman"/>
        </w:rPr>
        <w:t>P</w:t>
      </w:r>
      <w:r w:rsidR="00331644">
        <w:rPr>
          <w:rFonts w:cs="Times New Roman"/>
        </w:rPr>
        <w:t>ředkládan</w:t>
      </w:r>
      <w:r w:rsidR="00D637C0">
        <w:rPr>
          <w:rFonts w:cs="Times New Roman"/>
        </w:rPr>
        <w:t xml:space="preserve">á </w:t>
      </w:r>
      <w:r w:rsidR="00331644">
        <w:rPr>
          <w:rFonts w:cs="Times New Roman"/>
        </w:rPr>
        <w:t>kapitol</w:t>
      </w:r>
      <w:r w:rsidR="00D637C0">
        <w:rPr>
          <w:rFonts w:cs="Times New Roman"/>
        </w:rPr>
        <w:t>a</w:t>
      </w:r>
      <w:r w:rsidR="006655C3">
        <w:rPr>
          <w:rFonts w:cs="Times New Roman"/>
        </w:rPr>
        <w:t xml:space="preserve"> </w:t>
      </w:r>
      <w:r w:rsidR="00CD1BC2">
        <w:rPr>
          <w:rFonts w:cs="Times New Roman"/>
        </w:rPr>
        <w:t xml:space="preserve">– </w:t>
      </w:r>
      <w:r>
        <w:rPr>
          <w:rFonts w:cs="Times New Roman"/>
        </w:rPr>
        <w:t>už</w:t>
      </w:r>
      <w:r w:rsidR="00BC40A3">
        <w:rPr>
          <w:rFonts w:cs="Times New Roman"/>
        </w:rPr>
        <w:t xml:space="preserve"> </w:t>
      </w:r>
      <w:r w:rsidR="00D637C0">
        <w:rPr>
          <w:rFonts w:cs="Times New Roman"/>
        </w:rPr>
        <w:t>s ohledem na</w:t>
      </w:r>
      <w:r w:rsidR="00E72C0F">
        <w:rPr>
          <w:rFonts w:cs="Times New Roman"/>
        </w:rPr>
        <w:t xml:space="preserve"> </w:t>
      </w:r>
      <w:r w:rsidR="005F6FDA">
        <w:rPr>
          <w:rFonts w:cs="Times New Roman"/>
        </w:rPr>
        <w:t>svůj omezený rozsah</w:t>
      </w:r>
      <w:r w:rsidR="00CD1BC2">
        <w:rPr>
          <w:rFonts w:cs="Times New Roman"/>
        </w:rPr>
        <w:t xml:space="preserve"> –</w:t>
      </w:r>
      <w:r w:rsidR="006655C3">
        <w:rPr>
          <w:rFonts w:cs="Times New Roman"/>
        </w:rPr>
        <w:t xml:space="preserve"> </w:t>
      </w:r>
      <w:r w:rsidR="00C65D19">
        <w:rPr>
          <w:rFonts w:cs="Times New Roman"/>
        </w:rPr>
        <w:t>tudíž</w:t>
      </w:r>
      <w:r w:rsidR="005F6FDA">
        <w:rPr>
          <w:rFonts w:cs="Times New Roman"/>
        </w:rPr>
        <w:t xml:space="preserve"> </w:t>
      </w:r>
      <w:r w:rsidR="00331644">
        <w:rPr>
          <w:rFonts w:cs="Times New Roman"/>
        </w:rPr>
        <w:t xml:space="preserve">nemůže </w:t>
      </w:r>
      <w:r w:rsidR="00D637C0">
        <w:rPr>
          <w:rFonts w:cs="Times New Roman"/>
        </w:rPr>
        <w:t>usilovat o</w:t>
      </w:r>
      <w:r w:rsidR="00BC40A3">
        <w:rPr>
          <w:rFonts w:cs="Times New Roman"/>
        </w:rPr>
        <w:t> </w:t>
      </w:r>
      <w:r w:rsidR="00D2189A">
        <w:rPr>
          <w:rFonts w:cs="Times New Roman"/>
        </w:rPr>
        <w:t xml:space="preserve">komplexní rozbor </w:t>
      </w:r>
      <w:r w:rsidR="003C62FB">
        <w:rPr>
          <w:rFonts w:cs="Times New Roman"/>
        </w:rPr>
        <w:t>uvedené</w:t>
      </w:r>
      <w:r w:rsidR="00D637C0">
        <w:rPr>
          <w:rFonts w:cs="Times New Roman"/>
        </w:rPr>
        <w:t xml:space="preserve"> </w:t>
      </w:r>
      <w:r w:rsidR="00D2189A">
        <w:rPr>
          <w:rFonts w:cs="Times New Roman"/>
        </w:rPr>
        <w:t xml:space="preserve">rozhodovací činnosti </w:t>
      </w:r>
      <w:r w:rsidR="000A0DF8">
        <w:rPr>
          <w:rFonts w:cs="Times New Roman"/>
        </w:rPr>
        <w:t xml:space="preserve">NS </w:t>
      </w:r>
      <w:r w:rsidR="00D2189A">
        <w:rPr>
          <w:rFonts w:cs="Times New Roman"/>
        </w:rPr>
        <w:t>v</w:t>
      </w:r>
      <w:r>
        <w:rPr>
          <w:rFonts w:cs="Times New Roman"/>
        </w:rPr>
        <w:t>e všech</w:t>
      </w:r>
      <w:r w:rsidR="00E72C0F">
        <w:rPr>
          <w:rFonts w:cs="Times New Roman"/>
        </w:rPr>
        <w:t xml:space="preserve"> </w:t>
      </w:r>
      <w:r w:rsidR="00331644">
        <w:rPr>
          <w:rFonts w:cs="Times New Roman"/>
        </w:rPr>
        <w:t>oblastech</w:t>
      </w:r>
      <w:r w:rsidR="00D637C0">
        <w:rPr>
          <w:rFonts w:cs="Times New Roman"/>
        </w:rPr>
        <w:t xml:space="preserve">, jež spadají </w:t>
      </w:r>
      <w:r w:rsidR="00E72C0F" w:rsidRPr="00195E51">
        <w:rPr>
          <w:rFonts w:cs="Times New Roman"/>
        </w:rPr>
        <w:t>do pravomoci soudů v občanském soudním řízení a v trestním řízení</w:t>
      </w:r>
      <w:r w:rsidR="00D637C0">
        <w:rPr>
          <w:rFonts w:cs="Times New Roman"/>
        </w:rPr>
        <w:t>.</w:t>
      </w:r>
      <w:r w:rsidR="003C62FB">
        <w:rPr>
          <w:rFonts w:cs="Times New Roman"/>
        </w:rPr>
        <w:t xml:space="preserve"> J</w:t>
      </w:r>
      <w:r w:rsidR="000A0DF8">
        <w:rPr>
          <w:rFonts w:cs="Times New Roman"/>
        </w:rPr>
        <w:t xml:space="preserve">ejím cílem je </w:t>
      </w:r>
      <w:r w:rsidR="005D561C">
        <w:rPr>
          <w:rFonts w:cs="Times New Roman"/>
        </w:rPr>
        <w:t>toliko</w:t>
      </w:r>
      <w:r w:rsidR="003C62FB">
        <w:rPr>
          <w:rFonts w:cs="Times New Roman"/>
        </w:rPr>
        <w:t xml:space="preserve"> </w:t>
      </w:r>
      <w:r w:rsidR="000A500E">
        <w:rPr>
          <w:rFonts w:cs="Times New Roman"/>
        </w:rPr>
        <w:t>nastínit</w:t>
      </w:r>
      <w:r w:rsidR="005F6FDA">
        <w:rPr>
          <w:rFonts w:cs="Times New Roman"/>
        </w:rPr>
        <w:t xml:space="preserve"> </w:t>
      </w:r>
      <w:r w:rsidR="003C62FB">
        <w:rPr>
          <w:rFonts w:cs="Times New Roman"/>
        </w:rPr>
        <w:t xml:space="preserve">recepci základních principů a institutů </w:t>
      </w:r>
      <w:r w:rsidR="000A0DF8">
        <w:rPr>
          <w:rFonts w:cs="Times New Roman"/>
        </w:rPr>
        <w:t xml:space="preserve">unijního </w:t>
      </w:r>
      <w:r w:rsidR="003C62FB">
        <w:rPr>
          <w:rFonts w:cs="Times New Roman"/>
        </w:rPr>
        <w:t>práva</w:t>
      </w:r>
      <w:r w:rsidR="005D561C" w:rsidRPr="005D561C">
        <w:rPr>
          <w:rFonts w:cs="Times New Roman"/>
        </w:rPr>
        <w:t xml:space="preserve"> </w:t>
      </w:r>
      <w:r>
        <w:rPr>
          <w:rFonts w:cs="Times New Roman"/>
        </w:rPr>
        <w:t xml:space="preserve">v </w:t>
      </w:r>
      <w:r w:rsidR="00CD1BC2">
        <w:rPr>
          <w:rFonts w:cs="Times New Roman"/>
        </w:rPr>
        <w:t>rozhodnutích</w:t>
      </w:r>
      <w:r w:rsidR="005D561C">
        <w:rPr>
          <w:rFonts w:cs="Times New Roman"/>
        </w:rPr>
        <w:t xml:space="preserve"> Nejvyššího soudu</w:t>
      </w:r>
      <w:r w:rsidR="003C62FB">
        <w:rPr>
          <w:rFonts w:cs="Times New Roman"/>
        </w:rPr>
        <w:t>.</w:t>
      </w:r>
      <w:r w:rsidR="006461DB">
        <w:rPr>
          <w:rFonts w:cs="Times New Roman"/>
        </w:rPr>
        <w:t xml:space="preserve"> </w:t>
      </w:r>
      <w:r w:rsidR="00BC40A3">
        <w:rPr>
          <w:rFonts w:cs="Times New Roman"/>
        </w:rPr>
        <w:t xml:space="preserve">Předkládaná kapitola se přitom </w:t>
      </w:r>
      <w:r w:rsidR="00C65D19">
        <w:rPr>
          <w:rFonts w:cs="Times New Roman"/>
        </w:rPr>
        <w:t>svou</w:t>
      </w:r>
      <w:r w:rsidR="005F6FDA">
        <w:rPr>
          <w:rFonts w:cs="Times New Roman"/>
        </w:rPr>
        <w:t xml:space="preserve"> strukturou </w:t>
      </w:r>
      <w:r w:rsidR="002E4A8F">
        <w:rPr>
          <w:rFonts w:cs="Times New Roman"/>
        </w:rPr>
        <w:t>výrazně</w:t>
      </w:r>
      <w:r w:rsidR="006461DB">
        <w:rPr>
          <w:rFonts w:cs="Times New Roman"/>
        </w:rPr>
        <w:t xml:space="preserve"> neliší od obsahu kapitoly </w:t>
      </w:r>
      <w:r w:rsidR="006461DB">
        <w:rPr>
          <w:rFonts w:cs="Times New Roman"/>
        </w:rPr>
        <w:lastRenderedPageBreak/>
        <w:t xml:space="preserve">věnované odrazu evropského práva v judikatuře </w:t>
      </w:r>
      <w:r w:rsidR="006655C3">
        <w:rPr>
          <w:rFonts w:cs="Times New Roman"/>
        </w:rPr>
        <w:t>Nejvyššího správního soudu</w:t>
      </w:r>
      <w:r w:rsidR="006461DB">
        <w:rPr>
          <w:rFonts w:cs="Times New Roman"/>
        </w:rPr>
        <w:t>.</w:t>
      </w:r>
      <w:r w:rsidR="00787D57">
        <w:rPr>
          <w:rFonts w:cs="Times New Roman"/>
        </w:rPr>
        <w:t xml:space="preserve"> </w:t>
      </w:r>
      <w:r w:rsidR="002E4A8F">
        <w:rPr>
          <w:rFonts w:cs="Times New Roman"/>
        </w:rPr>
        <w:t>Čtenáři je tak</w:t>
      </w:r>
      <w:r w:rsidR="00787D57">
        <w:rPr>
          <w:rFonts w:cs="Times New Roman"/>
        </w:rPr>
        <w:t xml:space="preserve"> </w:t>
      </w:r>
      <w:r w:rsidR="002E4A8F">
        <w:rPr>
          <w:rFonts w:cs="Times New Roman"/>
        </w:rPr>
        <w:t xml:space="preserve">umožněno </w:t>
      </w:r>
      <w:r w:rsidR="00787D57">
        <w:rPr>
          <w:rFonts w:cs="Times New Roman"/>
        </w:rPr>
        <w:t xml:space="preserve">snadné </w:t>
      </w:r>
      <w:r w:rsidR="002E4A8F">
        <w:rPr>
          <w:rFonts w:cs="Times New Roman"/>
        </w:rPr>
        <w:t>srovnání</w:t>
      </w:r>
      <w:r w:rsidR="00787D57">
        <w:rPr>
          <w:rFonts w:cs="Times New Roman"/>
        </w:rPr>
        <w:t xml:space="preserve"> přístupů obou </w:t>
      </w:r>
      <w:r w:rsidR="006655C3">
        <w:rPr>
          <w:rFonts w:cs="Times New Roman"/>
        </w:rPr>
        <w:t>obecných</w:t>
      </w:r>
      <w:r w:rsidR="002E4A8F">
        <w:rPr>
          <w:rFonts w:cs="Times New Roman"/>
        </w:rPr>
        <w:t xml:space="preserve"> </w:t>
      </w:r>
      <w:r w:rsidR="00787D57">
        <w:rPr>
          <w:rFonts w:cs="Times New Roman"/>
        </w:rPr>
        <w:t>vrcholných soudů k</w:t>
      </w:r>
      <w:r w:rsidR="00A803C5">
        <w:rPr>
          <w:rFonts w:cs="Times New Roman"/>
        </w:rPr>
        <w:t> aplikaci práva EU.</w:t>
      </w:r>
    </w:p>
    <w:p w:rsidR="009C7A5D" w:rsidRDefault="009C7A5D" w:rsidP="008510D1">
      <w:pPr>
        <w:ind w:firstLine="357"/>
        <w:rPr>
          <w:rFonts w:cs="Times New Roman"/>
        </w:rPr>
      </w:pPr>
    </w:p>
    <w:p w:rsidR="009C7A5D" w:rsidRPr="008510D1" w:rsidRDefault="002A1A48" w:rsidP="008510D1">
      <w:pPr>
        <w:pStyle w:val="Odstavecseseznamem"/>
        <w:numPr>
          <w:ilvl w:val="0"/>
          <w:numId w:val="2"/>
        </w:numPr>
        <w:rPr>
          <w:rFonts w:cs="Times New Roman"/>
          <w:b/>
        </w:rPr>
      </w:pPr>
      <w:r>
        <w:rPr>
          <w:rFonts w:cs="Times New Roman"/>
          <w:b/>
        </w:rPr>
        <w:t>(</w:t>
      </w:r>
      <w:r w:rsidR="009C7A5D" w:rsidRPr="008510D1">
        <w:rPr>
          <w:rFonts w:cs="Times New Roman"/>
          <w:b/>
        </w:rPr>
        <w:t>Ne</w:t>
      </w:r>
      <w:r>
        <w:rPr>
          <w:rFonts w:cs="Times New Roman"/>
          <w:b/>
        </w:rPr>
        <w:t>)</w:t>
      </w:r>
      <w:r w:rsidR="009C7A5D" w:rsidRPr="008510D1">
        <w:rPr>
          <w:rFonts w:cs="Times New Roman"/>
          <w:b/>
        </w:rPr>
        <w:t>aplikace práva EU</w:t>
      </w:r>
    </w:p>
    <w:p w:rsidR="00E6523F" w:rsidRDefault="00E6523F" w:rsidP="00E6523F">
      <w:pPr>
        <w:ind w:firstLine="0"/>
        <w:rPr>
          <w:rFonts w:cs="Times New Roman"/>
        </w:rPr>
      </w:pPr>
    </w:p>
    <w:p w:rsidR="00B860F1" w:rsidRDefault="00B860F1" w:rsidP="0034469B">
      <w:pPr>
        <w:ind w:firstLine="360"/>
        <w:rPr>
          <w:rFonts w:cs="Times New Roman"/>
        </w:rPr>
      </w:pPr>
      <w:r>
        <w:rPr>
          <w:rFonts w:cs="Times New Roman"/>
        </w:rPr>
        <w:t>Jak již bylo v předcházející kapitole věnované NSS nastíněno,</w:t>
      </w:r>
      <w:r w:rsidR="0034469B">
        <w:rPr>
          <w:rFonts w:cs="Times New Roman"/>
        </w:rPr>
        <w:t xml:space="preserve"> výklad o aplikaci práva EU je vhodné začít pojmenováním situací, v nichž se evropské právo neuplatní. Připome</w:t>
      </w:r>
      <w:r w:rsidR="00512098">
        <w:rPr>
          <w:rFonts w:cs="Times New Roman"/>
        </w:rPr>
        <w:t xml:space="preserve">ňme, že se jedná </w:t>
      </w:r>
      <w:r w:rsidR="0034469B">
        <w:rPr>
          <w:rFonts w:cs="Times New Roman"/>
        </w:rPr>
        <w:t xml:space="preserve">o tři okruhy případů: 1) obsahová </w:t>
      </w:r>
      <w:proofErr w:type="spellStart"/>
      <w:r w:rsidR="0034469B">
        <w:rPr>
          <w:rFonts w:cs="Times New Roman"/>
        </w:rPr>
        <w:t>neaplikace</w:t>
      </w:r>
      <w:proofErr w:type="spellEnd"/>
      <w:r w:rsidR="0034469B">
        <w:rPr>
          <w:rFonts w:cs="Times New Roman"/>
        </w:rPr>
        <w:t>, 2) případy tzv. čistě vnitrostátní situace a 3) temporální otázky.</w:t>
      </w:r>
      <w:r w:rsidR="0034469B">
        <w:rPr>
          <w:rStyle w:val="Znakapoznpodarou"/>
          <w:rFonts w:cs="Times New Roman"/>
        </w:rPr>
        <w:footnoteReference w:id="12"/>
      </w:r>
      <w:r w:rsidR="0027053C">
        <w:rPr>
          <w:rFonts w:cs="Times New Roman"/>
        </w:rPr>
        <w:t xml:space="preserve"> </w:t>
      </w:r>
      <w:r w:rsidR="007C5A8A">
        <w:rPr>
          <w:rFonts w:cs="Times New Roman"/>
        </w:rPr>
        <w:t xml:space="preserve">Problematiku (ne)aplikace unijního práva v judikatuře Nejvyššího soudu lze však uchopit i z jiného úhlu pohledu (odtud rovněž závorky ve slově </w:t>
      </w:r>
      <w:proofErr w:type="spellStart"/>
      <w:r w:rsidR="007C5A8A">
        <w:rPr>
          <w:rFonts w:cs="Times New Roman"/>
        </w:rPr>
        <w:t>neaplikace</w:t>
      </w:r>
      <w:proofErr w:type="spellEnd"/>
      <w:r w:rsidR="007C5A8A">
        <w:rPr>
          <w:rFonts w:cs="Times New Roman"/>
        </w:rPr>
        <w:t>)</w:t>
      </w:r>
      <w:r w:rsidR="00512098">
        <w:rPr>
          <w:rFonts w:cs="Times New Roman"/>
        </w:rPr>
        <w:t>, a </w:t>
      </w:r>
      <w:r w:rsidR="007C5A8A">
        <w:rPr>
          <w:rFonts w:cs="Times New Roman"/>
        </w:rPr>
        <w:t xml:space="preserve">to jako 4) přehlížení </w:t>
      </w:r>
      <w:r w:rsidR="00512098">
        <w:rPr>
          <w:rFonts w:cs="Times New Roman"/>
        </w:rPr>
        <w:t xml:space="preserve">práva EU, tj. označení situací, na něž evropské právo sice dopadá, nicméně </w:t>
      </w:r>
      <w:r w:rsidR="00D86B16">
        <w:rPr>
          <w:rFonts w:cs="Times New Roman"/>
        </w:rPr>
        <w:t>Nejvyšším soudem aplikováno nebylo</w:t>
      </w:r>
      <w:r w:rsidR="00512098">
        <w:rPr>
          <w:rFonts w:cs="Times New Roman"/>
        </w:rPr>
        <w:t xml:space="preserve">, </w:t>
      </w:r>
      <w:r w:rsidR="00D86B16">
        <w:rPr>
          <w:rFonts w:cs="Times New Roman"/>
        </w:rPr>
        <w:t>případně tak neučinil řádně</w:t>
      </w:r>
      <w:r w:rsidR="00D86B16" w:rsidRPr="00D86B16">
        <w:rPr>
          <w:rFonts w:cs="Times New Roman"/>
        </w:rPr>
        <w:t xml:space="preserve"> </w:t>
      </w:r>
      <w:r w:rsidR="00D86B16">
        <w:rPr>
          <w:rFonts w:cs="Times New Roman"/>
        </w:rPr>
        <w:t>či zcela správně.</w:t>
      </w:r>
      <w:r w:rsidR="00AE755A">
        <w:rPr>
          <w:rFonts w:cs="Times New Roman"/>
        </w:rPr>
        <w:t xml:space="preserve"> </w:t>
      </w:r>
    </w:p>
    <w:p w:rsidR="007B4398" w:rsidRDefault="007B4398" w:rsidP="0034469B">
      <w:pPr>
        <w:ind w:firstLine="360"/>
        <w:rPr>
          <w:rFonts w:cs="Times New Roman"/>
        </w:rPr>
      </w:pPr>
    </w:p>
    <w:p w:rsidR="007B4398" w:rsidRDefault="007B4398" w:rsidP="007B4398">
      <w:pPr>
        <w:pStyle w:val="Odstavecseseznamem"/>
        <w:numPr>
          <w:ilvl w:val="1"/>
          <w:numId w:val="2"/>
        </w:numPr>
        <w:ind w:left="431" w:hanging="431"/>
        <w:rPr>
          <w:rFonts w:cs="Times New Roman"/>
          <w:b/>
          <w:i/>
        </w:rPr>
      </w:pPr>
      <w:r w:rsidRPr="003A48AE">
        <w:rPr>
          <w:rFonts w:cs="Times New Roman"/>
          <w:b/>
          <w:i/>
        </w:rPr>
        <w:t>Test obsahu</w:t>
      </w:r>
    </w:p>
    <w:p w:rsidR="007B4398" w:rsidRDefault="007B4398" w:rsidP="007B4398">
      <w:pPr>
        <w:pStyle w:val="Odstavecseseznamem"/>
        <w:ind w:left="431" w:firstLine="0"/>
        <w:rPr>
          <w:rFonts w:cs="Times New Roman"/>
        </w:rPr>
      </w:pPr>
    </w:p>
    <w:p w:rsidR="00290F7E" w:rsidRDefault="00082F58" w:rsidP="00CB6C35">
      <w:pPr>
        <w:ind w:firstLine="431"/>
        <w:rPr>
          <w:rFonts w:cs="Times New Roman"/>
        </w:rPr>
      </w:pPr>
      <w:r>
        <w:rPr>
          <w:rFonts w:cs="Times New Roman"/>
        </w:rPr>
        <w:t>Věcné označení</w:t>
      </w:r>
      <w:r w:rsidRPr="00082F58">
        <w:rPr>
          <w:rFonts w:cs="Times New Roman"/>
        </w:rPr>
        <w:t xml:space="preserve"> oblastí patřících do pravomoci soudů v </w:t>
      </w:r>
      <w:r>
        <w:rPr>
          <w:rFonts w:cs="Times New Roman"/>
        </w:rPr>
        <w:t>občanském soudním řízení a </w:t>
      </w:r>
      <w:r w:rsidRPr="00082F58">
        <w:rPr>
          <w:rFonts w:cs="Times New Roman"/>
        </w:rPr>
        <w:t>v</w:t>
      </w:r>
      <w:r>
        <w:rPr>
          <w:rFonts w:cs="Times New Roman"/>
        </w:rPr>
        <w:t> </w:t>
      </w:r>
      <w:r w:rsidRPr="00082F58">
        <w:rPr>
          <w:rFonts w:cs="Times New Roman"/>
        </w:rPr>
        <w:t>trestním řízení</w:t>
      </w:r>
      <w:r>
        <w:rPr>
          <w:rFonts w:cs="Times New Roman"/>
        </w:rPr>
        <w:t xml:space="preserve">, na které </w:t>
      </w:r>
      <w:r w:rsidR="007B4398" w:rsidRPr="007B4398">
        <w:rPr>
          <w:rFonts w:cs="Times New Roman"/>
        </w:rPr>
        <w:t xml:space="preserve">evropské právo </w:t>
      </w:r>
      <w:r>
        <w:rPr>
          <w:rFonts w:cs="Times New Roman"/>
        </w:rPr>
        <w:t>nedopadá, není jednoduchou záležitostí.</w:t>
      </w:r>
      <w:r>
        <w:rPr>
          <w:rStyle w:val="Znakapoznpodarou"/>
          <w:rFonts w:cs="Times New Roman"/>
        </w:rPr>
        <w:footnoteReference w:id="13"/>
      </w:r>
      <w:r>
        <w:rPr>
          <w:rFonts w:cs="Times New Roman"/>
        </w:rPr>
        <w:t xml:space="preserve"> </w:t>
      </w:r>
      <w:r w:rsidR="0075109F">
        <w:rPr>
          <w:rFonts w:cs="Times New Roman"/>
        </w:rPr>
        <w:t>Ještě donedávna bychom mohli relativně bez potíží vyloučit oblast trestního práva hmotného, nicméně</w:t>
      </w:r>
      <w:r w:rsidR="00344C89">
        <w:rPr>
          <w:rFonts w:cs="Times New Roman"/>
        </w:rPr>
        <w:t xml:space="preserve"> </w:t>
      </w:r>
      <w:r w:rsidR="00CB6C35">
        <w:rPr>
          <w:rFonts w:cs="Times New Roman"/>
        </w:rPr>
        <w:t>v důsledku vstupu</w:t>
      </w:r>
      <w:r w:rsidR="0075109F">
        <w:rPr>
          <w:rFonts w:cs="Times New Roman"/>
        </w:rPr>
        <w:t xml:space="preserve"> v platnost Lisabonské smlouvy </w:t>
      </w:r>
      <w:r w:rsidR="00344C89">
        <w:rPr>
          <w:rFonts w:cs="Times New Roman"/>
        </w:rPr>
        <w:t xml:space="preserve">a tzv. </w:t>
      </w:r>
      <w:r w:rsidR="00CB6C35">
        <w:rPr>
          <w:rFonts w:cs="Times New Roman"/>
        </w:rPr>
        <w:t>„</w:t>
      </w:r>
      <w:proofErr w:type="spellStart"/>
      <w:r w:rsidR="00CB6C35">
        <w:rPr>
          <w:rFonts w:cs="Times New Roman"/>
        </w:rPr>
        <w:t>komunitarizace</w:t>
      </w:r>
      <w:proofErr w:type="spellEnd"/>
      <w:r w:rsidR="00CB6C35">
        <w:rPr>
          <w:rFonts w:cs="Times New Roman"/>
        </w:rPr>
        <w:t>“</w:t>
      </w:r>
      <w:r w:rsidR="00344C89">
        <w:rPr>
          <w:rFonts w:cs="Times New Roman"/>
        </w:rPr>
        <w:t xml:space="preserve"> bývalé</w:t>
      </w:r>
      <w:r w:rsidR="00CB6C35">
        <w:rPr>
          <w:rFonts w:cs="Times New Roman"/>
        </w:rPr>
        <w:t>ho třetího pilíře (</w:t>
      </w:r>
      <w:r w:rsidR="00344C89">
        <w:rPr>
          <w:rFonts w:cs="Times New Roman"/>
        </w:rPr>
        <w:t xml:space="preserve">tj. oblasti </w:t>
      </w:r>
      <w:r w:rsidR="004A0051">
        <w:rPr>
          <w:rFonts w:cs="Times New Roman"/>
        </w:rPr>
        <w:t xml:space="preserve">policejní a </w:t>
      </w:r>
      <w:r w:rsidR="00344C89">
        <w:rPr>
          <w:rFonts w:cs="Times New Roman"/>
        </w:rPr>
        <w:t>justiční spolupráce v trestních věcech</w:t>
      </w:r>
      <w:r w:rsidR="00CB6C35">
        <w:rPr>
          <w:rFonts w:cs="Times New Roman"/>
        </w:rPr>
        <w:t>)</w:t>
      </w:r>
      <w:r w:rsidR="00344C89">
        <w:rPr>
          <w:rFonts w:cs="Times New Roman"/>
        </w:rPr>
        <w:t xml:space="preserve">, se </w:t>
      </w:r>
      <w:r w:rsidR="00CB6C35">
        <w:rPr>
          <w:rFonts w:cs="Times New Roman"/>
        </w:rPr>
        <w:t xml:space="preserve">napříště může </w:t>
      </w:r>
      <w:r w:rsidR="004A0051">
        <w:rPr>
          <w:rFonts w:cs="Times New Roman"/>
        </w:rPr>
        <w:t>i </w:t>
      </w:r>
      <w:r w:rsidR="00344C89">
        <w:rPr>
          <w:rFonts w:cs="Times New Roman"/>
        </w:rPr>
        <w:t xml:space="preserve">tato </w:t>
      </w:r>
      <w:r w:rsidR="00CB6C35">
        <w:rPr>
          <w:rFonts w:cs="Times New Roman"/>
        </w:rPr>
        <w:t>oblast práva</w:t>
      </w:r>
      <w:r w:rsidR="00344C89">
        <w:rPr>
          <w:rFonts w:cs="Times New Roman"/>
        </w:rPr>
        <w:t xml:space="preserve"> stát předmětem </w:t>
      </w:r>
      <w:r w:rsidR="00CB6C35">
        <w:rPr>
          <w:rFonts w:cs="Times New Roman"/>
        </w:rPr>
        <w:t xml:space="preserve">určitých </w:t>
      </w:r>
      <w:r w:rsidR="00344C89">
        <w:rPr>
          <w:rFonts w:cs="Times New Roman"/>
        </w:rPr>
        <w:t>harmonizačních opatření</w:t>
      </w:r>
      <w:r w:rsidR="00CB6C35">
        <w:rPr>
          <w:rFonts w:cs="Times New Roman"/>
        </w:rPr>
        <w:t xml:space="preserve"> ze strany unijního zákonodárce.</w:t>
      </w:r>
      <w:r w:rsidR="00CB6C35">
        <w:rPr>
          <w:rStyle w:val="Znakapoznpodarou"/>
          <w:rFonts w:cs="Times New Roman"/>
        </w:rPr>
        <w:footnoteReference w:id="14"/>
      </w:r>
      <w:r w:rsidR="004A0051">
        <w:rPr>
          <w:rFonts w:cs="Times New Roman"/>
        </w:rPr>
        <w:t xml:space="preserve"> </w:t>
      </w:r>
      <w:r w:rsidR="001C742F">
        <w:rPr>
          <w:rFonts w:cs="Times New Roman"/>
        </w:rPr>
        <w:t>SFEU stanoví taxativní výčet deseti oblastí mimořádně závažné trestné činnosti s příhraničním rozměrem, v nichž mohou být přijata minimální pravidla týkající se vymezení trestných činů a sankcí.</w:t>
      </w:r>
      <w:r w:rsidR="00B152E2">
        <w:rPr>
          <w:rStyle w:val="Znakapoznpodarou"/>
          <w:rFonts w:cs="Times New Roman"/>
        </w:rPr>
        <w:footnoteReference w:id="15"/>
      </w:r>
      <w:r w:rsidR="001C742F">
        <w:rPr>
          <w:rFonts w:cs="Times New Roman"/>
        </w:rPr>
        <w:t xml:space="preserve"> </w:t>
      </w:r>
      <w:r w:rsidR="004A0051">
        <w:rPr>
          <w:rFonts w:cs="Times New Roman"/>
        </w:rPr>
        <w:t>Trestní s</w:t>
      </w:r>
      <w:r w:rsidR="0075761E">
        <w:rPr>
          <w:rFonts w:cs="Times New Roman"/>
        </w:rPr>
        <w:t>oudy</w:t>
      </w:r>
      <w:r w:rsidR="00B152E2">
        <w:rPr>
          <w:rFonts w:cs="Times New Roman"/>
        </w:rPr>
        <w:t xml:space="preserve"> </w:t>
      </w:r>
      <w:r w:rsidR="0075761E">
        <w:rPr>
          <w:rFonts w:cs="Times New Roman"/>
        </w:rPr>
        <w:t xml:space="preserve">proto budou muset </w:t>
      </w:r>
      <w:r w:rsidR="001C742F">
        <w:rPr>
          <w:rFonts w:cs="Times New Roman"/>
        </w:rPr>
        <w:t xml:space="preserve">napříště </w:t>
      </w:r>
      <w:r w:rsidR="0075761E">
        <w:rPr>
          <w:rFonts w:cs="Times New Roman"/>
        </w:rPr>
        <w:t xml:space="preserve">při posuzování konkrétního </w:t>
      </w:r>
      <w:r w:rsidR="004A0051">
        <w:rPr>
          <w:rFonts w:cs="Times New Roman"/>
        </w:rPr>
        <w:t>případu zkoumat, zda v</w:t>
      </w:r>
      <w:r w:rsidR="001C742F">
        <w:rPr>
          <w:rFonts w:cs="Times New Roman"/>
        </w:rPr>
        <w:t xml:space="preserve"> </w:t>
      </w:r>
      <w:r w:rsidR="004A0051">
        <w:rPr>
          <w:rFonts w:cs="Times New Roman"/>
        </w:rPr>
        <w:t xml:space="preserve">příslušné oblasti </w:t>
      </w:r>
      <w:r w:rsidR="00B152E2">
        <w:rPr>
          <w:rFonts w:cs="Times New Roman"/>
        </w:rPr>
        <w:t xml:space="preserve">uvedená </w:t>
      </w:r>
      <w:r w:rsidR="001C742F">
        <w:rPr>
          <w:rFonts w:cs="Times New Roman"/>
        </w:rPr>
        <w:t xml:space="preserve">harmonizační </w:t>
      </w:r>
      <w:r w:rsidR="008A6A5E">
        <w:rPr>
          <w:rFonts w:cs="Times New Roman"/>
        </w:rPr>
        <w:t>opatření byla přijata</w:t>
      </w:r>
      <w:r w:rsidR="004A0051">
        <w:rPr>
          <w:rFonts w:cs="Times New Roman"/>
        </w:rPr>
        <w:t xml:space="preserve">, zda a jakým způsobem </w:t>
      </w:r>
      <w:r w:rsidR="001C742F">
        <w:rPr>
          <w:rFonts w:cs="Times New Roman"/>
        </w:rPr>
        <w:t xml:space="preserve">byla </w:t>
      </w:r>
      <w:r w:rsidR="004A0051">
        <w:rPr>
          <w:rFonts w:cs="Times New Roman"/>
        </w:rPr>
        <w:t>tato opatření do českého práva</w:t>
      </w:r>
      <w:r w:rsidR="001C742F">
        <w:rPr>
          <w:rFonts w:cs="Times New Roman"/>
        </w:rPr>
        <w:t xml:space="preserve"> </w:t>
      </w:r>
      <w:r w:rsidR="008A6A5E">
        <w:rPr>
          <w:rFonts w:cs="Times New Roman"/>
        </w:rPr>
        <w:t>implementována</w:t>
      </w:r>
      <w:r w:rsidR="004A0051">
        <w:rPr>
          <w:rFonts w:cs="Times New Roman"/>
        </w:rPr>
        <w:t>, přičemž</w:t>
      </w:r>
      <w:r w:rsidR="008A6A5E">
        <w:rPr>
          <w:rFonts w:cs="Times New Roman"/>
        </w:rPr>
        <w:t xml:space="preserve"> při aplikaci příslušných harmonizovaných pravidel</w:t>
      </w:r>
      <w:r w:rsidR="004A0051">
        <w:rPr>
          <w:rFonts w:cs="Times New Roman"/>
        </w:rPr>
        <w:t xml:space="preserve"> budou muset mít </w:t>
      </w:r>
      <w:r w:rsidR="00B152E2">
        <w:rPr>
          <w:rFonts w:cs="Times New Roman"/>
        </w:rPr>
        <w:t xml:space="preserve">trestní soudy </w:t>
      </w:r>
      <w:r w:rsidR="004A0051">
        <w:rPr>
          <w:rFonts w:cs="Times New Roman"/>
        </w:rPr>
        <w:t xml:space="preserve">na paměti </w:t>
      </w:r>
      <w:r w:rsidR="008A6A5E">
        <w:rPr>
          <w:rFonts w:cs="Times New Roman"/>
        </w:rPr>
        <w:t>jednotlivé formy účinků</w:t>
      </w:r>
      <w:r w:rsidR="004A0051">
        <w:rPr>
          <w:rFonts w:cs="Times New Roman"/>
        </w:rPr>
        <w:t xml:space="preserve">, </w:t>
      </w:r>
      <w:r w:rsidR="008A6A5E">
        <w:rPr>
          <w:rFonts w:cs="Times New Roman"/>
        </w:rPr>
        <w:t xml:space="preserve">jež může </w:t>
      </w:r>
      <w:r w:rsidR="004A0051">
        <w:rPr>
          <w:rFonts w:cs="Times New Roman"/>
        </w:rPr>
        <w:t>prá</w:t>
      </w:r>
      <w:r w:rsidR="008A6A5E">
        <w:rPr>
          <w:rFonts w:cs="Times New Roman"/>
        </w:rPr>
        <w:t>vo</w:t>
      </w:r>
      <w:r w:rsidR="004A0051">
        <w:rPr>
          <w:rFonts w:cs="Times New Roman"/>
        </w:rPr>
        <w:t xml:space="preserve"> EU ve vnitrostátní</w:t>
      </w:r>
      <w:r w:rsidR="008A6A5E">
        <w:rPr>
          <w:rFonts w:cs="Times New Roman"/>
        </w:rPr>
        <w:t>ch</w:t>
      </w:r>
      <w:r w:rsidR="004A0051">
        <w:rPr>
          <w:rFonts w:cs="Times New Roman"/>
        </w:rPr>
        <w:t xml:space="preserve"> prá</w:t>
      </w:r>
      <w:r w:rsidR="008A6A5E">
        <w:rPr>
          <w:rFonts w:cs="Times New Roman"/>
        </w:rPr>
        <w:t>vních řádech vyvíjet</w:t>
      </w:r>
      <w:r w:rsidR="004A0051">
        <w:rPr>
          <w:rFonts w:cs="Times New Roman"/>
        </w:rPr>
        <w:t>.</w:t>
      </w:r>
    </w:p>
    <w:p w:rsidR="005D0EBA" w:rsidRDefault="00816256" w:rsidP="00CB6C35">
      <w:pPr>
        <w:ind w:firstLine="431"/>
        <w:rPr>
          <w:rFonts w:cs="Times New Roman"/>
        </w:rPr>
      </w:pPr>
      <w:r>
        <w:rPr>
          <w:rFonts w:cs="Times New Roman"/>
        </w:rPr>
        <w:lastRenderedPageBreak/>
        <w:t>Pokud jde o trestní právo procesní,</w:t>
      </w:r>
      <w:r w:rsidR="00175CCC">
        <w:rPr>
          <w:rFonts w:cs="Times New Roman"/>
        </w:rPr>
        <w:t xml:space="preserve"> tj. </w:t>
      </w:r>
      <w:r w:rsidR="00134E84">
        <w:rPr>
          <w:rFonts w:cs="Times New Roman"/>
        </w:rPr>
        <w:t>zejména o</w:t>
      </w:r>
      <w:r w:rsidR="00175CCC">
        <w:rPr>
          <w:rFonts w:cs="Times New Roman"/>
        </w:rPr>
        <w:t xml:space="preserve"> oblast policejní a justiční spolupráce v trestních věcech s přeshraničním rozměrem,</w:t>
      </w:r>
      <w:r>
        <w:rPr>
          <w:rFonts w:cs="Times New Roman"/>
        </w:rPr>
        <w:t xml:space="preserve"> tato byla vystavena působení práva</w:t>
      </w:r>
      <w:r w:rsidR="00175CCC">
        <w:rPr>
          <w:rFonts w:cs="Times New Roman"/>
        </w:rPr>
        <w:t xml:space="preserve"> EU</w:t>
      </w:r>
      <w:r>
        <w:rPr>
          <w:rFonts w:cs="Times New Roman"/>
        </w:rPr>
        <w:t xml:space="preserve"> již </w:t>
      </w:r>
      <w:r w:rsidR="00175CCC">
        <w:rPr>
          <w:rFonts w:cs="Times New Roman"/>
        </w:rPr>
        <w:t>od vstupu v platnost Maastrichtské smlouvy.</w:t>
      </w:r>
      <w:r w:rsidR="009F71FF">
        <w:rPr>
          <w:rFonts w:cs="Times New Roman"/>
        </w:rPr>
        <w:t xml:space="preserve"> Na základě příslušných ustanovení Smlouvy o Evropské unii tak byla formou rámcových rozhodnutí (od lisabonské reformy pak na základě příslušných ustanovení SFEU ve formě směrnic) přijata řada nástrojů, jež výrazně usnadňují stíhání a trestání </w:t>
      </w:r>
      <w:r w:rsidR="00235B44">
        <w:rPr>
          <w:rFonts w:cs="Times New Roman"/>
        </w:rPr>
        <w:t>pachatelů</w:t>
      </w:r>
      <w:r w:rsidR="000B7710">
        <w:rPr>
          <w:rFonts w:cs="Times New Roman"/>
        </w:rPr>
        <w:t xml:space="preserve"> trestných činů</w:t>
      </w:r>
      <w:r w:rsidR="00235B44">
        <w:rPr>
          <w:rFonts w:cs="Times New Roman"/>
        </w:rPr>
        <w:t xml:space="preserve">, zejména </w:t>
      </w:r>
      <w:r w:rsidR="000B7710">
        <w:rPr>
          <w:rFonts w:cs="Times New Roman"/>
        </w:rPr>
        <w:t>pokud jde o</w:t>
      </w:r>
      <w:r w:rsidR="00235B44">
        <w:rPr>
          <w:rFonts w:cs="Times New Roman"/>
        </w:rPr>
        <w:t xml:space="preserve"> přeshraniční kriminalit</w:t>
      </w:r>
      <w:r w:rsidR="000B7710">
        <w:rPr>
          <w:rFonts w:cs="Times New Roman"/>
        </w:rPr>
        <w:t>u</w:t>
      </w:r>
      <w:r w:rsidR="009F71FF">
        <w:rPr>
          <w:rFonts w:cs="Times New Roman"/>
        </w:rPr>
        <w:t>.</w:t>
      </w:r>
      <w:r w:rsidR="00A51A90">
        <w:rPr>
          <w:rFonts w:cs="Times New Roman"/>
        </w:rPr>
        <w:t xml:space="preserve"> </w:t>
      </w:r>
      <w:r w:rsidR="00FB3F90">
        <w:rPr>
          <w:rFonts w:cs="Times New Roman"/>
        </w:rPr>
        <w:t xml:space="preserve">Mimo věci s přeshraničním </w:t>
      </w:r>
      <w:r w:rsidR="0075761E">
        <w:rPr>
          <w:rFonts w:cs="Times New Roman"/>
        </w:rPr>
        <w:t>prvkem se však evropské právo věnuje oblasti trestního práva procesního pouze okrajově.</w:t>
      </w:r>
      <w:r w:rsidR="0075761E">
        <w:rPr>
          <w:rStyle w:val="Znakapoznpodarou"/>
          <w:rFonts w:cs="Times New Roman"/>
        </w:rPr>
        <w:footnoteReference w:id="16"/>
      </w:r>
      <w:r w:rsidR="0075761E">
        <w:rPr>
          <w:rFonts w:cs="Times New Roman"/>
        </w:rPr>
        <w:t xml:space="preserve"> </w:t>
      </w:r>
    </w:p>
    <w:p w:rsidR="007B4398" w:rsidRDefault="005D0EBA" w:rsidP="00CB6C35">
      <w:pPr>
        <w:ind w:firstLine="431"/>
        <w:rPr>
          <w:rFonts w:cs="Times New Roman"/>
        </w:rPr>
      </w:pPr>
      <w:r>
        <w:rPr>
          <w:rFonts w:cs="Times New Roman"/>
        </w:rPr>
        <w:t>V</w:t>
      </w:r>
      <w:r w:rsidR="00F43A83">
        <w:rPr>
          <w:rFonts w:cs="Times New Roman"/>
        </w:rPr>
        <w:t xml:space="preserve"> </w:t>
      </w:r>
      <w:r w:rsidR="00F219FD">
        <w:rPr>
          <w:rFonts w:cs="Times New Roman"/>
        </w:rPr>
        <w:t xml:space="preserve">databázi </w:t>
      </w:r>
      <w:r w:rsidR="00F43A83">
        <w:rPr>
          <w:rFonts w:cs="Times New Roman"/>
        </w:rPr>
        <w:t>judikatury</w:t>
      </w:r>
      <w:r>
        <w:rPr>
          <w:rFonts w:cs="Times New Roman"/>
        </w:rPr>
        <w:t xml:space="preserve"> Nejvyššího soudu</w:t>
      </w:r>
      <w:r w:rsidR="00F219FD">
        <w:rPr>
          <w:rFonts w:cs="Times New Roman"/>
        </w:rPr>
        <w:t xml:space="preserve"> můžeme přitom dohledat již </w:t>
      </w:r>
      <w:r w:rsidR="00F43A83">
        <w:rPr>
          <w:rFonts w:cs="Times New Roman"/>
        </w:rPr>
        <w:t xml:space="preserve">řádově </w:t>
      </w:r>
      <w:r w:rsidR="00F219FD">
        <w:rPr>
          <w:rFonts w:cs="Times New Roman"/>
        </w:rPr>
        <w:t xml:space="preserve">desítky </w:t>
      </w:r>
      <w:r w:rsidR="00F43A83">
        <w:rPr>
          <w:rFonts w:cs="Times New Roman"/>
        </w:rPr>
        <w:t>rozhodnutí</w:t>
      </w:r>
      <w:r w:rsidR="00F219FD">
        <w:rPr>
          <w:rFonts w:cs="Times New Roman"/>
        </w:rPr>
        <w:t>, v</w:t>
      </w:r>
      <w:r w:rsidR="00F43A83">
        <w:rPr>
          <w:rFonts w:cs="Times New Roman"/>
        </w:rPr>
        <w:t xml:space="preserve"> </w:t>
      </w:r>
      <w:r w:rsidR="00F219FD">
        <w:rPr>
          <w:rFonts w:cs="Times New Roman"/>
        </w:rPr>
        <w:t xml:space="preserve">nichž trestní senáty </w:t>
      </w:r>
      <w:r w:rsidR="00F43A83">
        <w:rPr>
          <w:rFonts w:cs="Times New Roman"/>
        </w:rPr>
        <w:t xml:space="preserve">NS </w:t>
      </w:r>
      <w:r w:rsidR="00F219FD">
        <w:rPr>
          <w:rFonts w:cs="Times New Roman"/>
        </w:rPr>
        <w:t>aplikovaly unijní právo.</w:t>
      </w:r>
      <w:r w:rsidR="00F219FD">
        <w:rPr>
          <w:rStyle w:val="Znakapoznpodarou"/>
          <w:rFonts w:cs="Times New Roman"/>
        </w:rPr>
        <w:footnoteReference w:id="17"/>
      </w:r>
      <w:r w:rsidR="000F4BF7">
        <w:rPr>
          <w:rFonts w:cs="Times New Roman"/>
        </w:rPr>
        <w:t xml:space="preserve"> </w:t>
      </w:r>
      <w:r w:rsidR="00F43A83">
        <w:rPr>
          <w:rFonts w:cs="Times New Roman"/>
        </w:rPr>
        <w:t>Nejedná se však pouze o rozhodnutí, v nichž byly aplikovány nástroje přijaté v oblasti justiční spolupráce v trestních věcech s přeshraničním rozměrem,</w:t>
      </w:r>
      <w:r w:rsidR="00F43A83">
        <w:rPr>
          <w:rStyle w:val="Znakapoznpodarou"/>
          <w:rFonts w:cs="Times New Roman"/>
        </w:rPr>
        <w:footnoteReference w:id="18"/>
      </w:r>
      <w:r w:rsidR="00F43A83">
        <w:rPr>
          <w:rFonts w:cs="Times New Roman"/>
        </w:rPr>
        <w:t xml:space="preserve"> jak by se snad s ohledem na výše uvedené mohlo zdát. Naopak v</w:t>
      </w:r>
      <w:r w:rsidR="007747B9">
        <w:rPr>
          <w:rFonts w:cs="Times New Roman"/>
        </w:rPr>
        <w:t xml:space="preserve"> </w:t>
      </w:r>
      <w:r w:rsidR="00F43A83">
        <w:rPr>
          <w:rFonts w:cs="Times New Roman"/>
        </w:rPr>
        <w:t xml:space="preserve">řadě případů Nejvyšší soud aplikoval </w:t>
      </w:r>
      <w:r w:rsidR="007747B9">
        <w:rPr>
          <w:rFonts w:cs="Times New Roman"/>
        </w:rPr>
        <w:t xml:space="preserve">unijní </w:t>
      </w:r>
      <w:r w:rsidR="00F43A83">
        <w:rPr>
          <w:rFonts w:cs="Times New Roman"/>
        </w:rPr>
        <w:t>právní předpisy</w:t>
      </w:r>
      <w:r w:rsidR="007747B9">
        <w:rPr>
          <w:rFonts w:cs="Times New Roman"/>
        </w:rPr>
        <w:t>, ať už nařízení nebo směrnice, jež byly přijaty v rámci ostatních politik EU, např. v oblasti daní,</w:t>
      </w:r>
      <w:r w:rsidR="007747B9">
        <w:rPr>
          <w:rStyle w:val="Znakapoznpodarou"/>
          <w:rFonts w:cs="Times New Roman"/>
        </w:rPr>
        <w:footnoteReference w:id="19"/>
      </w:r>
      <w:r w:rsidR="007747B9">
        <w:rPr>
          <w:rFonts w:cs="Times New Roman"/>
        </w:rPr>
        <w:t xml:space="preserve"> ochrany životního prostředí,</w:t>
      </w:r>
      <w:r w:rsidR="007747B9">
        <w:rPr>
          <w:rStyle w:val="Znakapoznpodarou"/>
          <w:rFonts w:cs="Times New Roman"/>
        </w:rPr>
        <w:footnoteReference w:id="20"/>
      </w:r>
      <w:r w:rsidR="007747B9">
        <w:rPr>
          <w:rFonts w:cs="Times New Roman"/>
        </w:rPr>
        <w:t xml:space="preserve"> autorského práva,</w:t>
      </w:r>
      <w:r w:rsidR="007747B9">
        <w:rPr>
          <w:rStyle w:val="Znakapoznpodarou"/>
          <w:rFonts w:cs="Times New Roman"/>
        </w:rPr>
        <w:footnoteReference w:id="21"/>
      </w:r>
      <w:r w:rsidR="007747B9">
        <w:rPr>
          <w:rFonts w:cs="Times New Roman"/>
        </w:rPr>
        <w:t xml:space="preserve"> obchodního práva</w:t>
      </w:r>
      <w:r w:rsidR="007747B9">
        <w:rPr>
          <w:rStyle w:val="Znakapoznpodarou"/>
          <w:rFonts w:cs="Times New Roman"/>
        </w:rPr>
        <w:footnoteReference w:id="22"/>
      </w:r>
      <w:r w:rsidR="007747B9">
        <w:rPr>
          <w:rFonts w:cs="Times New Roman"/>
        </w:rPr>
        <w:t xml:space="preserve"> apod.</w:t>
      </w:r>
      <w:r w:rsidR="0075761E">
        <w:rPr>
          <w:rFonts w:cs="Times New Roman"/>
        </w:rPr>
        <w:t xml:space="preserve"> </w:t>
      </w:r>
      <w:r w:rsidR="00B152E2">
        <w:rPr>
          <w:rFonts w:cs="Times New Roman"/>
        </w:rPr>
        <w:t xml:space="preserve">K aplikaci unijního práva trestním soudem totiž může dojít i v případě, kdy </w:t>
      </w:r>
      <w:r w:rsidR="0075761E">
        <w:rPr>
          <w:rFonts w:cs="Times New Roman"/>
        </w:rPr>
        <w:t xml:space="preserve">porušený hmotněprávní předpis měl </w:t>
      </w:r>
      <w:r w:rsidR="00B152E2">
        <w:rPr>
          <w:rFonts w:cs="Times New Roman"/>
        </w:rPr>
        <w:t>svůj předobraz v právu EU.</w:t>
      </w:r>
    </w:p>
    <w:p w:rsidR="0000579D" w:rsidRDefault="00290F7E" w:rsidP="00CB6C35">
      <w:pPr>
        <w:ind w:firstLine="431"/>
        <w:rPr>
          <w:rFonts w:cs="Times New Roman"/>
        </w:rPr>
      </w:pPr>
      <w:r>
        <w:rPr>
          <w:rFonts w:cs="Times New Roman"/>
        </w:rPr>
        <w:t xml:space="preserve">Pokud jde o </w:t>
      </w:r>
      <w:r w:rsidR="006A0D48">
        <w:rPr>
          <w:rFonts w:cs="Times New Roman"/>
        </w:rPr>
        <w:t>rozhodovací</w:t>
      </w:r>
      <w:r w:rsidR="00B152E2">
        <w:rPr>
          <w:rFonts w:cs="Times New Roman"/>
        </w:rPr>
        <w:t xml:space="preserve"> činnost občanskoprávních a obchodních senátů Nejvyššího soudu</w:t>
      </w:r>
      <w:r>
        <w:rPr>
          <w:rFonts w:cs="Times New Roman"/>
        </w:rPr>
        <w:t xml:space="preserve">, zde již prakticky nenalezneme </w:t>
      </w:r>
      <w:r w:rsidR="0093100C">
        <w:rPr>
          <w:rFonts w:cs="Times New Roman"/>
        </w:rPr>
        <w:t>věcnou agendu</w:t>
      </w:r>
      <w:r>
        <w:rPr>
          <w:rFonts w:cs="Times New Roman"/>
        </w:rPr>
        <w:t>, která by nebyla</w:t>
      </w:r>
      <w:r w:rsidR="00B152E2">
        <w:rPr>
          <w:rFonts w:cs="Times New Roman"/>
        </w:rPr>
        <w:t xml:space="preserve"> </w:t>
      </w:r>
      <w:r w:rsidR="0093100C">
        <w:rPr>
          <w:rFonts w:cs="Times New Roman"/>
        </w:rPr>
        <w:t>alespoň z části dotčena evropskými právními předpisy. Svědčí o tom skutečnost, že prakticky všechny civilní senáty NS mají dnes již na s</w:t>
      </w:r>
      <w:r w:rsidR="00121748">
        <w:rPr>
          <w:rFonts w:cs="Times New Roman"/>
        </w:rPr>
        <w:t xml:space="preserve">vém kontě desítky rozhodnutí, v </w:t>
      </w:r>
      <w:r w:rsidR="0093100C">
        <w:rPr>
          <w:rFonts w:cs="Times New Roman"/>
        </w:rPr>
        <w:t xml:space="preserve">nichž bylo aplikováno právo EU. </w:t>
      </w:r>
      <w:r w:rsidR="009A2B37">
        <w:rPr>
          <w:rFonts w:cs="Times New Roman"/>
        </w:rPr>
        <w:t xml:space="preserve">Evropskými </w:t>
      </w:r>
      <w:r w:rsidR="0093100C" w:rsidRPr="009A2B37">
        <w:rPr>
          <w:rFonts w:cs="Times New Roman"/>
        </w:rPr>
        <w:t>směrnicemi je ovlivněno zejména právo obchodních společností,</w:t>
      </w:r>
      <w:r w:rsidR="009A2B37">
        <w:rPr>
          <w:rStyle w:val="Znakapoznpodarou"/>
          <w:rFonts w:cs="Times New Roman"/>
        </w:rPr>
        <w:footnoteReference w:id="23"/>
      </w:r>
      <w:r w:rsidR="0093100C" w:rsidRPr="009A2B37">
        <w:rPr>
          <w:rFonts w:cs="Times New Roman"/>
        </w:rPr>
        <w:t xml:space="preserve"> </w:t>
      </w:r>
      <w:r w:rsidR="00121748">
        <w:rPr>
          <w:rFonts w:cs="Times New Roman"/>
        </w:rPr>
        <w:t>spotřebitelské právo</w:t>
      </w:r>
      <w:r w:rsidR="009A2B37">
        <w:rPr>
          <w:rFonts w:cs="Times New Roman"/>
        </w:rPr>
        <w:t>,</w:t>
      </w:r>
      <w:r w:rsidR="009A2B37">
        <w:rPr>
          <w:rStyle w:val="Znakapoznpodarou"/>
          <w:rFonts w:cs="Times New Roman"/>
        </w:rPr>
        <w:footnoteReference w:id="24"/>
      </w:r>
      <w:r w:rsidR="009A2B37">
        <w:rPr>
          <w:rFonts w:cs="Times New Roman"/>
        </w:rPr>
        <w:t xml:space="preserve"> </w:t>
      </w:r>
      <w:r w:rsidR="00121748">
        <w:rPr>
          <w:rFonts w:cs="Times New Roman"/>
        </w:rPr>
        <w:t xml:space="preserve">právo </w:t>
      </w:r>
      <w:r w:rsidR="009A2B37">
        <w:rPr>
          <w:rFonts w:cs="Times New Roman"/>
        </w:rPr>
        <w:t>autorské</w:t>
      </w:r>
      <w:r w:rsidR="009A2B37">
        <w:rPr>
          <w:rStyle w:val="Znakapoznpodarou"/>
          <w:rFonts w:cs="Times New Roman"/>
        </w:rPr>
        <w:footnoteReference w:id="25"/>
      </w:r>
      <w:r w:rsidR="009A2B37">
        <w:rPr>
          <w:rFonts w:cs="Times New Roman"/>
        </w:rPr>
        <w:t xml:space="preserve"> a</w:t>
      </w:r>
      <w:r w:rsidR="0093100C" w:rsidRPr="009A2B37">
        <w:rPr>
          <w:rFonts w:cs="Times New Roman"/>
        </w:rPr>
        <w:t xml:space="preserve"> pracovní.</w:t>
      </w:r>
      <w:r w:rsidR="009A2B37">
        <w:rPr>
          <w:rStyle w:val="Znakapoznpodarou"/>
          <w:rFonts w:cs="Times New Roman"/>
        </w:rPr>
        <w:footnoteReference w:id="26"/>
      </w:r>
      <w:r w:rsidR="0093100C" w:rsidRPr="009A2B37">
        <w:rPr>
          <w:rFonts w:cs="Times New Roman"/>
        </w:rPr>
        <w:t xml:space="preserve"> Přímo použitelná nařízení pak upravují</w:t>
      </w:r>
      <w:r w:rsidR="00E247C4">
        <w:rPr>
          <w:rFonts w:cs="Times New Roman"/>
        </w:rPr>
        <w:t xml:space="preserve"> zejména</w:t>
      </w:r>
      <w:r w:rsidR="0093100C" w:rsidRPr="009A2B37">
        <w:rPr>
          <w:rFonts w:cs="Times New Roman"/>
        </w:rPr>
        <w:t xml:space="preserve"> oblast </w:t>
      </w:r>
      <w:r w:rsidR="0093100C" w:rsidRPr="009A2B37">
        <w:rPr>
          <w:rFonts w:cs="Times New Roman"/>
        </w:rPr>
        <w:lastRenderedPageBreak/>
        <w:t xml:space="preserve">justiční spolupráce </w:t>
      </w:r>
      <w:r w:rsidR="00E247C4">
        <w:rPr>
          <w:rFonts w:cs="Times New Roman"/>
        </w:rPr>
        <w:t xml:space="preserve">v </w:t>
      </w:r>
      <w:r w:rsidR="0093100C" w:rsidRPr="009A2B37">
        <w:rPr>
          <w:rFonts w:cs="Times New Roman"/>
        </w:rPr>
        <w:t>občanských a obchodních</w:t>
      </w:r>
      <w:r w:rsidR="00E247C4" w:rsidRPr="00E247C4">
        <w:rPr>
          <w:rFonts w:cs="Times New Roman"/>
        </w:rPr>
        <w:t xml:space="preserve"> </w:t>
      </w:r>
      <w:r w:rsidR="00E247C4" w:rsidRPr="009A2B37">
        <w:rPr>
          <w:rFonts w:cs="Times New Roman"/>
        </w:rPr>
        <w:t>věcech</w:t>
      </w:r>
      <w:r w:rsidR="0093100C" w:rsidRPr="009A2B37">
        <w:rPr>
          <w:rFonts w:cs="Times New Roman"/>
        </w:rPr>
        <w:t>.</w:t>
      </w:r>
      <w:r w:rsidR="009A2B37">
        <w:rPr>
          <w:rStyle w:val="Znakapoznpodarou"/>
          <w:rFonts w:cs="Times New Roman"/>
        </w:rPr>
        <w:footnoteReference w:id="27"/>
      </w:r>
      <w:r w:rsidR="0093100C">
        <w:rPr>
          <w:rFonts w:cs="Times New Roman"/>
        </w:rPr>
        <w:t xml:space="preserve"> </w:t>
      </w:r>
      <w:r w:rsidR="00C6710A">
        <w:rPr>
          <w:rFonts w:cs="Times New Roman"/>
        </w:rPr>
        <w:t>Občanskoprávní výseč práva</w:t>
      </w:r>
      <w:r w:rsidR="00121748">
        <w:rPr>
          <w:rFonts w:cs="Times New Roman"/>
        </w:rPr>
        <w:t xml:space="preserve">, která zatím </w:t>
      </w:r>
      <w:r w:rsidR="00C6710A">
        <w:rPr>
          <w:rFonts w:cs="Times New Roman"/>
        </w:rPr>
        <w:t xml:space="preserve">zjevně </w:t>
      </w:r>
      <w:r w:rsidR="00121748">
        <w:rPr>
          <w:rFonts w:cs="Times New Roman"/>
        </w:rPr>
        <w:t xml:space="preserve">není právem EU nijak </w:t>
      </w:r>
      <w:r w:rsidR="00C6710A">
        <w:rPr>
          <w:rFonts w:cs="Times New Roman"/>
        </w:rPr>
        <w:t>zvlášť</w:t>
      </w:r>
      <w:r w:rsidR="00121748">
        <w:rPr>
          <w:rFonts w:cs="Times New Roman"/>
        </w:rPr>
        <w:t xml:space="preserve"> </w:t>
      </w:r>
      <w:r w:rsidR="00C6710A">
        <w:rPr>
          <w:rFonts w:cs="Times New Roman"/>
        </w:rPr>
        <w:t xml:space="preserve">regulována, představuje oblast věcných práv, neboť z civilních senátů </w:t>
      </w:r>
      <w:r w:rsidR="00E86A0E">
        <w:rPr>
          <w:rFonts w:cs="Times New Roman"/>
        </w:rPr>
        <w:t xml:space="preserve">Nejvyššího soudu </w:t>
      </w:r>
      <w:r w:rsidR="00C6710A">
        <w:rPr>
          <w:rFonts w:cs="Times New Roman"/>
        </w:rPr>
        <w:t>je</w:t>
      </w:r>
      <w:r w:rsidR="00BE1177">
        <w:rPr>
          <w:rFonts w:cs="Times New Roman"/>
        </w:rPr>
        <w:t xml:space="preserve"> právě</w:t>
      </w:r>
      <w:r w:rsidR="00C6710A">
        <w:rPr>
          <w:rFonts w:cs="Times New Roman"/>
        </w:rPr>
        <w:t xml:space="preserve"> </w:t>
      </w:r>
      <w:proofErr w:type="spellStart"/>
      <w:r w:rsidR="00C6710A">
        <w:rPr>
          <w:rFonts w:cs="Times New Roman"/>
        </w:rPr>
        <w:t>věcněprávní</w:t>
      </w:r>
      <w:proofErr w:type="spellEnd"/>
      <w:r w:rsidR="00C6710A">
        <w:rPr>
          <w:rFonts w:cs="Times New Roman"/>
        </w:rPr>
        <w:t xml:space="preserve"> senát</w:t>
      </w:r>
      <w:r w:rsidR="00BE1177">
        <w:rPr>
          <w:rFonts w:cs="Times New Roman"/>
        </w:rPr>
        <w:t xml:space="preserve"> </w:t>
      </w:r>
      <w:r w:rsidR="00C6710A">
        <w:rPr>
          <w:rFonts w:cs="Times New Roman"/>
        </w:rPr>
        <w:t xml:space="preserve">tím, který </w:t>
      </w:r>
      <w:r w:rsidR="00BE1177">
        <w:rPr>
          <w:rFonts w:cs="Times New Roman"/>
        </w:rPr>
        <w:t>s unijním právem přichází do styku nejméně.</w:t>
      </w:r>
      <w:r w:rsidR="00BE1177">
        <w:rPr>
          <w:rStyle w:val="Znakapoznpodarou"/>
          <w:rFonts w:cs="Times New Roman"/>
        </w:rPr>
        <w:footnoteReference w:id="28"/>
      </w:r>
    </w:p>
    <w:p w:rsidR="001E7987" w:rsidRPr="001E7987" w:rsidRDefault="001E7987" w:rsidP="001E7987">
      <w:pPr>
        <w:ind w:firstLine="431"/>
        <w:rPr>
          <w:rFonts w:cs="Times New Roman"/>
        </w:rPr>
      </w:pPr>
    </w:p>
    <w:p w:rsidR="007B4398" w:rsidRDefault="007B4398" w:rsidP="007B4398">
      <w:pPr>
        <w:pStyle w:val="Odstavecseseznamem"/>
        <w:numPr>
          <w:ilvl w:val="1"/>
          <w:numId w:val="2"/>
        </w:numPr>
        <w:ind w:left="431" w:hanging="431"/>
        <w:rPr>
          <w:rFonts w:cs="Times New Roman"/>
          <w:b/>
          <w:i/>
        </w:rPr>
      </w:pPr>
      <w:r w:rsidRPr="003A48AE">
        <w:rPr>
          <w:rFonts w:cs="Times New Roman"/>
          <w:b/>
          <w:i/>
        </w:rPr>
        <w:t>Čistě vnitrostátní situace</w:t>
      </w:r>
    </w:p>
    <w:p w:rsidR="006A0D48" w:rsidRDefault="006A0D48" w:rsidP="007B4398">
      <w:pPr>
        <w:ind w:firstLine="0"/>
        <w:rPr>
          <w:rFonts w:cs="Times New Roman"/>
        </w:rPr>
      </w:pPr>
    </w:p>
    <w:p w:rsidR="007B4398" w:rsidRDefault="00BE1177" w:rsidP="00BE1177">
      <w:pPr>
        <w:ind w:firstLine="431"/>
        <w:rPr>
          <w:rFonts w:cs="Times New Roman"/>
        </w:rPr>
      </w:pPr>
      <w:r>
        <w:rPr>
          <w:rFonts w:cs="Times New Roman"/>
        </w:rPr>
        <w:t>S</w:t>
      </w:r>
      <w:r w:rsidR="00D16CA7">
        <w:rPr>
          <w:rFonts w:cs="Times New Roman"/>
        </w:rPr>
        <w:t xml:space="preserve"> doktrínou </w:t>
      </w:r>
      <w:r w:rsidR="00E86A0E">
        <w:rPr>
          <w:rFonts w:cs="Times New Roman"/>
        </w:rPr>
        <w:t>Soudního dvora EU</w:t>
      </w:r>
      <w:r w:rsidR="00D16CA7">
        <w:rPr>
          <w:rFonts w:cs="Times New Roman"/>
        </w:rPr>
        <w:t xml:space="preserve"> týkající se</w:t>
      </w:r>
      <w:r>
        <w:rPr>
          <w:rFonts w:cs="Times New Roman"/>
        </w:rPr>
        <w:t xml:space="preserve"> tzv. čistě vnitrostátní situace</w:t>
      </w:r>
      <w:r w:rsidR="00D16CA7">
        <w:rPr>
          <w:rFonts w:cs="Times New Roman"/>
        </w:rPr>
        <w:t>, tj. s případy, které nevykazují žádnou spojitost s jakoukoliv ze situací upravených právem EU, a jejichž všechny relevantní prvky se nacházejí pouze uvnitř jednoho státu,</w:t>
      </w:r>
      <w:r w:rsidR="006A7588">
        <w:rPr>
          <w:rStyle w:val="Znakapoznpodarou"/>
          <w:rFonts w:cs="Times New Roman"/>
        </w:rPr>
        <w:footnoteReference w:id="29"/>
      </w:r>
      <w:r w:rsidR="00D16CA7">
        <w:rPr>
          <w:rFonts w:cs="Times New Roman"/>
        </w:rPr>
        <w:t xml:space="preserve"> Nejvyšší soud </w:t>
      </w:r>
      <w:r w:rsidR="00384F04">
        <w:rPr>
          <w:rFonts w:cs="Times New Roman"/>
        </w:rPr>
        <w:t>nejčastěji přichází do styku v</w:t>
      </w:r>
      <w:r w:rsidR="0042764B">
        <w:rPr>
          <w:rFonts w:cs="Times New Roman"/>
        </w:rPr>
        <w:t xml:space="preserve"> </w:t>
      </w:r>
      <w:r w:rsidR="00384F04">
        <w:rPr>
          <w:rFonts w:cs="Times New Roman"/>
        </w:rPr>
        <w:t>oblasti justiční spolupráce v</w:t>
      </w:r>
      <w:r w:rsidR="0042764B">
        <w:rPr>
          <w:rFonts w:cs="Times New Roman"/>
        </w:rPr>
        <w:t xml:space="preserve"> </w:t>
      </w:r>
      <w:r w:rsidR="00384F04">
        <w:rPr>
          <w:rFonts w:cs="Times New Roman"/>
        </w:rPr>
        <w:t>občanských a obchodních věcech</w:t>
      </w:r>
      <w:r w:rsidR="00E86A0E">
        <w:rPr>
          <w:rFonts w:cs="Times New Roman"/>
        </w:rPr>
        <w:t>.</w:t>
      </w:r>
      <w:r w:rsidR="00D16CA7">
        <w:rPr>
          <w:rStyle w:val="Znakapoznpodarou"/>
          <w:rFonts w:cs="Times New Roman"/>
        </w:rPr>
        <w:footnoteReference w:id="30"/>
      </w:r>
      <w:r w:rsidR="00384F04">
        <w:rPr>
          <w:rFonts w:cs="Times New Roman"/>
        </w:rPr>
        <w:t xml:space="preserve"> </w:t>
      </w:r>
      <w:r w:rsidR="0042764B">
        <w:rPr>
          <w:rFonts w:cs="Times New Roman"/>
        </w:rPr>
        <w:t>Pochopitelně v situaci, kdy se všechny relevantní prvky rozhodovaného sporu nacházejí tak říkajíc na území ČR, se unijní předpisy</w:t>
      </w:r>
      <w:r w:rsidR="00D57F41">
        <w:rPr>
          <w:rFonts w:cs="Times New Roman"/>
        </w:rPr>
        <w:t xml:space="preserve"> přijaté v rámci justiční spolupráce v občanských a obchodních věcech</w:t>
      </w:r>
      <w:r w:rsidR="00351D60">
        <w:rPr>
          <w:rFonts w:cs="Times New Roman"/>
        </w:rPr>
        <w:t xml:space="preserve"> </w:t>
      </w:r>
      <w:r w:rsidR="0042764B">
        <w:rPr>
          <w:rFonts w:cs="Times New Roman"/>
        </w:rPr>
        <w:t>neuplatní.</w:t>
      </w:r>
      <w:r w:rsidR="0042764B">
        <w:rPr>
          <w:rStyle w:val="Znakapoznpodarou"/>
          <w:rFonts w:cs="Times New Roman"/>
        </w:rPr>
        <w:footnoteReference w:id="31"/>
      </w:r>
    </w:p>
    <w:p w:rsidR="006A0D48" w:rsidRPr="007B4398" w:rsidRDefault="006A0D48" w:rsidP="007B4398">
      <w:pPr>
        <w:ind w:firstLine="0"/>
        <w:rPr>
          <w:rFonts w:cs="Times New Roman"/>
          <w:b/>
          <w:i/>
        </w:rPr>
      </w:pPr>
    </w:p>
    <w:p w:rsidR="007B4398" w:rsidRDefault="007B4398" w:rsidP="007B4398">
      <w:pPr>
        <w:pStyle w:val="Odstavecseseznamem"/>
        <w:numPr>
          <w:ilvl w:val="1"/>
          <w:numId w:val="2"/>
        </w:numPr>
        <w:ind w:left="431" w:hanging="431"/>
        <w:rPr>
          <w:rFonts w:cs="Times New Roman"/>
          <w:b/>
          <w:i/>
        </w:rPr>
      </w:pPr>
      <w:r w:rsidRPr="003A48AE">
        <w:rPr>
          <w:rFonts w:cs="Times New Roman"/>
          <w:b/>
          <w:i/>
        </w:rPr>
        <w:t>Temporální otázky</w:t>
      </w:r>
    </w:p>
    <w:p w:rsidR="00451717" w:rsidRDefault="00451717" w:rsidP="006A0D48">
      <w:pPr>
        <w:pStyle w:val="Odstavecseseznamem"/>
        <w:ind w:left="431" w:firstLine="0"/>
        <w:rPr>
          <w:rFonts w:cs="Times New Roman"/>
        </w:rPr>
      </w:pPr>
    </w:p>
    <w:p w:rsidR="00451717" w:rsidRDefault="00451717" w:rsidP="00404C51">
      <w:pPr>
        <w:ind w:firstLine="431"/>
        <w:rPr>
          <w:rFonts w:cs="Times New Roman"/>
        </w:rPr>
      </w:pPr>
      <w:r w:rsidRPr="00404C51">
        <w:rPr>
          <w:rFonts w:cs="Times New Roman"/>
        </w:rPr>
        <w:t>Otázk</w:t>
      </w:r>
      <w:r w:rsidR="00881E5D">
        <w:rPr>
          <w:rFonts w:cs="Times New Roman"/>
        </w:rPr>
        <w:t>o</w:t>
      </w:r>
      <w:r w:rsidRPr="00404C51">
        <w:rPr>
          <w:rFonts w:cs="Times New Roman"/>
        </w:rPr>
        <w:t xml:space="preserve">u, se kterou se </w:t>
      </w:r>
      <w:r w:rsidR="00404C51" w:rsidRPr="00404C51">
        <w:rPr>
          <w:rFonts w:cs="Times New Roman"/>
        </w:rPr>
        <w:t xml:space="preserve">po </w:t>
      </w:r>
      <w:r w:rsidR="00881E5D">
        <w:rPr>
          <w:rFonts w:cs="Times New Roman"/>
        </w:rPr>
        <w:t>vstupu</w:t>
      </w:r>
      <w:r w:rsidRPr="00404C51">
        <w:rPr>
          <w:rFonts w:cs="Times New Roman"/>
        </w:rPr>
        <w:t xml:space="preserve"> </w:t>
      </w:r>
      <w:r w:rsidR="00404C51">
        <w:rPr>
          <w:rFonts w:cs="Times New Roman"/>
        </w:rPr>
        <w:t xml:space="preserve">do Evropské unie </w:t>
      </w:r>
      <w:r w:rsidR="00404C51" w:rsidRPr="00404C51">
        <w:rPr>
          <w:rFonts w:cs="Times New Roman"/>
        </w:rPr>
        <w:t xml:space="preserve">musely </w:t>
      </w:r>
      <w:r w:rsidRPr="00404C51">
        <w:rPr>
          <w:rFonts w:cs="Times New Roman"/>
        </w:rPr>
        <w:t>vypořádat</w:t>
      </w:r>
      <w:r w:rsidR="00881E5D">
        <w:rPr>
          <w:rFonts w:cs="Times New Roman"/>
        </w:rPr>
        <w:t xml:space="preserve"> všechny</w:t>
      </w:r>
      <w:r w:rsidR="00404C51">
        <w:rPr>
          <w:rFonts w:cs="Times New Roman"/>
        </w:rPr>
        <w:t xml:space="preserve"> </w:t>
      </w:r>
      <w:r w:rsidRPr="00404C51">
        <w:rPr>
          <w:rFonts w:cs="Times New Roman"/>
        </w:rPr>
        <w:t xml:space="preserve">soudy </w:t>
      </w:r>
      <w:r w:rsidR="00881E5D">
        <w:rPr>
          <w:rFonts w:cs="Times New Roman"/>
        </w:rPr>
        <w:t>v nových</w:t>
      </w:r>
      <w:r w:rsidRPr="00404C51">
        <w:rPr>
          <w:rFonts w:cs="Times New Roman"/>
        </w:rPr>
        <w:t xml:space="preserve"> členských</w:t>
      </w:r>
      <w:r w:rsidR="00404C51" w:rsidRPr="00404C51">
        <w:rPr>
          <w:rFonts w:cs="Times New Roman"/>
        </w:rPr>
        <w:t xml:space="preserve"> </w:t>
      </w:r>
      <w:r w:rsidRPr="00404C51">
        <w:rPr>
          <w:rFonts w:cs="Times New Roman"/>
        </w:rPr>
        <w:t>stát</w:t>
      </w:r>
      <w:r w:rsidR="00881E5D">
        <w:rPr>
          <w:rFonts w:cs="Times New Roman"/>
        </w:rPr>
        <w:t>ech, byla</w:t>
      </w:r>
      <w:r w:rsidR="00404C51">
        <w:rPr>
          <w:rFonts w:cs="Times New Roman"/>
        </w:rPr>
        <w:t xml:space="preserve"> problematika</w:t>
      </w:r>
      <w:r w:rsidRPr="00404C51">
        <w:rPr>
          <w:rFonts w:cs="Times New Roman"/>
        </w:rPr>
        <w:t xml:space="preserve"> </w:t>
      </w:r>
      <w:r w:rsidR="00404C51" w:rsidRPr="00404C51">
        <w:rPr>
          <w:rFonts w:cs="Times New Roman"/>
        </w:rPr>
        <w:t>časové působnosti unijního práva</w:t>
      </w:r>
      <w:r w:rsidR="00881E5D">
        <w:rPr>
          <w:rFonts w:cs="Times New Roman"/>
        </w:rPr>
        <w:t>, tj. případné omezení jeho účinků v případě sporů, jejichž skutkové okolnosti se odehrály před vstupem ČR do EU.</w:t>
      </w:r>
      <w:r w:rsidR="00274473">
        <w:rPr>
          <w:rFonts w:cs="Times New Roman"/>
        </w:rPr>
        <w:t xml:space="preserve"> Nutno podotknout, že Soudní dvůr Evropské unie vnitrostátním soudům členských států řešení těchto sporů nijak neulehčil, když shledal, že v těchto případech nemá pravomoc k vykládání práva EU v rámci řízení o předběžné otázce.</w:t>
      </w:r>
      <w:r w:rsidR="00274473">
        <w:rPr>
          <w:rStyle w:val="Znakapoznpodarou"/>
          <w:rFonts w:cs="Times New Roman"/>
        </w:rPr>
        <w:footnoteReference w:id="32"/>
      </w:r>
      <w:r w:rsidR="00470B15">
        <w:rPr>
          <w:rFonts w:cs="Times New Roman"/>
        </w:rPr>
        <w:t xml:space="preserve"> Jedním z neblahých důsledků přijetí této judikatury SDEU pak byla skutečnost, že </w:t>
      </w:r>
      <w:r w:rsidR="00470B15" w:rsidRPr="00470B15">
        <w:rPr>
          <w:rFonts w:cs="Times New Roman"/>
          <w:i/>
        </w:rPr>
        <w:t xml:space="preserve">„ne všichni soudci nových členských států byli schopni rozpoznat, že rozhodnutí ve věci </w:t>
      </w:r>
      <w:proofErr w:type="spellStart"/>
      <w:r w:rsidR="00470B15" w:rsidRPr="00470B15">
        <w:rPr>
          <w:rFonts w:cs="Times New Roman"/>
        </w:rPr>
        <w:t>Ynos</w:t>
      </w:r>
      <w:proofErr w:type="spellEnd"/>
      <w:r w:rsidR="00470B15" w:rsidRPr="00470B15">
        <w:rPr>
          <w:rFonts w:cs="Times New Roman"/>
          <w:i/>
        </w:rPr>
        <w:t xml:space="preserve"> se týkalo pouze a výlučně příslušnosti Soudního dvora k</w:t>
      </w:r>
      <w:r w:rsidR="00193D97">
        <w:rPr>
          <w:rFonts w:cs="Times New Roman"/>
          <w:i/>
        </w:rPr>
        <w:t xml:space="preserve"> </w:t>
      </w:r>
      <w:r w:rsidR="00470B15" w:rsidRPr="00470B15">
        <w:rPr>
          <w:rFonts w:cs="Times New Roman"/>
          <w:i/>
        </w:rPr>
        <w:t>rozhodování pře</w:t>
      </w:r>
      <w:r w:rsidR="006D2106">
        <w:rPr>
          <w:rFonts w:cs="Times New Roman"/>
          <w:i/>
        </w:rPr>
        <w:t xml:space="preserve">dběžných otázek pocházejících z </w:t>
      </w:r>
      <w:r w:rsidR="00470B15" w:rsidRPr="00470B15">
        <w:rPr>
          <w:rFonts w:cs="Times New Roman"/>
          <w:i/>
        </w:rPr>
        <w:t>nových členských států</w:t>
      </w:r>
      <w:r w:rsidR="00193D97">
        <w:rPr>
          <w:rFonts w:cs="Times New Roman"/>
          <w:i/>
        </w:rPr>
        <w:t>,</w:t>
      </w:r>
      <w:r w:rsidR="00470B15" w:rsidRPr="00470B15">
        <w:rPr>
          <w:rFonts w:cs="Times New Roman"/>
          <w:i/>
        </w:rPr>
        <w:t>“</w:t>
      </w:r>
      <w:r w:rsidR="00193D97">
        <w:rPr>
          <w:rFonts w:cs="Times New Roman"/>
        </w:rPr>
        <w:t xml:space="preserve"> a nikoliv tedy samotné aplikace práva EU </w:t>
      </w:r>
      <w:r w:rsidR="006D2106">
        <w:rPr>
          <w:rFonts w:cs="Times New Roman"/>
        </w:rPr>
        <w:t>v</w:t>
      </w:r>
      <w:r w:rsidR="00B82385">
        <w:rPr>
          <w:rFonts w:cs="Times New Roman"/>
        </w:rPr>
        <w:t xml:space="preserve"> </w:t>
      </w:r>
      <w:r w:rsidR="006D2106">
        <w:rPr>
          <w:rFonts w:cs="Times New Roman"/>
        </w:rPr>
        <w:t>předmětných sporech.</w:t>
      </w:r>
      <w:r w:rsidR="00470B15" w:rsidRPr="00193D97">
        <w:rPr>
          <w:rStyle w:val="Znakapoznpodarou"/>
          <w:rFonts w:cs="Times New Roman"/>
        </w:rPr>
        <w:footnoteReference w:id="33"/>
      </w:r>
    </w:p>
    <w:p w:rsidR="00517EA0" w:rsidRDefault="00B82385" w:rsidP="00B82385">
      <w:pPr>
        <w:ind w:firstLine="431"/>
        <w:rPr>
          <w:rFonts w:cs="Times New Roman"/>
        </w:rPr>
      </w:pPr>
      <w:r>
        <w:rPr>
          <w:rFonts w:cs="Times New Roman"/>
        </w:rPr>
        <w:lastRenderedPageBreak/>
        <w:t>Nejvyšší soud, obdobně jako Nejvyšší správní soud,</w:t>
      </w:r>
      <w:r>
        <w:rPr>
          <w:rStyle w:val="Znakapoznpodarou"/>
          <w:rFonts w:cs="Times New Roman"/>
        </w:rPr>
        <w:footnoteReference w:id="34"/>
      </w:r>
      <w:r>
        <w:rPr>
          <w:rFonts w:cs="Times New Roman"/>
        </w:rPr>
        <w:t xml:space="preserve"> ve své judikatuře předcházející </w:t>
      </w:r>
      <w:r w:rsidRPr="00934D8B">
        <w:rPr>
          <w:rFonts w:cs="Times New Roman"/>
        </w:rPr>
        <w:t>vstupu do Evropské unie možnost aplikovat</w:t>
      </w:r>
      <w:r w:rsidR="00C5241A">
        <w:rPr>
          <w:rFonts w:cs="Times New Roman"/>
        </w:rPr>
        <w:t xml:space="preserve"> bez dalšího</w:t>
      </w:r>
      <w:r w:rsidRPr="00934D8B">
        <w:rPr>
          <w:rFonts w:cs="Times New Roman"/>
        </w:rPr>
        <w:t xml:space="preserve"> unijní právo </w:t>
      </w:r>
      <w:r w:rsidR="00934D8B">
        <w:rPr>
          <w:rFonts w:cs="Times New Roman"/>
        </w:rPr>
        <w:t xml:space="preserve">ještě </w:t>
      </w:r>
      <w:r w:rsidRPr="00934D8B">
        <w:rPr>
          <w:rFonts w:cs="Times New Roman"/>
        </w:rPr>
        <w:t>v</w:t>
      </w:r>
      <w:r w:rsidR="00934D8B">
        <w:rPr>
          <w:rFonts w:cs="Times New Roman"/>
        </w:rPr>
        <w:t xml:space="preserve"> této</w:t>
      </w:r>
      <w:r w:rsidRPr="00934D8B">
        <w:rPr>
          <w:rFonts w:cs="Times New Roman"/>
        </w:rPr>
        <w:t xml:space="preserve"> předvstupní fázi </w:t>
      </w:r>
      <w:r w:rsidR="00517EA0">
        <w:rPr>
          <w:rFonts w:cs="Times New Roman"/>
        </w:rPr>
        <w:t xml:space="preserve">v podstatě </w:t>
      </w:r>
      <w:r w:rsidRPr="00934D8B">
        <w:rPr>
          <w:rFonts w:cs="Times New Roman"/>
        </w:rPr>
        <w:t>odmítl</w:t>
      </w:r>
      <w:r w:rsidR="00C5241A">
        <w:rPr>
          <w:rFonts w:cs="Times New Roman"/>
        </w:rPr>
        <w:t>.</w:t>
      </w:r>
      <w:r w:rsidR="00517EA0">
        <w:rPr>
          <w:rFonts w:cs="Times New Roman"/>
        </w:rPr>
        <w:t xml:space="preserve"> K otázce použití práva EU jako </w:t>
      </w:r>
      <w:r w:rsidR="00517EA0" w:rsidRPr="00517EA0">
        <w:t>výkladového vodítka pro interpretaci aproximované vnitrostátní legislativy</w:t>
      </w:r>
      <w:r w:rsidR="00517EA0" w:rsidRPr="00517EA0">
        <w:rPr>
          <w:rFonts w:cs="Times New Roman"/>
        </w:rPr>
        <w:t xml:space="preserve"> </w:t>
      </w:r>
      <w:r w:rsidR="00517EA0">
        <w:rPr>
          <w:rFonts w:cs="Times New Roman"/>
        </w:rPr>
        <w:t>pak NS zaujal poněkud ambivalentní postoj.</w:t>
      </w:r>
    </w:p>
    <w:p w:rsidR="007B4398" w:rsidRPr="00B82385" w:rsidRDefault="00517EA0" w:rsidP="00B82385">
      <w:pPr>
        <w:ind w:firstLine="431"/>
        <w:rPr>
          <w:rFonts w:cs="Times New Roman"/>
        </w:rPr>
      </w:pPr>
      <w:r>
        <w:t>Nejvyšší soud</w:t>
      </w:r>
      <w:r w:rsidR="00B82385" w:rsidRPr="00934D8B">
        <w:t xml:space="preserve"> </w:t>
      </w:r>
      <w:r w:rsidR="007B4398" w:rsidRPr="00934D8B">
        <w:t xml:space="preserve">se v období </w:t>
      </w:r>
      <w:r w:rsidR="00934D8B" w:rsidRPr="00934D8B">
        <w:t>před přistoupením</w:t>
      </w:r>
      <w:r w:rsidR="007B4398" w:rsidRPr="00934D8B">
        <w:t xml:space="preserve"> </w:t>
      </w:r>
      <w:r w:rsidR="00934D8B" w:rsidRPr="00934D8B">
        <w:t xml:space="preserve">České republiky </w:t>
      </w:r>
      <w:r w:rsidR="007B4398" w:rsidRPr="00934D8B">
        <w:t xml:space="preserve">do EU problematiky </w:t>
      </w:r>
      <w:r w:rsidR="00934D8B" w:rsidRPr="00934D8B">
        <w:t>evropského</w:t>
      </w:r>
      <w:r w:rsidR="007B4398" w:rsidRPr="00934D8B">
        <w:t xml:space="preserve"> práva </w:t>
      </w:r>
      <w:r w:rsidR="00934D8B" w:rsidRPr="00934D8B">
        <w:t>dotknul</w:t>
      </w:r>
      <w:r w:rsidR="00934D8B">
        <w:t xml:space="preserve"> přinejmenším</w:t>
      </w:r>
      <w:r w:rsidR="00934D8B" w:rsidRPr="00934D8B">
        <w:t xml:space="preserve"> ve dvou rozhodnutích. Ve věci</w:t>
      </w:r>
      <w:r w:rsidR="007B4398" w:rsidRPr="00934D8B">
        <w:t xml:space="preserve">, </w:t>
      </w:r>
      <w:r w:rsidR="00934D8B" w:rsidRPr="00934D8B">
        <w:t>která se týkala</w:t>
      </w:r>
      <w:r w:rsidR="007B4398" w:rsidRPr="00934D8B">
        <w:t xml:space="preserve"> otázkou prodej</w:t>
      </w:r>
      <w:r w:rsidR="00934D8B">
        <w:t>e</w:t>
      </w:r>
      <w:r w:rsidR="007B4398" w:rsidRPr="00934D8B">
        <w:t xml:space="preserve"> předraženého spotřebního zboží dealery při tzv. „kulturních výletech“</w:t>
      </w:r>
      <w:r w:rsidR="00934D8B" w:rsidRPr="00934D8B">
        <w:t>,</w:t>
      </w:r>
      <w:r w:rsidR="00934D8B" w:rsidRPr="00934D8B">
        <w:rPr>
          <w:rStyle w:val="Znakapoznpodarou"/>
        </w:rPr>
        <w:footnoteReference w:id="35"/>
      </w:r>
      <w:r w:rsidR="007B4398" w:rsidRPr="00934D8B">
        <w:t xml:space="preserve"> přitom </w:t>
      </w:r>
      <w:r w:rsidR="00934D8B" w:rsidRPr="00934D8B">
        <w:t xml:space="preserve">odmítl </w:t>
      </w:r>
      <w:r w:rsidR="007B4398" w:rsidRPr="00934D8B">
        <w:t>argumentaci dovolatele, podle něhož obsah předmětné kupní smlouvy nebyl v souladu s dobrými mravy podle § 39 občanského zákoníku,</w:t>
      </w:r>
      <w:r w:rsidR="007B4398" w:rsidRPr="00934D8B">
        <w:rPr>
          <w:rStyle w:val="Znakapoznpodarou"/>
        </w:rPr>
        <w:footnoteReference w:id="36"/>
      </w:r>
      <w:r w:rsidR="00934D8B" w:rsidRPr="00934D8B">
        <w:t xml:space="preserve"> </w:t>
      </w:r>
      <w:r w:rsidR="007B4398" w:rsidRPr="00934D8B">
        <w:t>neboť byla uzavřena mimo ob</w:t>
      </w:r>
      <w:r w:rsidR="00934D8B" w:rsidRPr="00934D8B">
        <w:t xml:space="preserve">chodní provozovnu prodávajícího </w:t>
      </w:r>
      <w:r w:rsidR="007B4398" w:rsidRPr="00934D8B">
        <w:t>a nedává kupu</w:t>
      </w:r>
      <w:r w:rsidR="00934D8B" w:rsidRPr="00934D8B">
        <w:t xml:space="preserve">jícímu možnost jejího zrušení v </w:t>
      </w:r>
      <w:r w:rsidR="007B4398" w:rsidRPr="00934D8B">
        <w:t>určené časové lhůtě bez dalších sankcí. Dovolatel přitom poukázal na skutečnost, že by by</w:t>
      </w:r>
      <w:r w:rsidR="00934D8B" w:rsidRPr="00934D8B">
        <w:t xml:space="preserve">lo vhodné při posouzení souladu </w:t>
      </w:r>
      <w:r w:rsidR="007B4398" w:rsidRPr="00934D8B">
        <w:t>typových smluv s dobrými</w:t>
      </w:r>
      <w:r w:rsidR="00934D8B" w:rsidRPr="00934D8B">
        <w:t xml:space="preserve"> mravy využít právní praxi členských zemí EU, které mají oproti ČR s </w:t>
      </w:r>
      <w:r w:rsidR="007B4398" w:rsidRPr="00934D8B">
        <w:t xml:space="preserve">předmětnou problematikou rozsáhlé zkušenosti, přičemž odkázal na příslušné </w:t>
      </w:r>
      <w:r w:rsidR="00934D8B" w:rsidRPr="00934D8B">
        <w:t xml:space="preserve">unijní </w:t>
      </w:r>
      <w:r w:rsidR="007B4398" w:rsidRPr="00934D8B">
        <w:t>směrnice.</w:t>
      </w:r>
      <w:r w:rsidR="007B4398" w:rsidRPr="00934D8B">
        <w:rPr>
          <w:rStyle w:val="Znakapoznpodarou"/>
        </w:rPr>
        <w:footnoteReference w:id="37"/>
      </w:r>
      <w:r w:rsidR="007B4398" w:rsidRPr="005F1796">
        <w:rPr>
          <w:color w:val="1F497D" w:themeColor="text2"/>
        </w:rPr>
        <w:t xml:space="preserve"> </w:t>
      </w:r>
    </w:p>
    <w:p w:rsidR="007B4398" w:rsidRPr="00934D8B" w:rsidRDefault="007B4398" w:rsidP="007B4398">
      <w:r w:rsidRPr="00934D8B">
        <w:t xml:space="preserve">Nejvyšší soud </w:t>
      </w:r>
      <w:r w:rsidR="00934D8B" w:rsidRPr="00934D8B">
        <w:t>v této souvislost k</w:t>
      </w:r>
      <w:r w:rsidRPr="00934D8B">
        <w:t xml:space="preserve"> argumentaci evropským právem </w:t>
      </w:r>
      <w:r w:rsidR="00934D8B" w:rsidRPr="00934D8B">
        <w:t>uvedl</w:t>
      </w:r>
      <w:r w:rsidRPr="00934D8B">
        <w:t xml:space="preserve">: </w:t>
      </w:r>
      <w:r w:rsidRPr="00934D8B">
        <w:rPr>
          <w:i/>
        </w:rPr>
        <w:t>„[P]</w:t>
      </w:r>
      <w:proofErr w:type="spellStart"/>
      <w:r w:rsidRPr="00934D8B">
        <w:rPr>
          <w:i/>
        </w:rPr>
        <w:t>roblematika</w:t>
      </w:r>
      <w:proofErr w:type="spellEnd"/>
      <w:r w:rsidRPr="00934D8B">
        <w:rPr>
          <w:i/>
        </w:rPr>
        <w:t xml:space="preserve">, kterou dovolatel nastoluje k řešení, nemůže mít pro rozhodnutí odvolacího soudu zásadní právní význam, neboť platnost kupní </w:t>
      </w:r>
      <w:proofErr w:type="gramStart"/>
      <w:r w:rsidRPr="00934D8B">
        <w:rPr>
          <w:i/>
        </w:rPr>
        <w:t>smlouvy (...) uzavřené</w:t>
      </w:r>
      <w:proofErr w:type="gramEnd"/>
      <w:r w:rsidRPr="00934D8B">
        <w:rPr>
          <w:i/>
        </w:rPr>
        <w:t xml:space="preserve"> mezi účastníky dne 31. 8. 1993 je třeba posuzovat podle občanského zákoníku ve znění účinném v té době, jak správně učinily soudy obou stupňů, a nikoliv podle právních předpisů, či směrnic přijatých v zemích Evropského společenství, jejichž členem Česká republika v době uzavření tohoto právního úkonu nebyla (a není ani doposud), takže jimi nemohla být vázána. Závaznost norem, na něž dovolatel poukazuje ve svém dovolání, nevyplývá pro ČR ani ze žádného ustanovení Evropské dohody zakládající přidružení mezi ČR na jedné straně a Evropskými společenstvími a jejich členskými státy na straně </w:t>
      </w:r>
      <w:proofErr w:type="gramStart"/>
      <w:r w:rsidRPr="00934D8B">
        <w:rPr>
          <w:i/>
        </w:rPr>
        <w:t>druhé (...), jak</w:t>
      </w:r>
      <w:proofErr w:type="gramEnd"/>
      <w:r w:rsidRPr="00934D8B">
        <w:rPr>
          <w:i/>
        </w:rPr>
        <w:t xml:space="preserve"> odvolací soud dovodil. Otázka potřeby sjednocování právní praxe uplatňované v České republice s právní praxí Evropského společenství nabývá sice v současné době v souvislosti se snahou ČR o členství v tomto společenství na aktuálnosti, jak je všeobecně známo, avšak na uvedených závěrech to nemůže nic změnit.“</w:t>
      </w:r>
      <w:r w:rsidRPr="00934D8B">
        <w:rPr>
          <w:rStyle w:val="Znakapoznpodarou"/>
        </w:rPr>
        <w:footnoteReference w:id="38"/>
      </w:r>
    </w:p>
    <w:p w:rsidR="007B4398" w:rsidRPr="00C5241A" w:rsidRDefault="007B4398" w:rsidP="007B4398">
      <w:r w:rsidRPr="00C5241A">
        <w:lastRenderedPageBreak/>
        <w:t xml:space="preserve">Nejvyšší soud tak v tomto případě argumenty </w:t>
      </w:r>
      <w:r w:rsidR="00934D8B" w:rsidRPr="00C5241A">
        <w:t>unijním</w:t>
      </w:r>
      <w:r w:rsidRPr="00C5241A">
        <w:t xml:space="preserve"> právem, které by se mohly v předvstupní fázi do českého práva promítnout prostřednictvím obecných klauzulí, odmítl.</w:t>
      </w:r>
      <w:r w:rsidRPr="00C5241A">
        <w:rPr>
          <w:rStyle w:val="Znakapoznpodarou"/>
        </w:rPr>
        <w:footnoteReference w:id="39"/>
      </w:r>
      <w:r w:rsidR="006D2106" w:rsidRPr="00C5241A">
        <w:t xml:space="preserve"> </w:t>
      </w:r>
      <w:r w:rsidRPr="00C5241A">
        <w:t xml:space="preserve"> </w:t>
      </w:r>
      <w:r w:rsidR="00C5241A" w:rsidRPr="00C5241A">
        <w:t xml:space="preserve">Podle některých autorů </w:t>
      </w:r>
      <w:r w:rsidRPr="00C5241A">
        <w:t xml:space="preserve">přitom </w:t>
      </w:r>
      <w:r w:rsidR="00C5241A" w:rsidRPr="00C5241A">
        <w:t xml:space="preserve">nebyl </w:t>
      </w:r>
      <w:r w:rsidRPr="00C5241A">
        <w:t xml:space="preserve">ochoten </w:t>
      </w:r>
      <w:r w:rsidRPr="00C5241A">
        <w:rPr>
          <w:i/>
        </w:rPr>
        <w:t>„rozliš</w:t>
      </w:r>
      <w:r w:rsidR="00C5241A" w:rsidRPr="00C5241A">
        <w:rPr>
          <w:i/>
        </w:rPr>
        <w:t>it formálně závazné argumenty a </w:t>
      </w:r>
      <w:r w:rsidRPr="00C5241A">
        <w:rPr>
          <w:i/>
        </w:rPr>
        <w:t xml:space="preserve">argumenty působící slabší normativní silou, </w:t>
      </w:r>
      <w:proofErr w:type="spellStart"/>
      <w:r w:rsidRPr="00C5241A">
        <w:rPr>
          <w:i/>
        </w:rPr>
        <w:t>eventuelně</w:t>
      </w:r>
      <w:proofErr w:type="spellEnd"/>
      <w:r w:rsidRPr="00C5241A">
        <w:rPr>
          <w:i/>
        </w:rPr>
        <w:t xml:space="preserve"> toliko silou přesvědčivosti, které nicméně mohou vyplnit neurčité klauzule typu občanskoprávních dobrých mravů určitějším, a zejména racionálním obsahem.“</w:t>
      </w:r>
      <w:r w:rsidRPr="00C5241A">
        <w:rPr>
          <w:rStyle w:val="Znakapoznpodarou"/>
        </w:rPr>
        <w:footnoteReference w:id="40"/>
      </w:r>
    </w:p>
    <w:p w:rsidR="007B4398" w:rsidRPr="00721D84" w:rsidRDefault="007B4398" w:rsidP="007B4398">
      <w:r w:rsidRPr="00721D84">
        <w:t xml:space="preserve">Prvním případem, v němž Nejvyšší soud skutečně vědomě použil </w:t>
      </w:r>
      <w:r w:rsidR="00C5241A" w:rsidRPr="00721D84">
        <w:t>unijního</w:t>
      </w:r>
      <w:r w:rsidRPr="00721D84">
        <w:t xml:space="preserve"> práva jakožto výkladového vodítka pro interpretaci aproximované vnitrostátní legislativy, byla </w:t>
      </w:r>
      <w:r w:rsidR="00517EA0" w:rsidRPr="00721D84">
        <w:t>věc týkající se výpovědi v ochranné době</w:t>
      </w:r>
      <w:r w:rsidRPr="00721D84">
        <w:t>.</w:t>
      </w:r>
      <w:r w:rsidRPr="00721D84">
        <w:rPr>
          <w:rStyle w:val="Znakapoznpodarou"/>
        </w:rPr>
        <w:footnoteReference w:id="41"/>
      </w:r>
      <w:r w:rsidRPr="00721D84">
        <w:t xml:space="preserve"> Nejvyšší soud zde řešil otázku, zda se zákaz výpovědi v ochranné době podle ustanovení § 48 odst. 1 písm. d) zákoníku práce</w:t>
      </w:r>
      <w:r w:rsidRPr="00721D84">
        <w:rPr>
          <w:rStyle w:val="Znakapoznpodarou"/>
        </w:rPr>
        <w:footnoteReference w:id="42"/>
      </w:r>
      <w:r w:rsidRPr="00721D84">
        <w:t xml:space="preserve"> vztahuje také na zaměstnance (toho z obou rodičů dítěte mladšího než tři roky), který nečerpá rodičovskou dovolenou podle ustanovení § 158 </w:t>
      </w:r>
      <w:r w:rsidR="00517EA0" w:rsidRPr="00721D84">
        <w:t>zákoníku práce</w:t>
      </w:r>
      <w:r w:rsidRPr="00721D84">
        <w:t xml:space="preserve">. V daném případě se o dítě starala manželka dovolatele, která byla na rodičovské dovolené. Ustanovení § 48 odst. 1 písm. d) </w:t>
      </w:r>
      <w:r w:rsidR="00517EA0" w:rsidRPr="00721D84">
        <w:t>zákoníku práce</w:t>
      </w:r>
      <w:r w:rsidRPr="00721D84">
        <w:t xml:space="preserve"> však bylo koncipováno široce a stanovilo, že ochranná doba, po kterou nesmí dát zaměstnavatel zaměstnanci výpověď, je mj. doba, </w:t>
      </w:r>
      <w:r w:rsidRPr="00721D84">
        <w:rPr>
          <w:i/>
        </w:rPr>
        <w:t>„kdy zaměstnankyně nebo zaměstnanec trvale pečují alespoň o jedno dítě mladší než tři roky.“</w:t>
      </w:r>
      <w:r w:rsidRPr="00721D84">
        <w:t xml:space="preserve"> Doslovné znění citovaného ustanovení tak svědčilo ve prospěch dovolatele. Nejvyšší soud však tuto doslovnou argumentaci odmítl. Opřel se mj. o relevantní</w:t>
      </w:r>
      <w:r w:rsidR="00721D84">
        <w:t xml:space="preserve"> evropské</w:t>
      </w:r>
      <w:r w:rsidRPr="00721D84">
        <w:t xml:space="preserve"> směrnice,</w:t>
      </w:r>
      <w:r w:rsidRPr="00721D84">
        <w:rPr>
          <w:rStyle w:val="Znakapoznpodarou"/>
        </w:rPr>
        <w:footnoteReference w:id="43"/>
      </w:r>
      <w:r w:rsidRPr="00721D84">
        <w:t xml:space="preserve"> které byly transponovány do českého zákoníku práce a které směřují k ochraně zaměstnance nebo zaměstnankyně před výpovědí během rodičovské dovolené. Z uvedeného pak NS dovodil, že </w:t>
      </w:r>
      <w:r w:rsidR="00721D84">
        <w:rPr>
          <w:i/>
        </w:rPr>
        <w:t>„trvalý a </w:t>
      </w:r>
      <w:r w:rsidRPr="00721D84">
        <w:rPr>
          <w:i/>
        </w:rPr>
        <w:t>nepřerušený faktický výkon péče o dítě vylučuje sama o sobě skutečnost, že zaměstnanec, který nečerpá rodičovskou dovolenou, vykonává i po narození dítěte trvale, ve stanovené pracovní době, práce podle pracovní smlouvy.“</w:t>
      </w:r>
    </w:p>
    <w:p w:rsidR="00721D84" w:rsidRDefault="007B4398" w:rsidP="00721D84">
      <w:r w:rsidRPr="00721D84">
        <w:t xml:space="preserve">Ačkoliv použití práva </w:t>
      </w:r>
      <w:r w:rsidR="00721D84" w:rsidRPr="00721D84">
        <w:t xml:space="preserve">EU </w:t>
      </w:r>
      <w:r w:rsidRPr="00721D84">
        <w:t>jakožto výkladového vodítka vnitrostátního práva lze uvítat, nelze být k argumentaci Nejvyššího soudu jednoznačně bez výhrad. NS především nevzal v</w:t>
      </w:r>
      <w:r w:rsidR="00721D84" w:rsidRPr="00721D84">
        <w:t> </w:t>
      </w:r>
      <w:r w:rsidRPr="00721D84">
        <w:t xml:space="preserve">potaz skutečnost, že </w:t>
      </w:r>
      <w:r w:rsidR="00721D84" w:rsidRPr="00721D84">
        <w:t xml:space="preserve">směrnice </w:t>
      </w:r>
      <w:r w:rsidRPr="00721D84">
        <w:t xml:space="preserve">96/34/ES stanoví pouze minimální míru ochrany zaměstnanců a výslovně umožňuje členským státům zavést příznivější ochranu, nad rámec těchto </w:t>
      </w:r>
      <w:r w:rsidRPr="00721D84">
        <w:lastRenderedPageBreak/>
        <w:t>minimálních požadavků.</w:t>
      </w:r>
      <w:r w:rsidRPr="00721D84">
        <w:rPr>
          <w:rStyle w:val="Znakapoznpodarou"/>
        </w:rPr>
        <w:footnoteReference w:id="44"/>
      </w:r>
      <w:r w:rsidRPr="00721D84">
        <w:t xml:space="preserve"> Byť z  pohledu věcného řešení lz</w:t>
      </w:r>
      <w:r w:rsidR="00721D84">
        <w:t>e rozhodnutí Nejvyššího soudu v </w:t>
      </w:r>
      <w:r w:rsidRPr="00721D84">
        <w:t xml:space="preserve">uvedeném případě jistě akceptovat, argumentace komunitárním právem na podporu restriktivního výkladu českého zákoníku práce zde však nebyla zcela na místě. </w:t>
      </w:r>
    </w:p>
    <w:p w:rsidR="00C2369B" w:rsidRDefault="00721D84" w:rsidP="00C2369B">
      <w:pPr>
        <w:rPr>
          <w:rFonts w:cs="Times New Roman"/>
          <w:color w:val="1F497D" w:themeColor="text2"/>
        </w:rPr>
      </w:pPr>
      <w:r w:rsidRPr="00C2369B">
        <w:rPr>
          <w:rFonts w:cs="Times New Roman"/>
        </w:rPr>
        <w:t>Pokud jde o aplikaci unijního práva</w:t>
      </w:r>
      <w:r w:rsidR="007B4398" w:rsidRPr="00C2369B">
        <w:rPr>
          <w:rFonts w:cs="Times New Roman"/>
        </w:rPr>
        <w:t xml:space="preserve"> po </w:t>
      </w:r>
      <w:r w:rsidRPr="00C2369B">
        <w:rPr>
          <w:rFonts w:cs="Times New Roman"/>
        </w:rPr>
        <w:t>přistoupení</w:t>
      </w:r>
      <w:r w:rsidR="007B4398" w:rsidRPr="00C2369B">
        <w:rPr>
          <w:rFonts w:cs="Times New Roman"/>
        </w:rPr>
        <w:t xml:space="preserve"> České republiky k</w:t>
      </w:r>
      <w:r w:rsidRPr="00C2369B">
        <w:rPr>
          <w:rFonts w:cs="Times New Roman"/>
        </w:rPr>
        <w:t xml:space="preserve"> Evropské unii, Nejvyšší soud v prvotní fázi </w:t>
      </w:r>
      <w:r w:rsidR="00C2369B" w:rsidRPr="00C2369B">
        <w:rPr>
          <w:rFonts w:cs="Times New Roman"/>
        </w:rPr>
        <w:t xml:space="preserve">logicky </w:t>
      </w:r>
      <w:r w:rsidR="007B4398" w:rsidRPr="00C2369B">
        <w:rPr>
          <w:rFonts w:cs="Times New Roman"/>
        </w:rPr>
        <w:t>rozhodoval převážně spory, jejichž skutkový základ nast</w:t>
      </w:r>
      <w:r w:rsidR="00C2369B" w:rsidRPr="00C2369B">
        <w:rPr>
          <w:rFonts w:cs="Times New Roman"/>
        </w:rPr>
        <w:t>al před samotným přistoupením. A jak bylo již výše uvedeno, b</w:t>
      </w:r>
      <w:r w:rsidR="007B4398" w:rsidRPr="00C2369B">
        <w:rPr>
          <w:rFonts w:cs="Times New Roman"/>
        </w:rPr>
        <w:t xml:space="preserve">yl v těchto případech </w:t>
      </w:r>
      <w:r w:rsidR="00C2369B" w:rsidRPr="00C2369B">
        <w:rPr>
          <w:rFonts w:cs="Times New Roman"/>
        </w:rPr>
        <w:t xml:space="preserve">nucen </w:t>
      </w:r>
      <w:r w:rsidR="007B4398" w:rsidRPr="00C2369B">
        <w:rPr>
          <w:rFonts w:cs="Times New Roman"/>
        </w:rPr>
        <w:t>zaujmout postoj k temporálním účinkům evropského pr</w:t>
      </w:r>
      <w:r w:rsidR="00C2369B" w:rsidRPr="00C2369B">
        <w:rPr>
          <w:rFonts w:cs="Times New Roman"/>
        </w:rPr>
        <w:t>áva bez toho, aby se mohl obrátit na SDEU s žádostí o rozhodnutí o předběžné otázce.</w:t>
      </w:r>
      <w:r w:rsidR="007B4398" w:rsidRPr="00C2369B">
        <w:rPr>
          <w:rFonts w:cs="Times New Roman"/>
          <w:color w:val="1F497D" w:themeColor="text2"/>
        </w:rPr>
        <w:t xml:space="preserve"> </w:t>
      </w:r>
    </w:p>
    <w:p w:rsidR="007C4EBE" w:rsidRPr="007C4EBE" w:rsidRDefault="007B4398" w:rsidP="007C4EBE">
      <w:pPr>
        <w:rPr>
          <w:rFonts w:cs="Times New Roman"/>
        </w:rPr>
      </w:pPr>
      <w:r w:rsidRPr="007C4EBE">
        <w:rPr>
          <w:rFonts w:cs="Times New Roman"/>
        </w:rPr>
        <w:t>Klíčový je v tomto ohledu rozsudek v</w:t>
      </w:r>
      <w:r w:rsidR="00C2369B" w:rsidRPr="007C4EBE">
        <w:rPr>
          <w:rFonts w:cs="Times New Roman"/>
        </w:rPr>
        <w:t>e věci týkající se posuzování nároků na zaplacení náhrady z garančního fondu, který vznikl před vstupem ČR do EU.</w:t>
      </w:r>
      <w:r w:rsidRPr="007C4EBE">
        <w:rPr>
          <w:rFonts w:cs="Times New Roman"/>
          <w:vertAlign w:val="superscript"/>
        </w:rPr>
        <w:footnoteReference w:id="45"/>
      </w:r>
      <w:r w:rsidRPr="007C4EBE">
        <w:rPr>
          <w:rFonts w:cs="Times New Roman"/>
        </w:rPr>
        <w:t xml:space="preserve"> </w:t>
      </w:r>
      <w:r w:rsidR="00C2369B" w:rsidRPr="007C4EBE">
        <w:rPr>
          <w:rFonts w:cs="Times New Roman"/>
        </w:rPr>
        <w:t>Nejvyšší soud</w:t>
      </w:r>
      <w:r w:rsidRPr="007C4EBE">
        <w:rPr>
          <w:rFonts w:cs="Times New Roman"/>
        </w:rPr>
        <w:t xml:space="preserve"> se zde zabýval otázkou, co je zákaznickým majetkem ve smyslu zákona o cenných papírech.</w:t>
      </w:r>
      <w:r w:rsidRPr="007C4EBE">
        <w:rPr>
          <w:rFonts w:cs="Times New Roman"/>
          <w:vertAlign w:val="superscript"/>
        </w:rPr>
        <w:footnoteReference w:id="46"/>
      </w:r>
      <w:r w:rsidRPr="007C4EBE">
        <w:rPr>
          <w:rFonts w:cs="Times New Roman"/>
        </w:rPr>
        <w:t xml:space="preserve"> Relevantní ustanovení zákona byla přitom transpozicí směrnice o systémech pro odškodnění investorů.</w:t>
      </w:r>
      <w:r w:rsidRPr="007C4EBE">
        <w:rPr>
          <w:rFonts w:cs="Times New Roman"/>
          <w:vertAlign w:val="superscript"/>
        </w:rPr>
        <w:footnoteReference w:id="47"/>
      </w:r>
      <w:r w:rsidRPr="007C4EBE">
        <w:rPr>
          <w:rFonts w:cs="Times New Roman"/>
        </w:rPr>
        <w:t xml:space="preserve"> NS proto nejdříve zkoumal, zda jsou splněny podmínky p</w:t>
      </w:r>
      <w:r w:rsidR="007C4EBE" w:rsidRPr="007C4EBE">
        <w:rPr>
          <w:rFonts w:cs="Times New Roman"/>
        </w:rPr>
        <w:t xml:space="preserve">ro položení předběžné otázky. S </w:t>
      </w:r>
      <w:r w:rsidRPr="007C4EBE">
        <w:rPr>
          <w:rFonts w:cs="Times New Roman"/>
        </w:rPr>
        <w:t xml:space="preserve">odkazem na rozsudek </w:t>
      </w:r>
      <w:r w:rsidR="007C4EBE" w:rsidRPr="007C4EBE">
        <w:rPr>
          <w:rFonts w:cs="Times New Roman"/>
        </w:rPr>
        <w:t>SDEU</w:t>
      </w:r>
      <w:r w:rsidRPr="007C4EBE">
        <w:rPr>
          <w:rFonts w:cs="Times New Roman"/>
        </w:rPr>
        <w:t xml:space="preserve"> </w:t>
      </w:r>
      <w:proofErr w:type="spellStart"/>
      <w:r w:rsidRPr="007C4EBE">
        <w:rPr>
          <w:rFonts w:cs="Times New Roman"/>
          <w:i/>
        </w:rPr>
        <w:t>Ynos</w:t>
      </w:r>
      <w:proofErr w:type="spellEnd"/>
      <w:r w:rsidRPr="007C4EBE">
        <w:rPr>
          <w:rFonts w:cs="Times New Roman"/>
        </w:rPr>
        <w:t xml:space="preserve"> </w:t>
      </w:r>
      <w:r w:rsidR="007C4EBE" w:rsidRPr="007C4EBE">
        <w:rPr>
          <w:rFonts w:cs="Times New Roman"/>
        </w:rPr>
        <w:t xml:space="preserve">nicméně </w:t>
      </w:r>
      <w:r w:rsidRPr="007C4EBE">
        <w:rPr>
          <w:rFonts w:cs="Times New Roman"/>
        </w:rPr>
        <w:t xml:space="preserve">dospěl k závěru, že mu povinnost předložit předběžnou otázku nevznikla. Uvedl však, že jelikož </w:t>
      </w:r>
      <w:r w:rsidRPr="007C4EBE">
        <w:rPr>
          <w:rFonts w:cs="Times New Roman"/>
          <w:i/>
        </w:rPr>
        <w:t>„posuzovaná právní úprava byla do českého právního řádu začleněna k naplnění účelu sledovaného směrnicí, Nejvyšší soud při výkladu p</w:t>
      </w:r>
      <w:r w:rsidR="007C4EBE" w:rsidRPr="007C4EBE">
        <w:rPr>
          <w:rFonts w:cs="Times New Roman"/>
          <w:i/>
        </w:rPr>
        <w:t xml:space="preserve">osuzovaných ustanovení zákona o </w:t>
      </w:r>
      <w:r w:rsidRPr="007C4EBE">
        <w:rPr>
          <w:rFonts w:cs="Times New Roman"/>
          <w:i/>
        </w:rPr>
        <w:t xml:space="preserve">cenných papírech ze směrnice vycházel.“ </w:t>
      </w:r>
      <w:r w:rsidR="007C4EBE" w:rsidRPr="007C4EBE">
        <w:rPr>
          <w:rFonts w:cs="Times New Roman"/>
        </w:rPr>
        <w:t>S o</w:t>
      </w:r>
      <w:r w:rsidRPr="007C4EBE">
        <w:rPr>
          <w:rFonts w:cs="Times New Roman"/>
        </w:rPr>
        <w:t>dkazem na příslušná ustanovení směrnice pak definoval, co je zákaznickým majetkem ve smyslu předmětné právní úpravy. Nejvyšší soud v</w:t>
      </w:r>
      <w:r w:rsidR="007C4EBE" w:rsidRPr="007C4EBE">
        <w:rPr>
          <w:rFonts w:cs="Times New Roman"/>
        </w:rPr>
        <w:t xml:space="preserve"> </w:t>
      </w:r>
      <w:r w:rsidRPr="007C4EBE">
        <w:rPr>
          <w:rFonts w:cs="Times New Roman"/>
        </w:rPr>
        <w:t>citovaném rozhodnutí vycházel ze směrnice jako interpretačního prostředku, srovnal dokon</w:t>
      </w:r>
      <w:r w:rsidR="007C4EBE" w:rsidRPr="007C4EBE">
        <w:rPr>
          <w:rFonts w:cs="Times New Roman"/>
        </w:rPr>
        <w:t>ce její různé jazykové mutace a </w:t>
      </w:r>
      <w:r w:rsidRPr="007C4EBE">
        <w:rPr>
          <w:rFonts w:cs="Times New Roman"/>
        </w:rPr>
        <w:t>dovodil tak vhodnost souladného výkladu v případech, kdy je vnitrostátní právo výsledkem transpozice evropské legislativy.</w:t>
      </w:r>
    </w:p>
    <w:p w:rsidR="007C4EBE" w:rsidRDefault="007B4398" w:rsidP="007C4EBE">
      <w:pPr>
        <w:rPr>
          <w:rFonts w:cs="Times New Roman"/>
          <w:color w:val="1F497D" w:themeColor="text2"/>
        </w:rPr>
      </w:pPr>
      <w:r w:rsidRPr="007C4EBE">
        <w:rPr>
          <w:rFonts w:cs="Times New Roman"/>
        </w:rPr>
        <w:t xml:space="preserve">Tento svůj závěr </w:t>
      </w:r>
      <w:r w:rsidR="007C4EBE" w:rsidRPr="007C4EBE">
        <w:rPr>
          <w:rFonts w:cs="Times New Roman"/>
        </w:rPr>
        <w:t>Nejvyšší soud</w:t>
      </w:r>
      <w:r w:rsidRPr="007C4EBE">
        <w:rPr>
          <w:rFonts w:cs="Times New Roman"/>
        </w:rPr>
        <w:t xml:space="preserve"> potvrdil v</w:t>
      </w:r>
      <w:r w:rsidR="007C4EBE" w:rsidRPr="007C4EBE">
        <w:rPr>
          <w:rFonts w:cs="Times New Roman"/>
        </w:rPr>
        <w:t>e věci týkající se přednostních práv akcionářů</w:t>
      </w:r>
      <w:r w:rsidRPr="007C4EBE">
        <w:rPr>
          <w:rFonts w:cs="Times New Roman"/>
        </w:rPr>
        <w:t>,</w:t>
      </w:r>
      <w:r w:rsidRPr="007C4EBE">
        <w:rPr>
          <w:rFonts w:cs="Times New Roman"/>
          <w:vertAlign w:val="superscript"/>
        </w:rPr>
        <w:footnoteReference w:id="48"/>
      </w:r>
      <w:r w:rsidRPr="007C4EBE">
        <w:rPr>
          <w:rFonts w:cs="Times New Roman"/>
        </w:rPr>
        <w:t xml:space="preserve"> v níž definoval podmínky, jež musí soud při posuzování vyloučení přednostního práva akcionáře zkoumat. Uvedl přitom, že </w:t>
      </w:r>
      <w:r w:rsidRPr="007C4EBE">
        <w:rPr>
          <w:rFonts w:cs="Times New Roman"/>
          <w:i/>
        </w:rPr>
        <w:t xml:space="preserve">„na těchto zásadách </w:t>
      </w:r>
      <w:proofErr w:type="gramStart"/>
      <w:r w:rsidRPr="007C4EBE">
        <w:rPr>
          <w:rFonts w:cs="Times New Roman"/>
          <w:i/>
        </w:rPr>
        <w:t>je (...) postavena</w:t>
      </w:r>
      <w:proofErr w:type="gramEnd"/>
      <w:r w:rsidRPr="007C4EBE">
        <w:rPr>
          <w:rFonts w:cs="Times New Roman"/>
          <w:i/>
        </w:rPr>
        <w:t xml:space="preserve"> i judikatura Evropského soudního dvora týkající se odůvodněnosti zásah</w:t>
      </w:r>
      <w:r w:rsidR="00501C59">
        <w:rPr>
          <w:rFonts w:cs="Times New Roman"/>
          <w:i/>
        </w:rPr>
        <w:t>ů do práv zaručených Smlouvou o </w:t>
      </w:r>
      <w:r w:rsidRPr="007C4EBE">
        <w:rPr>
          <w:rFonts w:cs="Times New Roman"/>
          <w:i/>
        </w:rPr>
        <w:t xml:space="preserve">založení Evropského společenství v důležitém veřejném zájmu (...). Nejvyšší soud je názoru, že tyto zásady jsou přenositelné také do civilněprávní ochrany akcionářů před zásahy do jejich práv v důležitém zájmu akciové společnosti. Tím spíše, že právní úprava omezení či </w:t>
      </w:r>
      <w:r w:rsidRPr="007C4EBE">
        <w:rPr>
          <w:rFonts w:cs="Times New Roman"/>
          <w:i/>
        </w:rPr>
        <w:lastRenderedPageBreak/>
        <w:t xml:space="preserve">vyloučení přednostního práva akcionářů na úpis nových akcií při zvyšování základního kapitálu má původ v komunitárním </w:t>
      </w:r>
      <w:proofErr w:type="gramStart"/>
      <w:r w:rsidRPr="007C4EBE">
        <w:rPr>
          <w:rFonts w:cs="Times New Roman"/>
          <w:i/>
        </w:rPr>
        <w:t>právu (...). Je</w:t>
      </w:r>
      <w:proofErr w:type="gramEnd"/>
      <w:r w:rsidRPr="007C4EBE">
        <w:rPr>
          <w:rFonts w:cs="Times New Roman"/>
          <w:i/>
        </w:rPr>
        <w:t xml:space="preserve"> tudíž nutno vykládat ji především dle zásady konformní interpretace s komunitární předlohou.“</w:t>
      </w:r>
      <w:r w:rsidRPr="007C4EBE">
        <w:rPr>
          <w:rFonts w:cs="Times New Roman"/>
        </w:rPr>
        <w:t xml:space="preserve"> V citovaném rozhodnutí tak Nejvyšší soud již zcela otevřeně hovoří o </w:t>
      </w:r>
      <w:proofErr w:type="spellStart"/>
      <w:r w:rsidRPr="007C4EBE">
        <w:rPr>
          <w:rFonts w:cs="Times New Roman"/>
        </w:rPr>
        <w:t>eurokonformním</w:t>
      </w:r>
      <w:proofErr w:type="spellEnd"/>
      <w:r w:rsidRPr="007C4EBE">
        <w:rPr>
          <w:rFonts w:cs="Times New Roman"/>
        </w:rPr>
        <w:t xml:space="preserve"> výkladu v případě vnitrostátních transpozičních předpisů. Nebrání se však ani podpůrné, srovnávací</w:t>
      </w:r>
      <w:r w:rsidR="00501C59">
        <w:rPr>
          <w:rFonts w:cs="Times New Roman"/>
        </w:rPr>
        <w:t xml:space="preserve"> argumentaci evropským právem i </w:t>
      </w:r>
      <w:r w:rsidRPr="007C4EBE">
        <w:rPr>
          <w:rFonts w:cs="Times New Roman"/>
        </w:rPr>
        <w:t>v případě, kdy by těchto předpisů nebylo (</w:t>
      </w:r>
      <w:r w:rsidR="00501C59">
        <w:rPr>
          <w:rFonts w:cs="Times New Roman"/>
        </w:rPr>
        <w:t>srov. dikci</w:t>
      </w:r>
      <w:r w:rsidRPr="007C4EBE">
        <w:rPr>
          <w:rFonts w:cs="Times New Roman"/>
        </w:rPr>
        <w:t xml:space="preserve"> </w:t>
      </w:r>
      <w:r w:rsidRPr="007C4EBE">
        <w:rPr>
          <w:rFonts w:cs="Times New Roman"/>
          <w:i/>
        </w:rPr>
        <w:t>„tím spíše“</w:t>
      </w:r>
      <w:r w:rsidRPr="007C4EBE">
        <w:rPr>
          <w:rFonts w:cs="Times New Roman"/>
        </w:rPr>
        <w:t>).</w:t>
      </w:r>
    </w:p>
    <w:p w:rsidR="007B4398" w:rsidRPr="007C4EBE" w:rsidRDefault="007C4EBE" w:rsidP="007C4EBE">
      <w:pPr>
        <w:rPr>
          <w:rFonts w:cs="Times New Roman"/>
        </w:rPr>
      </w:pPr>
      <w:r w:rsidRPr="007C4EBE">
        <w:rPr>
          <w:rFonts w:cs="Times New Roman"/>
        </w:rPr>
        <w:t>Ve věci,</w:t>
      </w:r>
      <w:r w:rsidR="007B4398" w:rsidRPr="007C4EBE">
        <w:rPr>
          <w:rFonts w:cs="Times New Roman"/>
        </w:rPr>
        <w:t xml:space="preserve"> v níž Nejvyšší soud zkoumal kritéria pro určení minimální ceny povinné nabídky převzetí,</w:t>
      </w:r>
      <w:r w:rsidRPr="007C4EBE">
        <w:rPr>
          <w:rFonts w:cs="Times New Roman"/>
          <w:vertAlign w:val="superscript"/>
        </w:rPr>
        <w:t xml:space="preserve"> </w:t>
      </w:r>
      <w:r w:rsidRPr="007C4EBE">
        <w:rPr>
          <w:rFonts w:cs="Times New Roman"/>
          <w:vertAlign w:val="superscript"/>
        </w:rPr>
        <w:footnoteReference w:id="49"/>
      </w:r>
      <w:r w:rsidRPr="007C4EBE">
        <w:rPr>
          <w:rFonts w:cs="Times New Roman"/>
        </w:rPr>
        <w:t xml:space="preserve"> </w:t>
      </w:r>
      <w:r w:rsidR="007B4398" w:rsidRPr="007C4EBE">
        <w:rPr>
          <w:rFonts w:cs="Times New Roman"/>
        </w:rPr>
        <w:t xml:space="preserve"> na podporu svých závěrů pak argumentoval rovněž harmonizační povahou přijaté novely obchodního zákoníku,</w:t>
      </w:r>
      <w:r w:rsidR="007B4398" w:rsidRPr="007C4EBE">
        <w:rPr>
          <w:rFonts w:cs="Times New Roman"/>
          <w:vertAlign w:val="superscript"/>
        </w:rPr>
        <w:footnoteReference w:id="50"/>
      </w:r>
      <w:r w:rsidR="007B4398" w:rsidRPr="007C4EBE">
        <w:rPr>
          <w:rFonts w:cs="Times New Roman"/>
        </w:rPr>
        <w:t xml:space="preserve"> která měla uvést úpravu obsaženou v § 183c </w:t>
      </w:r>
      <w:r w:rsidR="00C928D5">
        <w:rPr>
          <w:rFonts w:cs="Times New Roman"/>
        </w:rPr>
        <w:t>obchodního zákoníku</w:t>
      </w:r>
      <w:r w:rsidR="007B4398" w:rsidRPr="007C4EBE">
        <w:rPr>
          <w:rFonts w:cs="Times New Roman"/>
        </w:rPr>
        <w:t xml:space="preserve"> do souladu s po</w:t>
      </w:r>
      <w:r w:rsidR="00C928D5">
        <w:rPr>
          <w:rFonts w:cs="Times New Roman"/>
        </w:rPr>
        <w:t>žadavky v té době ještě návrhu tzv. t</w:t>
      </w:r>
      <w:r w:rsidR="007B4398" w:rsidRPr="007C4EBE">
        <w:rPr>
          <w:rFonts w:cs="Times New Roman"/>
        </w:rPr>
        <w:t xml:space="preserve">řinácté směrnice. NS přitom uvedl, že </w:t>
      </w:r>
      <w:r w:rsidR="007B4398" w:rsidRPr="007C4EBE">
        <w:rPr>
          <w:rFonts w:cs="Times New Roman"/>
          <w:i/>
        </w:rPr>
        <w:t>„třebaže požadavky směrnice dosud nejsou d</w:t>
      </w:r>
      <w:r w:rsidR="00C928D5">
        <w:rPr>
          <w:rFonts w:cs="Times New Roman"/>
          <w:i/>
        </w:rPr>
        <w:t>o českého práva transponovány a v</w:t>
      </w:r>
      <w:r w:rsidR="00B71780">
        <w:rPr>
          <w:rFonts w:cs="Times New Roman"/>
          <w:i/>
        </w:rPr>
        <w:t> </w:t>
      </w:r>
      <w:r w:rsidR="007B4398" w:rsidRPr="007C4EBE">
        <w:rPr>
          <w:rFonts w:cs="Times New Roman"/>
          <w:i/>
        </w:rPr>
        <w:t>době vzniku povinnosti ještě nebyly ani přijaty, Nejvyšší soud se domnívá, že podpůrně je nutno k nim přihlížet alespoň v</w:t>
      </w:r>
      <w:r w:rsidR="00C928D5">
        <w:rPr>
          <w:rFonts w:cs="Times New Roman"/>
          <w:i/>
        </w:rPr>
        <w:t xml:space="preserve"> </w:t>
      </w:r>
      <w:r w:rsidR="007B4398" w:rsidRPr="007C4EBE">
        <w:rPr>
          <w:rFonts w:cs="Times New Roman"/>
          <w:i/>
        </w:rPr>
        <w:t>rámci interpretace tehdy účinné právní úpravy, když jejím hlavním cílem bylo zaji</w:t>
      </w:r>
      <w:r w:rsidR="00C928D5">
        <w:rPr>
          <w:rFonts w:cs="Times New Roman"/>
          <w:i/>
        </w:rPr>
        <w:t xml:space="preserve">štění souladu s </w:t>
      </w:r>
      <w:r w:rsidR="007B4398" w:rsidRPr="007C4EBE">
        <w:rPr>
          <w:rFonts w:cs="Times New Roman"/>
          <w:i/>
        </w:rPr>
        <w:t>tehdejším zněním návrhu směrnice.“</w:t>
      </w:r>
      <w:r w:rsidR="007B4398" w:rsidRPr="007C4EBE">
        <w:rPr>
          <w:rFonts w:cs="Times New Roman"/>
        </w:rPr>
        <w:t xml:space="preserve"> </w:t>
      </w:r>
      <w:r w:rsidR="00C928D5">
        <w:rPr>
          <w:rFonts w:cs="Times New Roman"/>
        </w:rPr>
        <w:t>Nejvyšší soud</w:t>
      </w:r>
      <w:r w:rsidR="007B4398" w:rsidRPr="007C4EBE">
        <w:rPr>
          <w:rFonts w:cs="Times New Roman"/>
        </w:rPr>
        <w:t xml:space="preserve"> tak v citovaném rozhodnutí přistoupil k použití souladného výkladu dokonce i za situace, kdy příslušná směrnice nebyla ještě v době učinění předmětné povinné nabídky převzetí do vnitrostátního práva plně transponována. </w:t>
      </w:r>
    </w:p>
    <w:p w:rsidR="007B4398" w:rsidRDefault="002B34F3" w:rsidP="0034469B">
      <w:pPr>
        <w:ind w:firstLine="360"/>
        <w:rPr>
          <w:rFonts w:cs="Times New Roman"/>
        </w:rPr>
      </w:pPr>
      <w:r>
        <w:rPr>
          <w:rFonts w:cs="Times New Roman"/>
        </w:rPr>
        <w:t xml:space="preserve">Otázky </w:t>
      </w:r>
      <w:r w:rsidR="007630F5">
        <w:rPr>
          <w:rFonts w:cs="Times New Roman"/>
        </w:rPr>
        <w:t>temporálních</w:t>
      </w:r>
      <w:r>
        <w:rPr>
          <w:rFonts w:cs="Times New Roman"/>
        </w:rPr>
        <w:t xml:space="preserve"> </w:t>
      </w:r>
      <w:r w:rsidR="007630F5">
        <w:rPr>
          <w:rFonts w:cs="Times New Roman"/>
        </w:rPr>
        <w:t>účinků</w:t>
      </w:r>
      <w:r>
        <w:rPr>
          <w:rFonts w:cs="Times New Roman"/>
        </w:rPr>
        <w:t xml:space="preserve"> unijního práva se však neomezují pouze na problematiku použití směrnic transponovaných do vnitrostátního práva. Nejasnosti mohou </w:t>
      </w:r>
      <w:r w:rsidR="007630F5">
        <w:rPr>
          <w:rFonts w:cs="Times New Roman"/>
        </w:rPr>
        <w:t xml:space="preserve">v této souvislosti </w:t>
      </w:r>
      <w:r>
        <w:rPr>
          <w:rFonts w:cs="Times New Roman"/>
        </w:rPr>
        <w:t xml:space="preserve">vzniknout rovněž v případě aplikace </w:t>
      </w:r>
      <w:r w:rsidR="007630F5">
        <w:rPr>
          <w:rFonts w:cs="Times New Roman"/>
        </w:rPr>
        <w:t xml:space="preserve">přímo použitelných </w:t>
      </w:r>
      <w:r>
        <w:rPr>
          <w:rFonts w:cs="Times New Roman"/>
        </w:rPr>
        <w:t>nařízení</w:t>
      </w:r>
      <w:r w:rsidR="00B71780">
        <w:rPr>
          <w:rFonts w:cs="Times New Roman"/>
        </w:rPr>
        <w:t xml:space="preserve">. Ostatně </w:t>
      </w:r>
      <w:r w:rsidR="00E1718F">
        <w:rPr>
          <w:rFonts w:cs="Times New Roman"/>
        </w:rPr>
        <w:t>problematice</w:t>
      </w:r>
      <w:r w:rsidR="00B71780">
        <w:rPr>
          <w:rFonts w:cs="Times New Roman"/>
        </w:rPr>
        <w:t xml:space="preserve"> časové působnosti </w:t>
      </w:r>
      <w:r w:rsidR="007630F5">
        <w:t xml:space="preserve">nařízení </w:t>
      </w:r>
      <w:r w:rsidR="007630F5" w:rsidRPr="00091BB3">
        <w:t xml:space="preserve">Rady (ES) č. 44/2001 ze dne 22. </w:t>
      </w:r>
      <w:r w:rsidR="007630F5">
        <w:t>12.</w:t>
      </w:r>
      <w:r w:rsidR="007630F5" w:rsidRPr="00091BB3">
        <w:t xml:space="preserve"> </w:t>
      </w:r>
      <w:r w:rsidR="007630F5">
        <w:t>2000 o příslušnosti a </w:t>
      </w:r>
      <w:r w:rsidR="007630F5" w:rsidRPr="00091BB3">
        <w:t>uznávání a výkonu soudních rozhodnutí v občanských a obchodních věcech</w:t>
      </w:r>
      <w:r w:rsidR="007630F5">
        <w:rPr>
          <w:rFonts w:cs="Times New Roman"/>
        </w:rPr>
        <w:t xml:space="preserve"> </w:t>
      </w:r>
      <w:r w:rsidR="00B71780">
        <w:rPr>
          <w:rFonts w:cs="Times New Roman"/>
        </w:rPr>
        <w:t xml:space="preserve">se </w:t>
      </w:r>
      <w:r w:rsidR="00E1718F">
        <w:rPr>
          <w:rFonts w:cs="Times New Roman"/>
        </w:rPr>
        <w:t>věnovala</w:t>
      </w:r>
      <w:r w:rsidR="00B71780">
        <w:rPr>
          <w:rFonts w:cs="Times New Roman"/>
        </w:rPr>
        <w:t xml:space="preserve"> rovněž první předběžná otázka Nejvyššího soudu</w:t>
      </w:r>
      <w:r w:rsidR="007630F5">
        <w:rPr>
          <w:rFonts w:cs="Times New Roman"/>
        </w:rPr>
        <w:t>.</w:t>
      </w:r>
      <w:r w:rsidR="007630F5">
        <w:rPr>
          <w:rStyle w:val="Znakapoznpodarou"/>
          <w:rFonts w:cs="Times New Roman"/>
        </w:rPr>
        <w:footnoteReference w:id="51"/>
      </w:r>
    </w:p>
    <w:p w:rsidR="00721D84" w:rsidRDefault="00721D84" w:rsidP="0034469B">
      <w:pPr>
        <w:ind w:firstLine="360"/>
        <w:rPr>
          <w:rFonts w:cs="Times New Roman"/>
        </w:rPr>
      </w:pPr>
    </w:p>
    <w:p w:rsidR="00E6523F" w:rsidRPr="00B37EF5" w:rsidRDefault="00E6523F" w:rsidP="00B37EF5">
      <w:pPr>
        <w:pStyle w:val="Odstavecseseznamem"/>
        <w:numPr>
          <w:ilvl w:val="1"/>
          <w:numId w:val="2"/>
        </w:numPr>
        <w:ind w:left="431" w:hanging="431"/>
        <w:rPr>
          <w:rFonts w:cs="Times New Roman"/>
          <w:b/>
          <w:bCs/>
          <w:i/>
          <w:iCs/>
        </w:rPr>
      </w:pPr>
      <w:bookmarkStart w:id="0" w:name="_Toc261696592"/>
      <w:r w:rsidRPr="00B37EF5">
        <w:rPr>
          <w:rFonts w:cs="Times New Roman"/>
          <w:b/>
          <w:i/>
        </w:rPr>
        <w:t>Přehlížení</w:t>
      </w:r>
      <w:r w:rsidRPr="00B37EF5">
        <w:rPr>
          <w:rFonts w:cs="Times New Roman"/>
          <w:b/>
          <w:bCs/>
          <w:i/>
          <w:iCs/>
        </w:rPr>
        <w:t xml:space="preserve"> práva </w:t>
      </w:r>
      <w:bookmarkEnd w:id="0"/>
      <w:r w:rsidR="00B37EF5">
        <w:rPr>
          <w:rFonts w:cs="Times New Roman"/>
          <w:b/>
          <w:bCs/>
          <w:i/>
          <w:iCs/>
        </w:rPr>
        <w:t>EU</w:t>
      </w:r>
    </w:p>
    <w:p w:rsidR="00E6523F" w:rsidRPr="00E6523F" w:rsidRDefault="00E6523F" w:rsidP="00E6523F">
      <w:pPr>
        <w:ind w:firstLine="0"/>
        <w:rPr>
          <w:rFonts w:cs="Times New Roman"/>
          <w:color w:val="1F497D" w:themeColor="text2"/>
        </w:rPr>
      </w:pPr>
    </w:p>
    <w:p w:rsidR="00E6523F" w:rsidRPr="0007728D" w:rsidRDefault="00E6523F" w:rsidP="006A0E34">
      <w:pPr>
        <w:ind w:firstLine="431"/>
        <w:rPr>
          <w:rFonts w:cs="Times New Roman"/>
        </w:rPr>
      </w:pPr>
      <w:r w:rsidRPr="0007728D">
        <w:rPr>
          <w:rFonts w:cs="Times New Roman"/>
        </w:rPr>
        <w:t>Skutečnost, že</w:t>
      </w:r>
      <w:r w:rsidR="006A0E34" w:rsidRPr="0007728D">
        <w:rPr>
          <w:rFonts w:cs="Times New Roman"/>
        </w:rPr>
        <w:t xml:space="preserve"> se</w:t>
      </w:r>
      <w:r w:rsidRPr="0007728D">
        <w:rPr>
          <w:rFonts w:cs="Times New Roman"/>
        </w:rPr>
        <w:t xml:space="preserve"> v rámci své </w:t>
      </w:r>
      <w:r w:rsidR="006A0E34" w:rsidRPr="0007728D">
        <w:rPr>
          <w:rFonts w:cs="Times New Roman"/>
        </w:rPr>
        <w:t>rozhodovací</w:t>
      </w:r>
      <w:r w:rsidRPr="0007728D">
        <w:rPr>
          <w:rFonts w:cs="Times New Roman"/>
        </w:rPr>
        <w:t xml:space="preserve"> </w:t>
      </w:r>
      <w:r w:rsidR="006A0E34" w:rsidRPr="0007728D">
        <w:rPr>
          <w:rFonts w:cs="Times New Roman"/>
        </w:rPr>
        <w:t>činnosti</w:t>
      </w:r>
      <w:r w:rsidRPr="0007728D">
        <w:rPr>
          <w:rFonts w:cs="Times New Roman"/>
        </w:rPr>
        <w:t xml:space="preserve"> Nejvyšší soud setkává s evropským právem povětšinou nepřímo, prostřednictvím vnitrostátních transpozičních předpisů,</w:t>
      </w:r>
      <w:r w:rsidR="006A0E34" w:rsidRPr="0007728D">
        <w:rPr>
          <w:rStyle w:val="Znakapoznpodarou"/>
          <w:rFonts w:cs="Times New Roman"/>
        </w:rPr>
        <w:footnoteReference w:id="52"/>
      </w:r>
      <w:r w:rsidRPr="0007728D">
        <w:rPr>
          <w:rFonts w:cs="Times New Roman"/>
        </w:rPr>
        <w:t xml:space="preserve"> nahrává jeho možnému přehlížení. Tento jev lze demonstrovat v</w:t>
      </w:r>
      <w:r w:rsidR="006A0E34" w:rsidRPr="0007728D">
        <w:rPr>
          <w:rFonts w:cs="Times New Roman"/>
        </w:rPr>
        <w:t>e věci</w:t>
      </w:r>
      <w:r w:rsidR="00DF3F2E" w:rsidRPr="0007728D">
        <w:rPr>
          <w:rFonts w:cs="Times New Roman"/>
        </w:rPr>
        <w:t xml:space="preserve"> týkající se</w:t>
      </w:r>
      <w:r w:rsidRPr="0007728D">
        <w:rPr>
          <w:rFonts w:cs="Times New Roman"/>
        </w:rPr>
        <w:t xml:space="preserve"> spor</w:t>
      </w:r>
      <w:r w:rsidR="00DF3F2E" w:rsidRPr="0007728D">
        <w:rPr>
          <w:rFonts w:cs="Times New Roman"/>
        </w:rPr>
        <w:t>u</w:t>
      </w:r>
      <w:r w:rsidRPr="0007728D">
        <w:rPr>
          <w:rFonts w:cs="Times New Roman"/>
        </w:rPr>
        <w:t xml:space="preserve"> z</w:t>
      </w:r>
      <w:r w:rsidR="00DF3F2E" w:rsidRPr="0007728D">
        <w:rPr>
          <w:rFonts w:cs="Times New Roman"/>
        </w:rPr>
        <w:t> </w:t>
      </w:r>
      <w:r w:rsidRPr="0007728D">
        <w:rPr>
          <w:rFonts w:cs="Times New Roman"/>
        </w:rPr>
        <w:t>cestovní smlouvy.</w:t>
      </w:r>
      <w:r w:rsidR="006A0E34" w:rsidRPr="0007728D">
        <w:rPr>
          <w:rFonts w:cs="Times New Roman"/>
          <w:vertAlign w:val="superscript"/>
        </w:rPr>
        <w:t xml:space="preserve"> </w:t>
      </w:r>
      <w:r w:rsidR="006A0E34" w:rsidRPr="0007728D">
        <w:rPr>
          <w:rFonts w:cs="Times New Roman"/>
          <w:vertAlign w:val="superscript"/>
        </w:rPr>
        <w:footnoteReference w:id="53"/>
      </w:r>
      <w:r w:rsidRPr="0007728D">
        <w:rPr>
          <w:rFonts w:cs="Times New Roman"/>
        </w:rPr>
        <w:t xml:space="preserve"> Žalobce, občan Slovenské republiky, byl na dotaz ohledně vízového </w:t>
      </w:r>
      <w:r w:rsidRPr="0007728D">
        <w:rPr>
          <w:rFonts w:cs="Times New Roman"/>
        </w:rPr>
        <w:lastRenderedPageBreak/>
        <w:t xml:space="preserve">režimu, </w:t>
      </w:r>
      <w:r w:rsidR="00DF3F2E" w:rsidRPr="0007728D">
        <w:rPr>
          <w:rFonts w:cs="Times New Roman"/>
        </w:rPr>
        <w:t>který</w:t>
      </w:r>
      <w:r w:rsidRPr="0007728D">
        <w:rPr>
          <w:rFonts w:cs="Times New Roman"/>
        </w:rPr>
        <w:t xml:space="preserve"> je pro občany </w:t>
      </w:r>
      <w:r w:rsidR="00DF3F2E" w:rsidRPr="0007728D">
        <w:rPr>
          <w:rFonts w:cs="Times New Roman"/>
        </w:rPr>
        <w:t>České republiky a Slovenska</w:t>
      </w:r>
      <w:r w:rsidRPr="0007728D">
        <w:rPr>
          <w:rFonts w:cs="Times New Roman"/>
        </w:rPr>
        <w:t xml:space="preserve"> odlišný, českou cestovní kanceláří nesprávně informován. Turistická víza následně na letišti v Bangkoku neobdržel, byl zadržen a s rodinou deportován z Thajska. Soudy nižších stupňů dospěly k závěru, že o vízovém režimu se měl žalobce informovat sám.</w:t>
      </w:r>
    </w:p>
    <w:p w:rsidR="00E6523F" w:rsidRPr="0007728D" w:rsidRDefault="00E6523F" w:rsidP="006A0E34">
      <w:pPr>
        <w:ind w:firstLine="360"/>
        <w:rPr>
          <w:rFonts w:cs="Times New Roman"/>
        </w:rPr>
      </w:pPr>
      <w:r w:rsidRPr="0007728D">
        <w:rPr>
          <w:rFonts w:cs="Times New Roman"/>
        </w:rPr>
        <w:t>Nejvyšší soud napadená rozhodnutí zrušil. Ve své argumentaci vyšel z ustanovení § 10 odst. 1 zákona o výkonu činností v cestovním ruchu.</w:t>
      </w:r>
      <w:r w:rsidRPr="0007728D">
        <w:rPr>
          <w:rFonts w:cs="Times New Roman"/>
          <w:vertAlign w:val="superscript"/>
        </w:rPr>
        <w:footnoteReference w:id="54"/>
      </w:r>
      <w:r w:rsidR="0007728D" w:rsidRPr="0007728D">
        <w:rPr>
          <w:rFonts w:cs="Times New Roman"/>
        </w:rPr>
        <w:t xml:space="preserve"> Uvedl, že výčet informací v </w:t>
      </w:r>
      <w:r w:rsidRPr="0007728D">
        <w:rPr>
          <w:rFonts w:cs="Times New Roman"/>
        </w:rPr>
        <w:t xml:space="preserve">něm obsažený, o nichž je cestovní kancelář povinna informovat, je pouze demonstrativní. Porušení zákonem stanovené povinnosti informace poskytnout přitom představuje porušení právní povinnosti ve smyslu ustanovení § 420 odst. 1 </w:t>
      </w:r>
      <w:r w:rsidR="0007728D" w:rsidRPr="0007728D">
        <w:rPr>
          <w:rFonts w:cs="Times New Roman"/>
        </w:rPr>
        <w:t>občanského zákoníku</w:t>
      </w:r>
      <w:r w:rsidRPr="0007728D">
        <w:rPr>
          <w:rFonts w:cs="Times New Roman"/>
        </w:rPr>
        <w:t xml:space="preserve">. Na tomto závěru pak podle NS nemění nic ani skutečnost, že se žalobce v cestovní smlouvě zavázal zjistit si informace o vízovém režimu sám. Tato okolnost však může vést k povinnosti nést škodu poměrně ve smyslu ustanovení § 441 </w:t>
      </w:r>
      <w:r w:rsidR="0007728D" w:rsidRPr="0007728D">
        <w:rPr>
          <w:rFonts w:cs="Times New Roman"/>
        </w:rPr>
        <w:t>občanského zákoníku</w:t>
      </w:r>
      <w:r w:rsidRPr="0007728D">
        <w:rPr>
          <w:rFonts w:cs="Times New Roman"/>
        </w:rPr>
        <w:t>.</w:t>
      </w:r>
    </w:p>
    <w:p w:rsidR="000C614F" w:rsidRDefault="00E6523F" w:rsidP="006A0E34">
      <w:pPr>
        <w:ind w:firstLine="360"/>
        <w:rPr>
          <w:rFonts w:cs="Times New Roman"/>
        </w:rPr>
      </w:pPr>
      <w:r w:rsidRPr="000C614F">
        <w:rPr>
          <w:rFonts w:cs="Times New Roman"/>
        </w:rPr>
        <w:t>Ačkoliv z pohledu věcného řešení předmětného sporu, nelze Nejvyššímu soudu nic vyčíst, pokud jde o (ne)aplikaci evropského práva, je tomu jistě naop</w:t>
      </w:r>
      <w:r w:rsidR="0007728D" w:rsidRPr="000C614F">
        <w:rPr>
          <w:rFonts w:cs="Times New Roman"/>
        </w:rPr>
        <w:t>ak. Nejvyšší soud se předně v projednávané věci</w:t>
      </w:r>
      <w:r w:rsidRPr="000C614F">
        <w:rPr>
          <w:rFonts w:cs="Times New Roman"/>
        </w:rPr>
        <w:t xml:space="preserve"> vůbec nezabývá evrop</w:t>
      </w:r>
      <w:r w:rsidR="0007728D" w:rsidRPr="000C614F">
        <w:rPr>
          <w:rFonts w:cs="Times New Roman"/>
        </w:rPr>
        <w:t xml:space="preserve">skou stránkou věci. Neoperuje s </w:t>
      </w:r>
      <w:r w:rsidRPr="000C614F">
        <w:rPr>
          <w:rFonts w:cs="Times New Roman"/>
        </w:rPr>
        <w:t>příslušnou směrnicí</w:t>
      </w:r>
      <w:r w:rsidR="0007728D" w:rsidRPr="000C614F">
        <w:rPr>
          <w:rFonts w:cs="Times New Roman"/>
        </w:rPr>
        <w:t xml:space="preserve"> EU, s níž bylo</w:t>
      </w:r>
      <w:r w:rsidRPr="000C614F">
        <w:rPr>
          <w:rFonts w:cs="Times New Roman"/>
        </w:rPr>
        <w:t xml:space="preserve"> výše citované ustanovení vnitrostátního zákona zjevně v rozporu.</w:t>
      </w:r>
      <w:r w:rsidRPr="000C614F">
        <w:rPr>
          <w:rFonts w:cs="Times New Roman"/>
          <w:vertAlign w:val="superscript"/>
        </w:rPr>
        <w:footnoteReference w:id="55"/>
      </w:r>
      <w:r w:rsidRPr="000C614F">
        <w:rPr>
          <w:rFonts w:cs="Times New Roman"/>
        </w:rPr>
        <w:t xml:space="preserve"> Nečiní úvahu, zda se</w:t>
      </w:r>
      <w:r w:rsidR="0007728D" w:rsidRPr="000C614F">
        <w:rPr>
          <w:rFonts w:cs="Times New Roman"/>
        </w:rPr>
        <w:t xml:space="preserve"> zde</w:t>
      </w:r>
      <w:r w:rsidRPr="000C614F">
        <w:rPr>
          <w:rFonts w:cs="Times New Roman"/>
        </w:rPr>
        <w:t xml:space="preserve"> jedná o</w:t>
      </w:r>
      <w:r w:rsidR="0007728D" w:rsidRPr="000C614F">
        <w:rPr>
          <w:rFonts w:cs="Times New Roman"/>
        </w:rPr>
        <w:t xml:space="preserve"> existenci tzv.</w:t>
      </w:r>
      <w:r w:rsidRPr="000C614F">
        <w:rPr>
          <w:rFonts w:cs="Times New Roman"/>
        </w:rPr>
        <w:t xml:space="preserve"> </w:t>
      </w:r>
      <w:proofErr w:type="spellStart"/>
      <w:r w:rsidRPr="000C614F">
        <w:rPr>
          <w:rFonts w:cs="Times New Roman"/>
          <w:i/>
        </w:rPr>
        <w:t>acte</w:t>
      </w:r>
      <w:proofErr w:type="spellEnd"/>
      <w:r w:rsidRPr="000C614F">
        <w:rPr>
          <w:rFonts w:cs="Times New Roman"/>
          <w:i/>
        </w:rPr>
        <w:t xml:space="preserve"> </w:t>
      </w:r>
      <w:proofErr w:type="spellStart"/>
      <w:r w:rsidRPr="000C614F">
        <w:rPr>
          <w:rFonts w:cs="Times New Roman"/>
          <w:i/>
        </w:rPr>
        <w:t>clair</w:t>
      </w:r>
      <w:proofErr w:type="spellEnd"/>
      <w:r w:rsidRPr="000C614F">
        <w:rPr>
          <w:rFonts w:cs="Times New Roman"/>
        </w:rPr>
        <w:t xml:space="preserve">, jež by NS mohl zprostit povinnosti předložit předběžnou otázku k </w:t>
      </w:r>
      <w:r w:rsidR="0007728D" w:rsidRPr="000C614F">
        <w:rPr>
          <w:rFonts w:cs="Times New Roman"/>
        </w:rPr>
        <w:t>SDEU</w:t>
      </w:r>
      <w:r w:rsidRPr="000C614F">
        <w:rPr>
          <w:rFonts w:cs="Times New Roman"/>
        </w:rPr>
        <w:t>.</w:t>
      </w:r>
      <w:r w:rsidR="0007728D" w:rsidRPr="000C614F">
        <w:rPr>
          <w:rStyle w:val="Znakapoznpodarou"/>
          <w:rFonts w:cs="Times New Roman"/>
        </w:rPr>
        <w:footnoteReference w:id="56"/>
      </w:r>
      <w:r w:rsidRPr="000C614F">
        <w:rPr>
          <w:rFonts w:cs="Times New Roman"/>
        </w:rPr>
        <w:t xml:space="preserve"> </w:t>
      </w:r>
      <w:proofErr w:type="spellStart"/>
      <w:r w:rsidRPr="000C614F">
        <w:rPr>
          <w:rFonts w:cs="Times New Roman"/>
        </w:rPr>
        <w:t>Eurokonformním</w:t>
      </w:r>
      <w:proofErr w:type="spellEnd"/>
      <w:r w:rsidRPr="000C614F">
        <w:rPr>
          <w:rFonts w:cs="Times New Roman"/>
        </w:rPr>
        <w:t xml:space="preserve"> výkladem by přitom zcela jistě bylo možno zjištěný rozpor vnitrostátního práva se směrnicí překonat, avšak </w:t>
      </w:r>
      <w:r w:rsidR="0007728D" w:rsidRPr="000C614F">
        <w:rPr>
          <w:rFonts w:cs="Times New Roman"/>
        </w:rPr>
        <w:t>Nejvyšší soud</w:t>
      </w:r>
      <w:r w:rsidRPr="000C614F">
        <w:rPr>
          <w:rFonts w:cs="Times New Roman"/>
        </w:rPr>
        <w:t xml:space="preserve"> tento postup nezvolil. Ačkoliv meritorně dospěl k</w:t>
      </w:r>
      <w:r w:rsidR="0007728D" w:rsidRPr="000C614F">
        <w:rPr>
          <w:rFonts w:cs="Times New Roman"/>
        </w:rPr>
        <w:t>e</w:t>
      </w:r>
      <w:r w:rsidRPr="000C614F">
        <w:rPr>
          <w:rFonts w:cs="Times New Roman"/>
        </w:rPr>
        <w:t xml:space="preserve"> správnému a ve </w:t>
      </w:r>
      <w:r w:rsidR="000C614F" w:rsidRPr="000C614F">
        <w:rPr>
          <w:rFonts w:cs="Times New Roman"/>
        </w:rPr>
        <w:t>své podstatě</w:t>
      </w:r>
      <w:r w:rsidRPr="000C614F">
        <w:rPr>
          <w:rFonts w:cs="Times New Roman"/>
        </w:rPr>
        <w:t xml:space="preserve"> rovněž </w:t>
      </w:r>
      <w:proofErr w:type="spellStart"/>
      <w:r w:rsidRPr="000C614F">
        <w:rPr>
          <w:rFonts w:cs="Times New Roman"/>
        </w:rPr>
        <w:t>eurokonformnímu</w:t>
      </w:r>
      <w:proofErr w:type="spellEnd"/>
      <w:r w:rsidRPr="000C614F">
        <w:rPr>
          <w:rFonts w:cs="Times New Roman"/>
        </w:rPr>
        <w:t xml:space="preserve"> výsledku, zvolené řešení </w:t>
      </w:r>
      <w:r w:rsidR="000C614F" w:rsidRPr="000C614F">
        <w:rPr>
          <w:rFonts w:cs="Times New Roman"/>
        </w:rPr>
        <w:t xml:space="preserve">de facto </w:t>
      </w:r>
      <w:r w:rsidRPr="000C614F">
        <w:rPr>
          <w:rFonts w:cs="Times New Roman"/>
        </w:rPr>
        <w:t xml:space="preserve">zamlčuje existenci evropského prvku ve sporu. Vytváří tak mylný dojem, že </w:t>
      </w:r>
      <w:r w:rsidR="000C614F" w:rsidRPr="000C614F">
        <w:rPr>
          <w:rFonts w:cs="Times New Roman"/>
        </w:rPr>
        <w:t>unijní</w:t>
      </w:r>
      <w:r w:rsidRPr="000C614F">
        <w:rPr>
          <w:rFonts w:cs="Times New Roman"/>
        </w:rPr>
        <w:t xml:space="preserve"> právní úprava na daný spor </w:t>
      </w:r>
      <w:r w:rsidR="000C614F" w:rsidRPr="000C614F">
        <w:rPr>
          <w:rFonts w:cs="Times New Roman"/>
        </w:rPr>
        <w:t>v podstatě</w:t>
      </w:r>
      <w:r w:rsidRPr="000C614F">
        <w:rPr>
          <w:rFonts w:cs="Times New Roman"/>
        </w:rPr>
        <w:t xml:space="preserve"> nedopadá</w:t>
      </w:r>
      <w:r w:rsidR="000C614F" w:rsidRPr="000C614F">
        <w:rPr>
          <w:rFonts w:cs="Times New Roman"/>
        </w:rPr>
        <w:t>,</w:t>
      </w:r>
      <w:r w:rsidRPr="000C614F">
        <w:rPr>
          <w:rFonts w:cs="Times New Roman"/>
        </w:rPr>
        <w:t xml:space="preserve"> </w:t>
      </w:r>
      <w:r w:rsidR="000C614F" w:rsidRPr="000C614F">
        <w:rPr>
          <w:rFonts w:cs="Times New Roman"/>
        </w:rPr>
        <w:t>případně</w:t>
      </w:r>
      <w:r w:rsidRPr="000C614F">
        <w:rPr>
          <w:rFonts w:cs="Times New Roman"/>
        </w:rPr>
        <w:t xml:space="preserve"> neexistuje. Zvolený postup je však špatným signálem pro soudy nižších stupňů, které se pak v důsledku tohoto postupu</w:t>
      </w:r>
      <w:r w:rsidR="000C614F">
        <w:rPr>
          <w:rFonts w:cs="Times New Roman"/>
        </w:rPr>
        <w:t xml:space="preserve"> Nejvyššího soudu</w:t>
      </w:r>
      <w:r w:rsidRPr="000C614F">
        <w:rPr>
          <w:rFonts w:cs="Times New Roman"/>
        </w:rPr>
        <w:t xml:space="preserve"> rovněž o evropskou </w:t>
      </w:r>
      <w:r w:rsidR="000C614F">
        <w:rPr>
          <w:rFonts w:cs="Times New Roman"/>
        </w:rPr>
        <w:t>stránku věci</w:t>
      </w:r>
      <w:r w:rsidRPr="000C614F">
        <w:rPr>
          <w:rFonts w:cs="Times New Roman"/>
        </w:rPr>
        <w:t xml:space="preserve"> nezajímají a s právem EU nejsou </w:t>
      </w:r>
      <w:r w:rsidR="000C614F" w:rsidRPr="000C614F">
        <w:rPr>
          <w:rFonts w:cs="Times New Roman"/>
        </w:rPr>
        <w:t xml:space="preserve">ve svých rozhodnutích </w:t>
      </w:r>
      <w:r w:rsidRPr="000C614F">
        <w:rPr>
          <w:rFonts w:cs="Times New Roman"/>
        </w:rPr>
        <w:t>nuceny pracovat.</w:t>
      </w:r>
    </w:p>
    <w:p w:rsidR="00E6523F" w:rsidRPr="000C614F" w:rsidRDefault="000C614F" w:rsidP="006A0E34">
      <w:pPr>
        <w:ind w:firstLine="360"/>
        <w:rPr>
          <w:rFonts w:cs="Times New Roman"/>
        </w:rPr>
      </w:pPr>
      <w:r>
        <w:rPr>
          <w:rFonts w:cs="Times New Roman"/>
        </w:rPr>
        <w:lastRenderedPageBreak/>
        <w:t>Tento případ rovněž do značné míry ilustruje vztah Nejvyššího soudu k</w:t>
      </w:r>
      <w:r w:rsidR="00B160CA">
        <w:rPr>
          <w:rFonts w:cs="Times New Roman"/>
        </w:rPr>
        <w:t xml:space="preserve"> </w:t>
      </w:r>
      <w:r>
        <w:rPr>
          <w:rFonts w:cs="Times New Roman"/>
        </w:rPr>
        <w:t>aplikaci unijního práva</w:t>
      </w:r>
      <w:r w:rsidR="00B160CA" w:rsidRPr="00B160CA">
        <w:rPr>
          <w:rFonts w:cs="Times New Roman"/>
        </w:rPr>
        <w:t xml:space="preserve"> </w:t>
      </w:r>
      <w:r w:rsidR="00B160CA">
        <w:rPr>
          <w:rFonts w:cs="Times New Roman"/>
        </w:rPr>
        <w:t>obecně</w:t>
      </w:r>
      <w:r>
        <w:rPr>
          <w:rFonts w:cs="Times New Roman"/>
        </w:rPr>
        <w:t xml:space="preserve">. </w:t>
      </w:r>
      <w:r w:rsidR="00B160CA">
        <w:rPr>
          <w:rFonts w:cs="Times New Roman"/>
        </w:rPr>
        <w:t>Už s ohledem na nespočet rozhodnutí, v nichž jednotlivé senáty NS aplikovaly právo EU, nelze postoj Nejvyššího soudu k evropskému právu hodnotit negativně</w:t>
      </w:r>
      <w:r w:rsidR="00A7385F">
        <w:rPr>
          <w:rFonts w:cs="Times New Roman"/>
        </w:rPr>
        <w:t xml:space="preserve">. Stejně tak však není na místě jeho dosavadní „unijní“ judikaturu hodnotit </w:t>
      </w:r>
      <w:r w:rsidR="00E3114F">
        <w:rPr>
          <w:rFonts w:cs="Times New Roman"/>
        </w:rPr>
        <w:t>veskrze</w:t>
      </w:r>
      <w:r w:rsidR="00A7385F">
        <w:rPr>
          <w:rFonts w:cs="Times New Roman"/>
        </w:rPr>
        <w:t xml:space="preserve"> kladně. Problém </w:t>
      </w:r>
      <w:r w:rsidR="000F5356">
        <w:rPr>
          <w:rFonts w:cs="Times New Roman"/>
        </w:rPr>
        <w:t xml:space="preserve">v této souvislosti </w:t>
      </w:r>
      <w:r w:rsidR="00E3114F">
        <w:rPr>
          <w:rFonts w:cs="Times New Roman"/>
        </w:rPr>
        <w:t xml:space="preserve">podle mého názoru spočívá především ve způsobu argumentace, kterou ve věcech s evropským prvkem </w:t>
      </w:r>
      <w:r w:rsidR="000F5356">
        <w:rPr>
          <w:rFonts w:cs="Times New Roman"/>
        </w:rPr>
        <w:t xml:space="preserve">NS </w:t>
      </w:r>
      <w:r w:rsidR="00E3114F">
        <w:rPr>
          <w:rFonts w:cs="Times New Roman"/>
        </w:rPr>
        <w:t>volí. Jak bude znázorněno v následujícím textu, p</w:t>
      </w:r>
      <w:r w:rsidR="00A7385F">
        <w:rPr>
          <w:rFonts w:cs="Times New Roman"/>
        </w:rPr>
        <w:t>okud</w:t>
      </w:r>
      <w:r w:rsidR="00E3114F">
        <w:rPr>
          <w:rFonts w:cs="Times New Roman"/>
        </w:rPr>
        <w:t xml:space="preserve"> Nejvyšší soud</w:t>
      </w:r>
      <w:r w:rsidR="00A7385F">
        <w:rPr>
          <w:rFonts w:cs="Times New Roman"/>
        </w:rPr>
        <w:t xml:space="preserve"> aplikuje ustanovení přímo použitelných nařízení nebo zakládacích smluv,</w:t>
      </w:r>
      <w:r w:rsidR="00E3114F">
        <w:rPr>
          <w:rFonts w:cs="Times New Roman"/>
        </w:rPr>
        <w:t xml:space="preserve"> věnuje obvykle ve svém rozhodnutí unijnímu</w:t>
      </w:r>
      <w:r w:rsidR="00A7385F">
        <w:rPr>
          <w:rFonts w:cs="Times New Roman"/>
        </w:rPr>
        <w:t xml:space="preserve"> </w:t>
      </w:r>
      <w:r w:rsidR="00E3114F">
        <w:rPr>
          <w:rFonts w:cs="Times New Roman"/>
        </w:rPr>
        <w:t xml:space="preserve">právu poměrně mnoho prostoru (což je </w:t>
      </w:r>
      <w:r w:rsidR="000F5356">
        <w:rPr>
          <w:rFonts w:cs="Times New Roman"/>
        </w:rPr>
        <w:t>pochopitelně logické, neboť v takových případech přímo aplikuje ustanovení evropského práva). Po</w:t>
      </w:r>
      <w:r w:rsidR="007B1CCE">
        <w:rPr>
          <w:rFonts w:cs="Times New Roman"/>
        </w:rPr>
        <w:t>kud jde však o aplikaci směrnic</w:t>
      </w:r>
      <w:r w:rsidR="000F5356">
        <w:rPr>
          <w:rFonts w:cs="Times New Roman"/>
        </w:rPr>
        <w:t>, zejména v případech jejich nepřímého účinku, nabízí se Nejvyššímu soudu povětšinou dvojí argumentační cesta</w:t>
      </w:r>
      <w:r w:rsidR="007B1CCE">
        <w:rPr>
          <w:rFonts w:cs="Times New Roman"/>
        </w:rPr>
        <w:t xml:space="preserve"> – buď dospěje k </w:t>
      </w:r>
      <w:proofErr w:type="spellStart"/>
      <w:r w:rsidR="007B1CCE">
        <w:rPr>
          <w:rFonts w:cs="Times New Roman"/>
        </w:rPr>
        <w:t>eurokonformnímu</w:t>
      </w:r>
      <w:proofErr w:type="spellEnd"/>
      <w:r w:rsidR="007B1CCE">
        <w:rPr>
          <w:rFonts w:cs="Times New Roman"/>
        </w:rPr>
        <w:t xml:space="preserve"> řešení cestou argumentace unijním právem, nebo si primárně vystačí s argumentací českým právem a na směrnici v nejlepším případě </w:t>
      </w:r>
      <w:r w:rsidR="00C53E48">
        <w:rPr>
          <w:rFonts w:cs="Times New Roman"/>
        </w:rPr>
        <w:t xml:space="preserve">pouze </w:t>
      </w:r>
      <w:r w:rsidR="007B1CCE">
        <w:rPr>
          <w:rFonts w:cs="Times New Roman"/>
        </w:rPr>
        <w:t>stručně odkáže.</w:t>
      </w:r>
      <w:r w:rsidR="00C53E48">
        <w:rPr>
          <w:rFonts w:cs="Times New Roman"/>
        </w:rPr>
        <w:t xml:space="preserve"> V judikatuře Nejvyššího soudu se tak můžeme setkat s celou řadou rozhodnutí, v nichž se s unijním </w:t>
      </w:r>
      <w:r w:rsidR="00681E4F">
        <w:rPr>
          <w:rFonts w:cs="Times New Roman"/>
        </w:rPr>
        <w:t>právem</w:t>
      </w:r>
      <w:r w:rsidR="0043088E">
        <w:rPr>
          <w:rFonts w:cs="Times New Roman"/>
        </w:rPr>
        <w:t>, a se směrnicemi EU obzvláště,</w:t>
      </w:r>
      <w:r w:rsidR="00681E4F">
        <w:rPr>
          <w:rFonts w:cs="Times New Roman"/>
        </w:rPr>
        <w:t xml:space="preserve"> pracuje jako s okrasnou květinou, na níž se vznosně poukáže, aniž by </w:t>
      </w:r>
      <w:r w:rsidR="0043088E">
        <w:rPr>
          <w:rFonts w:cs="Times New Roman"/>
        </w:rPr>
        <w:t xml:space="preserve">však </w:t>
      </w:r>
      <w:r w:rsidR="00681E4F">
        <w:rPr>
          <w:rFonts w:cs="Times New Roman"/>
        </w:rPr>
        <w:t>z</w:t>
      </w:r>
      <w:r w:rsidR="0043088E">
        <w:rPr>
          <w:rFonts w:cs="Times New Roman"/>
        </w:rPr>
        <w:t> této skutečnost</w:t>
      </w:r>
      <w:r w:rsidR="00681E4F">
        <w:rPr>
          <w:rFonts w:cs="Times New Roman"/>
        </w:rPr>
        <w:t xml:space="preserve"> byly pro věc </w:t>
      </w:r>
      <w:r w:rsidR="0043088E">
        <w:rPr>
          <w:rFonts w:cs="Times New Roman"/>
        </w:rPr>
        <w:t xml:space="preserve">učiněny </w:t>
      </w:r>
      <w:r w:rsidR="00681E4F">
        <w:rPr>
          <w:rFonts w:cs="Times New Roman"/>
        </w:rPr>
        <w:t>nějaké relevantní závěry.</w:t>
      </w:r>
      <w:r w:rsidR="0043088E">
        <w:rPr>
          <w:rStyle w:val="Znakapoznpodarou"/>
          <w:rFonts w:cs="Times New Roman"/>
        </w:rPr>
        <w:footnoteReference w:id="57"/>
      </w:r>
    </w:p>
    <w:p w:rsidR="005F1796" w:rsidRPr="005F1796" w:rsidRDefault="005F1796" w:rsidP="008510D1">
      <w:pPr>
        <w:ind w:firstLine="0"/>
        <w:rPr>
          <w:rFonts w:cs="Times New Roman"/>
          <w:color w:val="1F497D" w:themeColor="text2"/>
        </w:rPr>
      </w:pPr>
    </w:p>
    <w:p w:rsidR="008510D1" w:rsidRDefault="008510D1" w:rsidP="008510D1">
      <w:pPr>
        <w:pStyle w:val="Odstavecseseznamem"/>
        <w:numPr>
          <w:ilvl w:val="0"/>
          <w:numId w:val="2"/>
        </w:numPr>
        <w:rPr>
          <w:rFonts w:cs="Times New Roman"/>
          <w:b/>
        </w:rPr>
      </w:pPr>
      <w:r w:rsidRPr="008510D1">
        <w:rPr>
          <w:rFonts w:cs="Times New Roman"/>
          <w:b/>
        </w:rPr>
        <w:t>Přímý účinek</w:t>
      </w:r>
    </w:p>
    <w:p w:rsidR="006A0D48" w:rsidRDefault="006A0D48" w:rsidP="006A0D48">
      <w:pPr>
        <w:pStyle w:val="Odstavecseseznamem"/>
        <w:ind w:left="360" w:firstLine="0"/>
        <w:rPr>
          <w:rFonts w:cs="Times New Roman"/>
          <w:b/>
        </w:rPr>
      </w:pPr>
    </w:p>
    <w:p w:rsidR="001F2C48" w:rsidRDefault="001F2C48" w:rsidP="004907B9">
      <w:pPr>
        <w:pStyle w:val="Odstavecseseznamem"/>
        <w:numPr>
          <w:ilvl w:val="1"/>
          <w:numId w:val="2"/>
        </w:numPr>
        <w:ind w:left="431" w:hanging="431"/>
        <w:rPr>
          <w:rFonts w:cs="Times New Roman"/>
          <w:b/>
          <w:i/>
        </w:rPr>
      </w:pPr>
      <w:r w:rsidRPr="003A48AE">
        <w:rPr>
          <w:rFonts w:cs="Times New Roman"/>
          <w:b/>
          <w:i/>
        </w:rPr>
        <w:t>Přímý účinek bez konfliktu s vnitrostátní úpravou nebo vedle ní</w:t>
      </w:r>
    </w:p>
    <w:p w:rsidR="00B662F6" w:rsidRDefault="00B662F6" w:rsidP="005F1796">
      <w:pPr>
        <w:rPr>
          <w:color w:val="1F497D" w:themeColor="text2"/>
        </w:rPr>
      </w:pPr>
    </w:p>
    <w:p w:rsidR="005F1796" w:rsidRPr="005F44B5" w:rsidRDefault="005F1796" w:rsidP="005F1796">
      <w:r w:rsidRPr="005F44B5">
        <w:t>K aplikaci přímo použitelných nařízení dochází v oblasti e</w:t>
      </w:r>
      <w:r w:rsidR="00B662F6" w:rsidRPr="005F44B5">
        <w:t>vropské justiční spolupráce v </w:t>
      </w:r>
      <w:r w:rsidRPr="005F44B5">
        <w:t>občanských a obchodních věcech. Tato nařízení jsou rovněž Nejvyšším soudem nezřídka aplikována při určení místní příslušnosti podle § 11 odst. 3 občanského soudního řádu.</w:t>
      </w:r>
      <w:r w:rsidRPr="005F44B5">
        <w:rPr>
          <w:rStyle w:val="Znakapoznpodarou"/>
        </w:rPr>
        <w:footnoteReference w:id="58"/>
      </w:r>
      <w:r w:rsidRPr="005F44B5">
        <w:t xml:space="preserve"> Nejvyšší soud v těchto případech zejména „bdí“ nad správnou aplikací předmětných nařízení soudy nižších stupňů a případnou chybnou aplikaci sankcionuje zrušením napadených rozhodnutí pro nesprávné právní posouzení.</w:t>
      </w:r>
      <w:r w:rsidRPr="005F44B5">
        <w:rPr>
          <w:rStyle w:val="Znakapoznpodarou"/>
        </w:rPr>
        <w:footnoteReference w:id="59"/>
      </w:r>
      <w:r w:rsidRPr="005F44B5">
        <w:t xml:space="preserve"> Učinil tak například </w:t>
      </w:r>
      <w:r w:rsidR="005F44B5" w:rsidRPr="005F44B5">
        <w:t>ve věci týkající se dohodě o prorogaci,</w:t>
      </w:r>
      <w:r w:rsidRPr="005F44B5">
        <w:rPr>
          <w:rStyle w:val="Znakapoznpodarou"/>
        </w:rPr>
        <w:footnoteReference w:id="60"/>
      </w:r>
      <w:r w:rsidRPr="005F44B5">
        <w:t xml:space="preserve"> v níž uvedl, že </w:t>
      </w:r>
      <w:r w:rsidRPr="005F44B5">
        <w:rPr>
          <w:i/>
        </w:rPr>
        <w:t>„[p]</w:t>
      </w:r>
      <w:proofErr w:type="spellStart"/>
      <w:r w:rsidRPr="005F44B5">
        <w:rPr>
          <w:i/>
        </w:rPr>
        <w:t>oté</w:t>
      </w:r>
      <w:proofErr w:type="spellEnd"/>
      <w:r w:rsidRPr="005F44B5">
        <w:rPr>
          <w:i/>
        </w:rPr>
        <w:t xml:space="preserve">, co se Česká republika stala členem Evropského </w:t>
      </w:r>
      <w:r w:rsidRPr="005F44B5">
        <w:rPr>
          <w:i/>
        </w:rPr>
        <w:lastRenderedPageBreak/>
        <w:t>společenství</w:t>
      </w:r>
      <w:r w:rsidR="005F44B5" w:rsidRPr="005F44B5">
        <w:rPr>
          <w:i/>
        </w:rPr>
        <w:t>,</w:t>
      </w:r>
      <w:r w:rsidRPr="005F44B5">
        <w:rPr>
          <w:i/>
        </w:rPr>
        <w:t xml:space="preserve"> byla vázána mj. předpisy ES, které jsou v členských státech přímo použitelné. Mezi tyto předpisy patří mj. i nařízení Rady (ES) č. 44/2001 (...).</w:t>
      </w:r>
      <w:r w:rsidRPr="005F44B5">
        <w:rPr>
          <w:rStyle w:val="Znakapoznpodarou"/>
        </w:rPr>
        <w:footnoteReference w:id="61"/>
      </w:r>
      <w:r w:rsidRPr="005F44B5">
        <w:rPr>
          <w:i/>
        </w:rPr>
        <w:t xml:space="preserve"> Z uvedeného je zřejmé, že odvolací soud v daném případě pravomoc českých soudů z hlediska nařízení Rady (ES) č. </w:t>
      </w:r>
      <w:proofErr w:type="gramStart"/>
      <w:r w:rsidRPr="005F44B5">
        <w:rPr>
          <w:i/>
        </w:rPr>
        <w:t>44/2001 (...) nezkoumal</w:t>
      </w:r>
      <w:proofErr w:type="gramEnd"/>
      <w:r w:rsidRPr="005F44B5">
        <w:rPr>
          <w:i/>
        </w:rPr>
        <w:t xml:space="preserve">.“ </w:t>
      </w:r>
      <w:r w:rsidR="005F44B5">
        <w:t>Nejvyšší soud</w:t>
      </w:r>
      <w:r w:rsidRPr="005F44B5">
        <w:t xml:space="preserve"> tak dospěl k závěru, že rozhodnutí odvolacího soudu spočívá na nesprávném právním posouzení a proto jej zrušil.</w:t>
      </w:r>
      <w:r w:rsidRPr="005F44B5">
        <w:rPr>
          <w:rStyle w:val="Znakapoznpodarou"/>
        </w:rPr>
        <w:footnoteReference w:id="62"/>
      </w:r>
    </w:p>
    <w:p w:rsidR="005F1796" w:rsidRPr="005F1796" w:rsidRDefault="005F1796" w:rsidP="005F1796">
      <w:pPr>
        <w:pStyle w:val="Odstavecseseznamem"/>
        <w:ind w:left="431" w:firstLine="0"/>
        <w:rPr>
          <w:rFonts w:cs="Times New Roman"/>
        </w:rPr>
      </w:pPr>
    </w:p>
    <w:p w:rsidR="001F2C48" w:rsidRPr="003A48AE" w:rsidRDefault="001F2C48" w:rsidP="004907B9">
      <w:pPr>
        <w:pStyle w:val="Odstavecseseznamem"/>
        <w:numPr>
          <w:ilvl w:val="1"/>
          <w:numId w:val="2"/>
        </w:numPr>
        <w:ind w:left="431" w:hanging="431"/>
        <w:rPr>
          <w:rFonts w:cs="Times New Roman"/>
          <w:b/>
          <w:i/>
        </w:rPr>
      </w:pPr>
      <w:r w:rsidRPr="003A48AE">
        <w:rPr>
          <w:rFonts w:cs="Times New Roman"/>
          <w:b/>
          <w:i/>
        </w:rPr>
        <w:t>Přímý účinek a rozpor s vnitrostátní úpravou</w:t>
      </w:r>
    </w:p>
    <w:p w:rsidR="005F1796" w:rsidRDefault="005F1796" w:rsidP="00F82F02">
      <w:pPr>
        <w:pStyle w:val="Odstavecseseznamem"/>
        <w:ind w:left="431" w:firstLine="0"/>
        <w:rPr>
          <w:rFonts w:cs="Times New Roman"/>
        </w:rPr>
      </w:pPr>
    </w:p>
    <w:p w:rsidR="005F1796" w:rsidRPr="005F44B5" w:rsidRDefault="005F1796" w:rsidP="005F1796">
      <w:r w:rsidRPr="005F44B5">
        <w:t xml:space="preserve">K situacím, v nichž </w:t>
      </w:r>
      <w:r w:rsidR="005F44B5" w:rsidRPr="005F44B5">
        <w:t>vnitrostátní soud</w:t>
      </w:r>
      <w:r w:rsidRPr="005F44B5">
        <w:t xml:space="preserve"> shledal přímý rozpor mezi normou evropského práva a vnitrostátní normou, přičemž v souladu s principem primátu, aplikoval přednostně právo EU, dochází v případě </w:t>
      </w:r>
      <w:r w:rsidR="005F44B5" w:rsidRPr="005F44B5">
        <w:t>Nejvyššího soudu</w:t>
      </w:r>
      <w:r w:rsidRPr="005F44B5">
        <w:t xml:space="preserve"> pouze ojediněle. NS v takové situaci spíše volí cestu </w:t>
      </w:r>
      <w:proofErr w:type="spellStart"/>
      <w:r w:rsidRPr="005F44B5">
        <w:t>eurokonformního</w:t>
      </w:r>
      <w:proofErr w:type="spellEnd"/>
      <w:r w:rsidRPr="005F44B5">
        <w:t xml:space="preserve"> výkladu vnitrostátního práva. Učinil tak v</w:t>
      </w:r>
      <w:r w:rsidR="005F44B5" w:rsidRPr="005F44B5">
        <w:t>e věci</w:t>
      </w:r>
      <w:r w:rsidRPr="005F44B5">
        <w:t>,</w:t>
      </w:r>
      <w:r w:rsidRPr="005F44B5">
        <w:rPr>
          <w:rStyle w:val="Znakapoznpodarou"/>
        </w:rPr>
        <w:footnoteReference w:id="63"/>
      </w:r>
      <w:r w:rsidRPr="005F44B5">
        <w:t xml:space="preserve"> v níž byla spotřebitelka žalována na zaplacení ceny za poskytnuté telekomunikační služby. Žalobkyní však byla společnost, které byla tato pohledávka smluvně postoupena provozovatelem telekomunikační sítě. Soudy nižších stupňů dospěly k závěru, že není dána je</w:t>
      </w:r>
      <w:r w:rsidR="005F44B5" w:rsidRPr="005F44B5">
        <w:t>jich pravomoc, neboť se jedná o </w:t>
      </w:r>
      <w:r w:rsidRPr="005F44B5">
        <w:t>spor mezi osobou vykonávající komunikační činnost a uživatelem, k jehož rozhodnutí je povolán Český telekomunikační úřad.</w:t>
      </w:r>
      <w:r w:rsidRPr="005F44B5">
        <w:rPr>
          <w:rStyle w:val="Znakapoznpodarou"/>
        </w:rPr>
        <w:footnoteReference w:id="64"/>
      </w:r>
      <w:r w:rsidRPr="005F44B5">
        <w:t xml:space="preserve"> Žalobkyně přitom argumentovala tím, že stranou sporu v řízení před </w:t>
      </w:r>
      <w:r w:rsidR="005F44B5" w:rsidRPr="005F44B5">
        <w:t xml:space="preserve">Českým telekomunikačním úřadem </w:t>
      </w:r>
      <w:r w:rsidRPr="005F44B5">
        <w:t>může být pouze osoba vykonávající komunikační činnost, kterou žalobkyně není.</w:t>
      </w:r>
    </w:p>
    <w:p w:rsidR="005F1796" w:rsidRPr="005F1796" w:rsidRDefault="005F1796" w:rsidP="005F44B5">
      <w:pPr>
        <w:rPr>
          <w:color w:val="1F497D" w:themeColor="text2"/>
        </w:rPr>
      </w:pPr>
      <w:r w:rsidRPr="005F44B5">
        <w:t xml:space="preserve">Nejvyšší soud shledal, že relevantní ustanovení vnitrostátního zákona jsou transpozicí směrnice </w:t>
      </w:r>
      <w:r w:rsidR="005F44B5" w:rsidRPr="005F44B5">
        <w:t>EU</w:t>
      </w:r>
      <w:r w:rsidRPr="005F44B5">
        <w:t>, jejímž cílem je zajistit ochranu spotřebitelů, a to zejména prostřednictvím dostupnosti jednoduchých a nenákladných postupů pro řešení sporů.</w:t>
      </w:r>
      <w:r w:rsidRPr="005F44B5">
        <w:rPr>
          <w:rStyle w:val="Znakapoznpodarou"/>
        </w:rPr>
        <w:footnoteReference w:id="65"/>
      </w:r>
      <w:r w:rsidRPr="005F44B5">
        <w:t xml:space="preserve"> NS tak shledal, že </w:t>
      </w:r>
      <w:r w:rsidR="005F44B5" w:rsidRPr="005F44B5">
        <w:rPr>
          <w:i/>
        </w:rPr>
        <w:t>„z </w:t>
      </w:r>
      <w:r w:rsidRPr="005F44B5">
        <w:rPr>
          <w:i/>
        </w:rPr>
        <w:t xml:space="preserve">uvedeného je zřejmé, že doslovné znění § 129 odst. 1 věty první zákona č. 127/2005 Sb. je ve zjevném rozporu s jeho smyslem a </w:t>
      </w:r>
      <w:proofErr w:type="gramStart"/>
      <w:r w:rsidRPr="005F44B5">
        <w:rPr>
          <w:i/>
        </w:rPr>
        <w:t>účelem (...). Zatímco</w:t>
      </w:r>
      <w:proofErr w:type="gramEnd"/>
      <w:r w:rsidRPr="005F44B5">
        <w:rPr>
          <w:i/>
        </w:rPr>
        <w:t xml:space="preserve"> jazykový výklad tohoto ustanovení svědčí ve prospěch názoru prosazovaného žalobkyní (...), jeho smyslem a účelem je, aby úřad </w:t>
      </w:r>
      <w:r w:rsidRPr="005F44B5">
        <w:rPr>
          <w:i/>
        </w:rPr>
        <w:lastRenderedPageBreak/>
        <w:t>rozhodoval spory týkající se plnění povinnosti stanovených zákonem č. 127/2005 Sb.“</w:t>
      </w:r>
      <w:r w:rsidR="005F44B5">
        <w:rPr>
          <w:color w:val="1F497D" w:themeColor="text2"/>
        </w:rPr>
        <w:t xml:space="preserve"> </w:t>
      </w:r>
      <w:r w:rsidRPr="005F44B5">
        <w:t xml:space="preserve">Nejvyšší soud však překvapivě v této souvislosti odkázal nikoliv na judikaturu </w:t>
      </w:r>
      <w:r w:rsidR="005F44B5" w:rsidRPr="005F44B5">
        <w:t>SDEU</w:t>
      </w:r>
      <w:r w:rsidRPr="005F44B5">
        <w:t xml:space="preserve"> a v ní </w:t>
      </w:r>
      <w:r w:rsidR="005F44B5" w:rsidRPr="005F44B5">
        <w:t>formulovaná</w:t>
      </w:r>
      <w:r w:rsidRPr="005F44B5">
        <w:t xml:space="preserve"> pravidla </w:t>
      </w:r>
      <w:proofErr w:type="spellStart"/>
      <w:r w:rsidRPr="005F44B5">
        <w:t>eurokonformního</w:t>
      </w:r>
      <w:proofErr w:type="spellEnd"/>
      <w:r w:rsidRPr="005F44B5">
        <w:t xml:space="preserve"> výkladu, nýbrž na stanovisko Ústavního soudu k výkladu právních norem.</w:t>
      </w:r>
      <w:r w:rsidRPr="005F44B5">
        <w:rPr>
          <w:rStyle w:val="Znakapoznpodarou"/>
        </w:rPr>
        <w:footnoteReference w:id="66"/>
      </w:r>
      <w:r w:rsidRPr="005F44B5">
        <w:t xml:space="preserve"> Není pochyb o tom, že zjištěný přímý rozpor vnitrostátního práva s právem </w:t>
      </w:r>
      <w:r w:rsidR="005F44B5" w:rsidRPr="005F44B5">
        <w:t>EU</w:t>
      </w:r>
      <w:r w:rsidRPr="005F44B5">
        <w:t xml:space="preserve"> Nejvyšší soud překonal pomocí </w:t>
      </w:r>
      <w:proofErr w:type="spellStart"/>
      <w:r w:rsidRPr="005F44B5">
        <w:t>euroko</w:t>
      </w:r>
      <w:r w:rsidR="005F44B5" w:rsidRPr="005F44B5">
        <w:t>nformního</w:t>
      </w:r>
      <w:proofErr w:type="spellEnd"/>
      <w:r w:rsidR="005F44B5" w:rsidRPr="005F44B5">
        <w:t xml:space="preserve"> výkladu, když smysl a </w:t>
      </w:r>
      <w:r w:rsidRPr="005F44B5">
        <w:t xml:space="preserve">účel vnitrostátního zákona nalezl v předmětné </w:t>
      </w:r>
      <w:r w:rsidR="005F44B5" w:rsidRPr="005F44B5">
        <w:t xml:space="preserve">unijní </w:t>
      </w:r>
      <w:r w:rsidRPr="005F44B5">
        <w:t xml:space="preserve">směrnici a cíli, jež sledovala. Ačkoliv poukaz na stanovisko ÚS jistě není nic proti ničemu, NS však měl svoji </w:t>
      </w:r>
      <w:proofErr w:type="spellStart"/>
      <w:r w:rsidRPr="005F44B5">
        <w:t>eurokonformní</w:t>
      </w:r>
      <w:proofErr w:type="spellEnd"/>
      <w:r w:rsidRPr="005F44B5">
        <w:t xml:space="preserve"> argumentaci dovést do důsledku a  podpořit ji především relevantní judikaturou Soudního dvora</w:t>
      </w:r>
      <w:r w:rsidR="005F44B5" w:rsidRPr="005F44B5">
        <w:t xml:space="preserve"> EU</w:t>
      </w:r>
      <w:r w:rsidRPr="005F44B5">
        <w:t xml:space="preserve">, neboť se jednalo o výklad vnitrostátních ustanovení transponujících do právního řádu </w:t>
      </w:r>
      <w:r w:rsidR="005F44B5" w:rsidRPr="005F44B5">
        <w:t xml:space="preserve">evropské </w:t>
      </w:r>
      <w:r w:rsidRPr="005F44B5">
        <w:t>právo.</w:t>
      </w:r>
    </w:p>
    <w:p w:rsidR="005F1796" w:rsidRPr="005F1796" w:rsidRDefault="005F1796" w:rsidP="005F1796">
      <w:pPr>
        <w:ind w:firstLine="0"/>
        <w:rPr>
          <w:rFonts w:cs="Times New Roman"/>
        </w:rPr>
      </w:pPr>
    </w:p>
    <w:p w:rsidR="001F2C48" w:rsidRDefault="0007728D" w:rsidP="004907B9">
      <w:pPr>
        <w:pStyle w:val="Odstavecseseznamem"/>
        <w:numPr>
          <w:ilvl w:val="1"/>
          <w:numId w:val="2"/>
        </w:numPr>
        <w:ind w:left="431" w:hanging="431"/>
        <w:rPr>
          <w:rFonts w:cs="Times New Roman"/>
          <w:b/>
          <w:i/>
        </w:rPr>
      </w:pPr>
      <w:r>
        <w:rPr>
          <w:rFonts w:cs="Times New Roman"/>
          <w:b/>
          <w:i/>
        </w:rPr>
        <w:t>K existenci</w:t>
      </w:r>
      <w:r w:rsidR="001F2C48" w:rsidRPr="003A48AE">
        <w:rPr>
          <w:rFonts w:cs="Times New Roman"/>
          <w:b/>
          <w:i/>
        </w:rPr>
        <w:t xml:space="preserve"> prováděcích předpisů k přímo použitelnému nařízení</w:t>
      </w:r>
    </w:p>
    <w:p w:rsidR="005F44B5" w:rsidRDefault="005F44B5" w:rsidP="0007728D">
      <w:pPr>
        <w:pStyle w:val="Odstavecseseznamem"/>
        <w:ind w:left="360" w:firstLine="0"/>
        <w:rPr>
          <w:rFonts w:cs="Times New Roman"/>
        </w:rPr>
      </w:pPr>
    </w:p>
    <w:p w:rsidR="008E0081" w:rsidRDefault="007A1C94" w:rsidP="007A1C94">
      <w:pPr>
        <w:ind w:firstLine="360"/>
        <w:rPr>
          <w:rFonts w:cs="Times New Roman"/>
        </w:rPr>
      </w:pPr>
      <w:r w:rsidRPr="007A1C94">
        <w:rPr>
          <w:rFonts w:cs="Times New Roman"/>
        </w:rPr>
        <w:t>Problematikou existence prováděcích předpisů k přímo použitelnému nařízení se Nejvyšší soud zabýval ve věci týkají</w:t>
      </w:r>
      <w:r w:rsidR="0022213D">
        <w:rPr>
          <w:rFonts w:cs="Times New Roman"/>
        </w:rPr>
        <w:t>cí</w:t>
      </w:r>
      <w:r w:rsidRPr="007A1C94">
        <w:rPr>
          <w:rFonts w:cs="Times New Roman"/>
        </w:rPr>
        <w:t xml:space="preserve"> se výrobních náhrad za cukr</w:t>
      </w:r>
      <w:r>
        <w:rPr>
          <w:rFonts w:cs="Times New Roman"/>
        </w:rPr>
        <w:t>.</w:t>
      </w:r>
      <w:r>
        <w:rPr>
          <w:rStyle w:val="Znakapoznpodarou"/>
          <w:rFonts w:cs="Times New Roman"/>
        </w:rPr>
        <w:footnoteReference w:id="67"/>
      </w:r>
      <w:r w:rsidR="0022213D">
        <w:rPr>
          <w:rFonts w:cs="Times New Roman"/>
        </w:rPr>
        <w:t xml:space="preserve"> </w:t>
      </w:r>
      <w:r w:rsidR="00764023">
        <w:rPr>
          <w:rFonts w:cs="Times New Roman"/>
        </w:rPr>
        <w:t>V uvedeném rozhodnu</w:t>
      </w:r>
      <w:r w:rsidR="008E0081">
        <w:rPr>
          <w:rFonts w:cs="Times New Roman"/>
        </w:rPr>
        <w:t>tí NS předně shledal, že čl. 2 N</w:t>
      </w:r>
      <w:r w:rsidR="00764023">
        <w:rPr>
          <w:rFonts w:cs="Times New Roman"/>
        </w:rPr>
        <w:t>ařízení</w:t>
      </w:r>
      <w:r w:rsidR="00764023" w:rsidRPr="00764023">
        <w:rPr>
          <w:rFonts w:cs="Times New Roman"/>
        </w:rPr>
        <w:t xml:space="preserve"> </w:t>
      </w:r>
      <w:r w:rsidR="00764023">
        <w:rPr>
          <w:rFonts w:cs="Times New Roman"/>
        </w:rPr>
        <w:t xml:space="preserve">Komise (ES) </w:t>
      </w:r>
      <w:r w:rsidR="00764023" w:rsidRPr="00764023">
        <w:rPr>
          <w:rFonts w:cs="Times New Roman"/>
        </w:rPr>
        <w:t>č. 1265/2001</w:t>
      </w:r>
      <w:r w:rsidR="00764023">
        <w:rPr>
          <w:rFonts w:cs="Times New Roman"/>
        </w:rPr>
        <w:t xml:space="preserve"> </w:t>
      </w:r>
      <w:r w:rsidR="00764023" w:rsidRPr="00764023">
        <w:rPr>
          <w:rFonts w:cs="Times New Roman"/>
        </w:rPr>
        <w:t>ze dne 27. června 2001, kterým se stanoví prováděcí pravidla k Nařízení Rady (ES) č. 1260/2001, pokud jde o poskytování produkční náhrady pro některé výrobky z odvětví cukru používané v chemickém průmyslu</w:t>
      </w:r>
      <w:r w:rsidR="008E0081">
        <w:rPr>
          <w:rFonts w:cs="Times New Roman"/>
        </w:rPr>
        <w:t>,</w:t>
      </w:r>
      <w:r w:rsidR="00764023" w:rsidRPr="00764023">
        <w:rPr>
          <w:rFonts w:cs="Times New Roman"/>
        </w:rPr>
        <w:t xml:space="preserve"> založil právo zpracovatelů základních produktů, kterým se rozumí i řepný cukr, na </w:t>
      </w:r>
      <w:r w:rsidR="008E0081">
        <w:rPr>
          <w:rFonts w:cs="Times New Roman"/>
        </w:rPr>
        <w:t xml:space="preserve">výrobní </w:t>
      </w:r>
      <w:r w:rsidR="00764023" w:rsidRPr="00764023">
        <w:rPr>
          <w:rFonts w:cs="Times New Roman"/>
        </w:rPr>
        <w:t xml:space="preserve">náhradu vůči příslušnému členskému státu za podmínky, že zpracovatel podá žádost a zaručí možnost provedení celní nebo administrativní kontroly ze strany členského státu za účelem ověření, zda </w:t>
      </w:r>
      <w:r w:rsidR="008E0081">
        <w:rPr>
          <w:rFonts w:cs="Times New Roman"/>
        </w:rPr>
        <w:t>řepný cukr</w:t>
      </w:r>
      <w:r w:rsidR="00764023" w:rsidRPr="00764023">
        <w:rPr>
          <w:rFonts w:cs="Times New Roman"/>
        </w:rPr>
        <w:t xml:space="preserve"> je zpracováván nebo byl zpracován za účelem uvedeným v</w:t>
      </w:r>
      <w:r w:rsidR="008E0081">
        <w:rPr>
          <w:rFonts w:cs="Times New Roman"/>
        </w:rPr>
        <w:t> </w:t>
      </w:r>
      <w:r w:rsidR="00764023" w:rsidRPr="00764023">
        <w:rPr>
          <w:rFonts w:cs="Times New Roman"/>
        </w:rPr>
        <w:t>žádosti</w:t>
      </w:r>
      <w:r w:rsidR="008E0081">
        <w:rPr>
          <w:rFonts w:cs="Times New Roman"/>
        </w:rPr>
        <w:t>.</w:t>
      </w:r>
    </w:p>
    <w:p w:rsidR="00974D21" w:rsidRDefault="008E0081" w:rsidP="00974D21">
      <w:r>
        <w:rPr>
          <w:rFonts w:cs="Times New Roman"/>
        </w:rPr>
        <w:t>Čl. 3 Nařízení</w:t>
      </w:r>
      <w:r w:rsidRPr="00764023">
        <w:rPr>
          <w:rFonts w:cs="Times New Roman"/>
        </w:rPr>
        <w:t xml:space="preserve"> </w:t>
      </w:r>
      <w:r>
        <w:rPr>
          <w:rFonts w:cs="Times New Roman"/>
        </w:rPr>
        <w:t xml:space="preserve">Komise (ES) </w:t>
      </w:r>
      <w:r w:rsidRPr="00764023">
        <w:rPr>
          <w:rFonts w:cs="Times New Roman"/>
        </w:rPr>
        <w:t>č. 1265/2001</w:t>
      </w:r>
      <w:r>
        <w:rPr>
          <w:rFonts w:cs="Times New Roman"/>
        </w:rPr>
        <w:t xml:space="preserve"> přitom stanoví, že </w:t>
      </w:r>
      <w:r w:rsidRPr="008E0081">
        <w:rPr>
          <w:rFonts w:cs="Times New Roman"/>
          <w:i/>
          <w:color w:val="000000"/>
        </w:rPr>
        <w:t>„[d]</w:t>
      </w:r>
      <w:proofErr w:type="spellStart"/>
      <w:r w:rsidRPr="008E0081">
        <w:rPr>
          <w:rFonts w:cs="Times New Roman"/>
          <w:i/>
          <w:color w:val="000000"/>
        </w:rPr>
        <w:t>otyčný</w:t>
      </w:r>
      <w:proofErr w:type="spellEnd"/>
      <w:r w:rsidRPr="008E0081">
        <w:rPr>
          <w:rFonts w:cs="Times New Roman"/>
          <w:i/>
          <w:color w:val="000000"/>
        </w:rPr>
        <w:t xml:space="preserve"> členský stát může podmínit získání nároku na náhradu předchozím sch</w:t>
      </w:r>
      <w:r>
        <w:rPr>
          <w:rFonts w:cs="Times New Roman"/>
          <w:i/>
          <w:color w:val="000000"/>
        </w:rPr>
        <w:t>válením zpracovatelů uvedeným v </w:t>
      </w:r>
      <w:r w:rsidRPr="008E0081">
        <w:rPr>
          <w:rFonts w:cs="Times New Roman"/>
          <w:i/>
          <w:color w:val="000000"/>
        </w:rPr>
        <w:t>odstavci 1.“</w:t>
      </w:r>
      <w:r>
        <w:rPr>
          <w:rFonts w:cs="Times New Roman"/>
          <w:color w:val="000000"/>
        </w:rPr>
        <w:t xml:space="preserve"> </w:t>
      </w:r>
      <w:r w:rsidR="00974D21">
        <w:rPr>
          <w:rFonts w:cs="Times New Roman"/>
          <w:color w:val="000000"/>
        </w:rPr>
        <w:t>Citované ustanovení</w:t>
      </w:r>
      <w:r>
        <w:rPr>
          <w:rFonts w:cs="Times New Roman"/>
          <w:color w:val="000000"/>
        </w:rPr>
        <w:t xml:space="preserve"> </w:t>
      </w:r>
      <w:r w:rsidR="00974D21">
        <w:rPr>
          <w:rFonts w:cs="Times New Roman"/>
          <w:color w:val="000000"/>
        </w:rPr>
        <w:t>tak</w:t>
      </w:r>
      <w:r>
        <w:rPr>
          <w:rFonts w:cs="Times New Roman"/>
          <w:color w:val="000000"/>
        </w:rPr>
        <w:t xml:space="preserve"> členským státům</w:t>
      </w:r>
      <w:r w:rsidR="00974D21">
        <w:rPr>
          <w:rFonts w:cs="Times New Roman"/>
          <w:color w:val="000000"/>
        </w:rPr>
        <w:t xml:space="preserve"> fakultativně umožnilo (srov. dikci „může“)</w:t>
      </w:r>
      <w:r>
        <w:rPr>
          <w:rFonts w:cs="Times New Roman"/>
          <w:color w:val="000000"/>
        </w:rPr>
        <w:t xml:space="preserve"> </w:t>
      </w:r>
      <w:r w:rsidR="00974D21">
        <w:rPr>
          <w:rFonts w:cs="Times New Roman"/>
          <w:color w:val="000000"/>
        </w:rPr>
        <w:t xml:space="preserve">určitým způsobem </w:t>
      </w:r>
      <w:r>
        <w:rPr>
          <w:rFonts w:cs="Times New Roman"/>
          <w:color w:val="000000"/>
        </w:rPr>
        <w:t xml:space="preserve">podmínit získání </w:t>
      </w:r>
      <w:r w:rsidR="00974D21">
        <w:rPr>
          <w:rFonts w:cs="Times New Roman"/>
          <w:color w:val="000000"/>
        </w:rPr>
        <w:t>výrobní</w:t>
      </w:r>
      <w:r>
        <w:rPr>
          <w:rFonts w:cs="Times New Roman"/>
          <w:color w:val="000000"/>
        </w:rPr>
        <w:t xml:space="preserve"> náhrady. Způsob provedení, úpravu schválení (registrace) ani f</w:t>
      </w:r>
      <w:r w:rsidR="00974D21">
        <w:rPr>
          <w:rFonts w:cs="Times New Roman"/>
          <w:color w:val="000000"/>
        </w:rPr>
        <w:t xml:space="preserve">ormu rozhodnutí přitom uvedené nařízení </w:t>
      </w:r>
      <w:r>
        <w:rPr>
          <w:rFonts w:cs="Times New Roman"/>
          <w:color w:val="000000"/>
        </w:rPr>
        <w:t>nespecifikuje.</w:t>
      </w:r>
      <w:r w:rsidR="00974D21">
        <w:rPr>
          <w:rFonts w:cs="Times New Roman"/>
          <w:color w:val="000000"/>
        </w:rPr>
        <w:t xml:space="preserve"> Česká republika této možnosti využila a </w:t>
      </w:r>
      <w:r w:rsidR="00974D21">
        <w:t>v</w:t>
      </w:r>
      <w:r w:rsidR="00974D21" w:rsidRPr="000C0FB1">
        <w:t>nitrostátní úprava</w:t>
      </w:r>
      <w:r w:rsidR="00974D21">
        <w:t xml:space="preserve"> proto</w:t>
      </w:r>
      <w:r w:rsidR="00974D21" w:rsidRPr="000C0FB1">
        <w:t xml:space="preserve"> umožňovala oprávněným příjemcům výrobních náhrad s účinností ke dni 15. 6. 2004 podávat </w:t>
      </w:r>
      <w:r w:rsidR="00974D21">
        <w:t>u Státního</w:t>
      </w:r>
      <w:r w:rsidR="00974D21" w:rsidRPr="000C0FB1">
        <w:t xml:space="preserve"> </w:t>
      </w:r>
      <w:r w:rsidR="00974D21">
        <w:t>zemědělského intervenčního</w:t>
      </w:r>
      <w:r w:rsidR="00974D21" w:rsidRPr="000C0FB1">
        <w:t xml:space="preserve"> fondu (</w:t>
      </w:r>
      <w:r w:rsidR="00974D21">
        <w:t xml:space="preserve">SZIF) návrhy na registraci, která </w:t>
      </w:r>
      <w:r w:rsidR="00974D21" w:rsidRPr="000C0FB1">
        <w:t xml:space="preserve">byla předpokladem pro podání žádosti </w:t>
      </w:r>
      <w:r w:rsidR="00974D21" w:rsidRPr="000C0FB1">
        <w:lastRenderedPageBreak/>
        <w:t>o výrobní náhrady. Žalobkyně uvedla, že návrh na registraci podala dne 21. 6. 2004, SZIF však rozhodnutí o registraci žalobkyně vydal až dne 29. 7. 2004, čímž porušil třicetidenní lhůtu stanovenou v § 49 odst. 2 zákona č. 71/1967 Sb., o</w:t>
      </w:r>
      <w:r w:rsidR="00974D21">
        <w:t xml:space="preserve"> správním řízení (správní řád). </w:t>
      </w:r>
      <w:r w:rsidR="00974D21" w:rsidRPr="002A632F">
        <w:t>Žalobkyně následně podala žádost o vydání osvědčení o výrobní náhradě, které jí bylo vydáno dne 11. 8. 2004</w:t>
      </w:r>
      <w:r w:rsidR="00974D21">
        <w:t xml:space="preserve">. Žalobkyně se proto namítala, že </w:t>
      </w:r>
      <w:r w:rsidR="00974D21" w:rsidRPr="00EC3A6D">
        <w:t>z důvodu pozdní implementace unijního práva a z důvodu nedodržení zákonné lhůty SZIF se nemohla včas domoci vyplacení výrobních náhrad za měsíc červenec 2004.</w:t>
      </w:r>
    </w:p>
    <w:p w:rsidR="00974D21" w:rsidRPr="002F42DF" w:rsidRDefault="00974D21" w:rsidP="00974D21">
      <w:r>
        <w:t xml:space="preserve">Nejvyšší soud v této souvislosti uvedl, že </w:t>
      </w:r>
      <w:r w:rsidRPr="008E0081">
        <w:rPr>
          <w:rFonts w:cs="Times New Roman"/>
          <w:i/>
          <w:color w:val="000000"/>
        </w:rPr>
        <w:t>„[</w:t>
      </w:r>
      <w:r>
        <w:rPr>
          <w:rFonts w:cs="Times New Roman"/>
          <w:i/>
          <w:color w:val="000000"/>
        </w:rPr>
        <w:t>v</w:t>
      </w:r>
      <w:r w:rsidRPr="008E0081">
        <w:rPr>
          <w:rFonts w:cs="Times New Roman"/>
          <w:i/>
          <w:color w:val="000000"/>
        </w:rPr>
        <w:t>]</w:t>
      </w:r>
      <w:proofErr w:type="spellStart"/>
      <w:r w:rsidRPr="00974D21">
        <w:rPr>
          <w:rFonts w:cs="Times New Roman"/>
          <w:i/>
          <w:color w:val="000000"/>
        </w:rPr>
        <w:t>ýjimkou</w:t>
      </w:r>
      <w:proofErr w:type="spellEnd"/>
      <w:r w:rsidRPr="00974D21">
        <w:rPr>
          <w:rFonts w:cs="Times New Roman"/>
          <w:i/>
          <w:color w:val="000000"/>
        </w:rPr>
        <w:t xml:space="preserve"> z obecně platné zásady přímého účinku nařízení (</w:t>
      </w:r>
      <w:r>
        <w:rPr>
          <w:rFonts w:cs="Times New Roman"/>
          <w:i/>
          <w:color w:val="000000"/>
        </w:rPr>
        <w:t>…</w:t>
      </w:r>
      <w:r w:rsidRPr="00974D21">
        <w:rPr>
          <w:rFonts w:cs="Times New Roman"/>
          <w:i/>
          <w:color w:val="000000"/>
        </w:rPr>
        <w:t>) je situace, kdy nařízení samo o sobě předvídá svoji další implementaci, tedy vyžaduje další provedení do vnitrostátní úpravy na národní úrovni.</w:t>
      </w:r>
      <w:r w:rsidR="002F42DF">
        <w:rPr>
          <w:rFonts w:cs="Times New Roman"/>
          <w:i/>
          <w:color w:val="000000"/>
        </w:rPr>
        <w:t>“</w:t>
      </w:r>
      <w:r w:rsidR="002F42DF">
        <w:rPr>
          <w:rFonts w:cs="Times New Roman"/>
          <w:color w:val="000000"/>
        </w:rPr>
        <w:t xml:space="preserve"> S odkazem na judikaturu SDEU však NS dospěl k závěru, že </w:t>
      </w:r>
      <w:r w:rsidR="002F42DF" w:rsidRPr="002F42DF">
        <w:rPr>
          <w:rFonts w:cs="Times New Roman"/>
          <w:i/>
          <w:color w:val="000000"/>
        </w:rPr>
        <w:t>„rovněž unijní nařízení, která přijetí implementačních opatření fakultativně umožňují, mají s ohledem na čl. 249 Smlouvy o ES (čl. 288 SFEU) přímý účinek, a jsou tudíž přímo použitelná před orgány členského státu. Proto ani případné pochybení členského státu při implementaci požadovaného opatření v řádné době nemůže omezit nastoupení přímého účinku evropského nařízení a ohrozit tak základní pravidlo vyžadující jednotnou účinnost evropského nařízení v celé Evropské unii.“</w:t>
      </w:r>
      <w:r w:rsidR="002F42DF">
        <w:rPr>
          <w:rFonts w:cs="Times New Roman"/>
          <w:color w:val="000000"/>
        </w:rPr>
        <w:t xml:space="preserve"> Jinými slovy stát sice </w:t>
      </w:r>
      <w:r w:rsidR="002F42DF" w:rsidRPr="002F42DF">
        <w:rPr>
          <w:rFonts w:cs="Times New Roman"/>
          <w:color w:val="000000"/>
        </w:rPr>
        <w:t xml:space="preserve">může podmínit získání nároku na </w:t>
      </w:r>
      <w:r w:rsidR="002F42DF">
        <w:rPr>
          <w:rFonts w:cs="Times New Roman"/>
          <w:color w:val="000000"/>
        </w:rPr>
        <w:t>výrobní</w:t>
      </w:r>
      <w:r w:rsidR="002F42DF" w:rsidRPr="002F42DF">
        <w:rPr>
          <w:rFonts w:cs="Times New Roman"/>
          <w:color w:val="000000"/>
        </w:rPr>
        <w:t xml:space="preserve"> náhradu schválením (registrací), nicméně tato diskreční pravomoc se nevztahuje k právu na získání </w:t>
      </w:r>
      <w:r w:rsidR="002F42DF">
        <w:rPr>
          <w:rFonts w:cs="Times New Roman"/>
          <w:color w:val="000000"/>
        </w:rPr>
        <w:t>výrobní</w:t>
      </w:r>
      <w:r w:rsidR="002F42DF" w:rsidRPr="002F42DF">
        <w:rPr>
          <w:rFonts w:cs="Times New Roman"/>
          <w:color w:val="000000"/>
        </w:rPr>
        <w:t xml:space="preserve"> náhrady </w:t>
      </w:r>
      <w:r w:rsidR="002F42DF">
        <w:rPr>
          <w:rFonts w:cs="Times New Roman"/>
          <w:color w:val="000000"/>
        </w:rPr>
        <w:t xml:space="preserve">jako takové. </w:t>
      </w:r>
      <w:r w:rsidR="0000784F">
        <w:rPr>
          <w:rFonts w:cs="Times New Roman"/>
          <w:color w:val="000000"/>
        </w:rPr>
        <w:t>V uvedeném rozhodnutí tak Nejvyšší soud dovodil</w:t>
      </w:r>
      <w:r w:rsidR="002F42DF">
        <w:rPr>
          <w:rFonts w:cs="Times New Roman"/>
          <w:color w:val="000000"/>
        </w:rPr>
        <w:t xml:space="preserve">, že </w:t>
      </w:r>
      <w:r w:rsidR="0000784F" w:rsidRPr="002F42DF">
        <w:rPr>
          <w:rFonts w:cs="Times New Roman"/>
          <w:color w:val="000000"/>
        </w:rPr>
        <w:t>přímý účinek</w:t>
      </w:r>
      <w:r w:rsidR="0000784F">
        <w:rPr>
          <w:rFonts w:cs="Times New Roman"/>
          <w:color w:val="000000"/>
        </w:rPr>
        <w:t xml:space="preserve"> </w:t>
      </w:r>
      <w:r w:rsidR="0000784F" w:rsidRPr="002F42DF">
        <w:rPr>
          <w:rFonts w:cs="Times New Roman"/>
          <w:color w:val="000000"/>
        </w:rPr>
        <w:t>si zachovává</w:t>
      </w:r>
      <w:r w:rsidR="0000784F">
        <w:rPr>
          <w:rFonts w:cs="Times New Roman"/>
          <w:color w:val="000000"/>
        </w:rPr>
        <w:t xml:space="preserve"> i unijní</w:t>
      </w:r>
      <w:r w:rsidR="002F42DF" w:rsidRPr="002F42DF">
        <w:rPr>
          <w:rFonts w:cs="Times New Roman"/>
          <w:color w:val="000000"/>
        </w:rPr>
        <w:t xml:space="preserve"> nařízení, které výslovně počítá s mož</w:t>
      </w:r>
      <w:r w:rsidR="0000784F">
        <w:rPr>
          <w:rFonts w:cs="Times New Roman"/>
          <w:color w:val="000000"/>
        </w:rPr>
        <w:t xml:space="preserve">ností své vnitrostátní implementace. Ani </w:t>
      </w:r>
      <w:r w:rsidR="002F42DF" w:rsidRPr="002F42DF">
        <w:rPr>
          <w:rFonts w:cs="Times New Roman"/>
          <w:color w:val="000000"/>
        </w:rPr>
        <w:t>pří</w:t>
      </w:r>
      <w:r w:rsidR="0000784F">
        <w:rPr>
          <w:rFonts w:cs="Times New Roman"/>
          <w:color w:val="000000"/>
        </w:rPr>
        <w:t>padné pochybení členského státu p</w:t>
      </w:r>
      <w:r w:rsidR="002F42DF" w:rsidRPr="002F42DF">
        <w:rPr>
          <w:rFonts w:cs="Times New Roman"/>
          <w:color w:val="000000"/>
        </w:rPr>
        <w:t xml:space="preserve">ři </w:t>
      </w:r>
      <w:r w:rsidR="0000784F">
        <w:rPr>
          <w:rFonts w:cs="Times New Roman"/>
          <w:color w:val="000000"/>
        </w:rPr>
        <w:t xml:space="preserve">jeho </w:t>
      </w:r>
      <w:r w:rsidR="002F42DF" w:rsidRPr="002F42DF">
        <w:rPr>
          <w:rFonts w:cs="Times New Roman"/>
          <w:color w:val="000000"/>
        </w:rPr>
        <w:t>implementaci</w:t>
      </w:r>
      <w:r w:rsidR="0000784F">
        <w:rPr>
          <w:rFonts w:cs="Times New Roman"/>
          <w:color w:val="000000"/>
        </w:rPr>
        <w:t xml:space="preserve"> pak</w:t>
      </w:r>
      <w:r w:rsidR="002F42DF" w:rsidRPr="002F42DF">
        <w:rPr>
          <w:rFonts w:cs="Times New Roman"/>
          <w:color w:val="000000"/>
        </w:rPr>
        <w:t xml:space="preserve"> neomezuje nastoupení přímého účinku</w:t>
      </w:r>
      <w:r w:rsidR="0000784F">
        <w:rPr>
          <w:rFonts w:cs="Times New Roman"/>
          <w:color w:val="000000"/>
        </w:rPr>
        <w:t xml:space="preserve"> takového</w:t>
      </w:r>
      <w:r w:rsidR="002F42DF" w:rsidRPr="002F42DF">
        <w:rPr>
          <w:rFonts w:cs="Times New Roman"/>
          <w:color w:val="000000"/>
        </w:rPr>
        <w:t xml:space="preserve"> nařízení.</w:t>
      </w:r>
    </w:p>
    <w:p w:rsidR="0022213D" w:rsidRPr="003A48AE" w:rsidRDefault="0022213D" w:rsidP="0022213D">
      <w:pPr>
        <w:pStyle w:val="Odstavecseseznamem"/>
        <w:ind w:left="792" w:firstLine="0"/>
        <w:rPr>
          <w:rFonts w:cs="Times New Roman"/>
          <w:b/>
          <w:i/>
        </w:rPr>
      </w:pPr>
    </w:p>
    <w:p w:rsidR="008510D1" w:rsidRDefault="008510D1" w:rsidP="008510D1">
      <w:pPr>
        <w:pStyle w:val="Odstavecseseznamem"/>
        <w:numPr>
          <w:ilvl w:val="0"/>
          <w:numId w:val="2"/>
        </w:numPr>
        <w:rPr>
          <w:rFonts w:cs="Times New Roman"/>
          <w:b/>
        </w:rPr>
      </w:pPr>
      <w:r>
        <w:rPr>
          <w:rFonts w:cs="Times New Roman"/>
          <w:b/>
        </w:rPr>
        <w:t>Nepřímý účinek</w:t>
      </w:r>
    </w:p>
    <w:p w:rsidR="00A25B08" w:rsidRPr="00A25B08" w:rsidRDefault="00A25B08" w:rsidP="00A25B08">
      <w:pPr>
        <w:rPr>
          <w:color w:val="1F497D" w:themeColor="text2"/>
        </w:rPr>
      </w:pPr>
    </w:p>
    <w:p w:rsidR="00185961" w:rsidRDefault="00185961" w:rsidP="00185961">
      <w:pPr>
        <w:ind w:firstLine="360"/>
      </w:pPr>
      <w:r w:rsidRPr="00185961">
        <w:t>Zohledněním nepřímého účinku se řadí situace, v nichž je evrops</w:t>
      </w:r>
      <w:r>
        <w:t>kého práva použito jako podpůrného argumentu či interpretačního vodítka pro výklad vnitrostátního</w:t>
      </w:r>
      <w:r w:rsidRPr="00D630BB">
        <w:t xml:space="preserve"> </w:t>
      </w:r>
      <w:r>
        <w:t xml:space="preserve">práva. Zařadit do této skupiny tak lze všechny typy nepřímého účinku práva EU. K uplatnění povinnosti souladného výkladu dochází nejčastěji v situacích, kdy členský stát řádně netransponoval směrnice evropského práva, přičemž pravidla těchto směrnic nesplňují podmínky pro bezprostřední aplikovatelnost. K uplatnění povinnosti souladného výkladu však také může dojít v situaci, kdy členský stát řádně neprovede nařízení evropského práva či ustanovení primárního práva EU, jež své vnitrostátní provedení vyžadují. V těchto případech jsou soudy členských států povinny vykládat vnitrostátní transpoziční předpisy v maximální možné míře </w:t>
      </w:r>
      <w:proofErr w:type="spellStart"/>
      <w:r>
        <w:lastRenderedPageBreak/>
        <w:t>eurokonformně</w:t>
      </w:r>
      <w:proofErr w:type="spellEnd"/>
      <w:r>
        <w:t>, tj. vykládat vnitrostátní právo tak, aby bylo dosaženo cíle a smyslu daného předpisu evropského práva.</w:t>
      </w:r>
      <w:r>
        <w:rPr>
          <w:rStyle w:val="Znakapoznpodarou"/>
        </w:rPr>
        <w:footnoteReference w:id="68"/>
      </w:r>
    </w:p>
    <w:p w:rsidR="00A25B08" w:rsidRPr="006A0D48" w:rsidRDefault="00185961" w:rsidP="000F6B47">
      <w:pPr>
        <w:rPr>
          <w:color w:val="1F497D" w:themeColor="text2"/>
        </w:rPr>
      </w:pPr>
      <w:r w:rsidRPr="000F6B47">
        <w:t>V této souvislosti můžeme rozlišovat tři formy souladného výkladu.</w:t>
      </w:r>
      <w:r w:rsidR="000F6B47">
        <w:rPr>
          <w:color w:val="1F497D" w:themeColor="text2"/>
        </w:rPr>
        <w:t xml:space="preserve"> </w:t>
      </w:r>
      <w:r w:rsidR="000F6B47">
        <w:t>První formu představuje situace, kdy vnitrostátní soud použije argumentaci evropským právem jako typ „slabého“, potvrzujícího argumentu v případech, kdy bylo určitého argumentačního výstupu dosaženo již na základě vnitrostátního práva</w:t>
      </w:r>
      <w:r w:rsidR="000F6B47" w:rsidRPr="000F6B47">
        <w:t>.</w:t>
      </w:r>
      <w:r w:rsidR="000F6B47" w:rsidRPr="000F6B47">
        <w:rPr>
          <w:rStyle w:val="Znakapoznpodarou"/>
        </w:rPr>
        <w:footnoteReference w:id="69"/>
      </w:r>
      <w:r w:rsidR="000F6B47" w:rsidRPr="000F6B47">
        <w:t xml:space="preserve"> Věc</w:t>
      </w:r>
      <w:r w:rsidR="00A25B08" w:rsidRPr="000F6B47">
        <w:t xml:space="preserve">, v </w:t>
      </w:r>
      <w:r w:rsidR="000F6B47" w:rsidRPr="000F6B47">
        <w:t>níž</w:t>
      </w:r>
      <w:r w:rsidR="00A25B08" w:rsidRPr="000F6B47">
        <w:t xml:space="preserve"> Nejvyšší soud použil argumentaci evropským právem jako </w:t>
      </w:r>
      <w:r w:rsidR="000F6B47" w:rsidRPr="000F6B47">
        <w:t>tohoto typu</w:t>
      </w:r>
      <w:r w:rsidR="00A25B08" w:rsidRPr="000F6B47">
        <w:t xml:space="preserve">, </w:t>
      </w:r>
      <w:r w:rsidR="000F6B47" w:rsidRPr="000F6B47">
        <w:t xml:space="preserve">se týkala např. </w:t>
      </w:r>
      <w:r w:rsidR="00A25B08" w:rsidRPr="000F6B47">
        <w:t>spor</w:t>
      </w:r>
      <w:r w:rsidR="000F6B47" w:rsidRPr="000F6B47">
        <w:t>u</w:t>
      </w:r>
      <w:r w:rsidR="00A25B08" w:rsidRPr="000F6B47">
        <w:t xml:space="preserve"> z pojistné smlouvy,</w:t>
      </w:r>
      <w:r w:rsidR="000F6B47" w:rsidRPr="000F6B47">
        <w:rPr>
          <w:rStyle w:val="Znakapoznpodarou"/>
        </w:rPr>
        <w:t xml:space="preserve"> </w:t>
      </w:r>
      <w:r w:rsidR="000F6B47" w:rsidRPr="000F6B47">
        <w:rPr>
          <w:rStyle w:val="Znakapoznpodarou"/>
        </w:rPr>
        <w:footnoteReference w:id="70"/>
      </w:r>
      <w:r w:rsidR="000F6B47" w:rsidRPr="000F6B47">
        <w:t> </w:t>
      </w:r>
      <w:r w:rsidR="00A25B08" w:rsidRPr="000F6B47">
        <w:t xml:space="preserve"> přičemž NS na podporu své argumentace vnitrostátním právem pro úplnost odkázal rovněž na směrnici o nepřiměřených podmínkách ve spotřebitelských smlouvách.</w:t>
      </w:r>
      <w:r w:rsidR="00A25B08" w:rsidRPr="000F6B47">
        <w:rPr>
          <w:rStyle w:val="Znakapoznpodarou"/>
        </w:rPr>
        <w:footnoteReference w:id="71"/>
      </w:r>
    </w:p>
    <w:p w:rsidR="00A25B08" w:rsidRPr="00430E9F" w:rsidRDefault="000F6B47" w:rsidP="00A25B08">
      <w:r>
        <w:t>Druhý typ nepřímého účinku lze označit jako „střední“.</w:t>
      </w:r>
      <w:r>
        <w:rPr>
          <w:rStyle w:val="Znakapoznpodarou"/>
        </w:rPr>
        <w:footnoteReference w:id="72"/>
      </w:r>
      <w:r>
        <w:t xml:space="preserve"> Jedná se o situace, v nichž existuje několik různých variant výkladu vnitrostátního práva</w:t>
      </w:r>
      <w:r w:rsidR="00430E9F">
        <w:t>, avšak soud přihlédne k cíli a </w:t>
      </w:r>
      <w:r>
        <w:t xml:space="preserve">účelu evropské právní úpravy a vybere takový výklad, </w:t>
      </w:r>
      <w:proofErr w:type="gramStart"/>
      <w:r>
        <w:t>jež</w:t>
      </w:r>
      <w:proofErr w:type="gramEnd"/>
      <w:r>
        <w:t xml:space="preserve"> je v maximální možné míře souladný s evropskou rovinou. Takový postup lze demonstrovat na příkladu rozhodnutí týkající se akciové společnosti a hlasování na valné </w:t>
      </w:r>
      <w:r w:rsidRPr="00430E9F">
        <w:t>hromadě.</w:t>
      </w:r>
      <w:r w:rsidR="00A25B08" w:rsidRPr="00430E9F">
        <w:rPr>
          <w:rStyle w:val="Znakapoznpodarou"/>
        </w:rPr>
        <w:footnoteReference w:id="73"/>
      </w:r>
      <w:r w:rsidR="00430E9F" w:rsidRPr="00430E9F">
        <w:t xml:space="preserve"> V </w:t>
      </w:r>
      <w:r w:rsidR="00A25B08" w:rsidRPr="00430E9F">
        <w:t xml:space="preserve">této  věci Nejvyšší soud uvedl, že ačkoliv dikce předmětného ustanovení obchodního  zákoníků není </w:t>
      </w:r>
      <w:r w:rsidR="00A25B08" w:rsidRPr="00430E9F">
        <w:rPr>
          <w:i/>
        </w:rPr>
        <w:t>„formulována jednoznačně, když připouští oba výklady, nejasnost lze snadno odstranit poukazem [čl. 92 písm. d) směrnice o přijetí cenných papírů ke kótování],</w:t>
      </w:r>
      <w:r w:rsidR="00A25B08" w:rsidRPr="00430E9F">
        <w:rPr>
          <w:rStyle w:val="Znakapoznpodarou"/>
          <w:i/>
        </w:rPr>
        <w:footnoteReference w:id="74"/>
      </w:r>
      <w:r w:rsidR="00A25B08" w:rsidRPr="00430E9F">
        <w:rPr>
          <w:i/>
        </w:rPr>
        <w:t xml:space="preserve"> s </w:t>
      </w:r>
      <w:proofErr w:type="gramStart"/>
      <w:r w:rsidR="00A25B08" w:rsidRPr="00430E9F">
        <w:rPr>
          <w:i/>
        </w:rPr>
        <w:t>nimž</w:t>
      </w:r>
      <w:proofErr w:type="gramEnd"/>
      <w:r w:rsidR="00A25B08" w:rsidRPr="00430E9F">
        <w:rPr>
          <w:i/>
        </w:rPr>
        <w:t xml:space="preserve"> se ustanovení § 183d odst. 4 písm. d) </w:t>
      </w:r>
      <w:proofErr w:type="spellStart"/>
      <w:r w:rsidR="00A25B08" w:rsidRPr="00430E9F">
        <w:rPr>
          <w:i/>
        </w:rPr>
        <w:t>ObchZ</w:t>
      </w:r>
      <w:proofErr w:type="spellEnd"/>
      <w:r w:rsidR="00A25B08" w:rsidRPr="00430E9F">
        <w:rPr>
          <w:i/>
        </w:rPr>
        <w:t xml:space="preserve"> uvádělo v soulad.“</w:t>
      </w:r>
      <w:r w:rsidR="00A25B08" w:rsidRPr="00430E9F">
        <w:t xml:space="preserve"> </w:t>
      </w:r>
    </w:p>
    <w:p w:rsidR="00430E9F" w:rsidRDefault="00430E9F" w:rsidP="00430E9F">
      <w:pPr>
        <w:ind w:firstLine="360"/>
      </w:pPr>
      <w:r>
        <w:t xml:space="preserve">Třetí typ souladného výkladu pak představují situace, kdy zohlednění evropského práva již zcela zásadním způsobem modifikuje výklad obsahu určitého právního pojmu vnitrostátního práva. Jedná se o „silné“ působení nepřímého účinku, kdy dochází ke skutečnému výkladovému „ohnutí“ ustanovení vnitrostátního práva tak, aby bylo dosaženo shody s evropskou právní úpravou. Tento postup již stojí na pomezí </w:t>
      </w:r>
      <w:r w:rsidRPr="00383AC0">
        <w:t xml:space="preserve">mezi nepřímým zohledněním </w:t>
      </w:r>
      <w:r>
        <w:t>práva EU</w:t>
      </w:r>
      <w:r w:rsidRPr="00383AC0">
        <w:t xml:space="preserve"> a jeho přímým účinkem, </w:t>
      </w:r>
      <w:r>
        <w:t>tj.</w:t>
      </w:r>
      <w:r w:rsidRPr="00383AC0">
        <w:t xml:space="preserve"> bezprostřední aplikací normy </w:t>
      </w:r>
      <w:r>
        <w:t>unijního práva.</w:t>
      </w:r>
      <w:r>
        <w:rPr>
          <w:rStyle w:val="Znakapoznpodarou"/>
        </w:rPr>
        <w:footnoteReference w:id="75"/>
      </w:r>
    </w:p>
    <w:p w:rsidR="00A25B08" w:rsidRPr="00430E9F" w:rsidRDefault="00A25B08" w:rsidP="00A25B08">
      <w:r w:rsidRPr="00430E9F">
        <w:lastRenderedPageBreak/>
        <w:t xml:space="preserve">Třetí typ souladného výkladu, tj. situaci, kdy zohlednění evropského práva již zcela zásadním způsobem modifikuje výklad obsahu určitého právního pojmu vnitrostátního práva, byl znázorněn již </w:t>
      </w:r>
      <w:r w:rsidR="00430E9F" w:rsidRPr="00430E9F">
        <w:t>v dříve uvedeném rozhodnutí týkajícím se telekomunikačních služeb.</w:t>
      </w:r>
      <w:r w:rsidR="00430E9F" w:rsidRPr="00430E9F">
        <w:rPr>
          <w:rStyle w:val="Znakapoznpodarou"/>
        </w:rPr>
        <w:footnoteReference w:id="76"/>
      </w:r>
      <w:r w:rsidRPr="00430E9F">
        <w:t xml:space="preserve"> Nejvyšší soud zde sice identifikoval rozpor mezi vnitrostátní úpravou a evropským právem, tento rozpor však překonal použitím „silného“ </w:t>
      </w:r>
      <w:proofErr w:type="spellStart"/>
      <w:r w:rsidRPr="00430E9F">
        <w:t>eurokonformního</w:t>
      </w:r>
      <w:proofErr w:type="spellEnd"/>
      <w:r w:rsidRPr="00430E9F">
        <w:t xml:space="preserve"> výkladu vnitrostátního práva. </w:t>
      </w:r>
    </w:p>
    <w:p w:rsidR="004907B9" w:rsidRDefault="004907B9" w:rsidP="0020262E">
      <w:pPr>
        <w:pStyle w:val="Odstavecseseznamem"/>
        <w:ind w:left="360" w:firstLine="0"/>
        <w:rPr>
          <w:rFonts w:cs="Times New Roman"/>
          <w:b/>
        </w:rPr>
      </w:pPr>
    </w:p>
    <w:p w:rsidR="008510D1" w:rsidRDefault="008510D1" w:rsidP="008510D1">
      <w:pPr>
        <w:pStyle w:val="Odstavecseseznamem"/>
        <w:numPr>
          <w:ilvl w:val="0"/>
          <w:numId w:val="2"/>
        </w:numPr>
        <w:rPr>
          <w:rFonts w:cs="Times New Roman"/>
          <w:b/>
        </w:rPr>
      </w:pPr>
      <w:r>
        <w:rPr>
          <w:rFonts w:cs="Times New Roman"/>
          <w:b/>
        </w:rPr>
        <w:t>Odpovědnost státu za škodu</w:t>
      </w:r>
    </w:p>
    <w:p w:rsidR="00CD1BC2" w:rsidRDefault="00CD1BC2" w:rsidP="0020262E">
      <w:pPr>
        <w:pStyle w:val="Odstavecseseznamem"/>
        <w:ind w:left="360" w:firstLine="0"/>
        <w:rPr>
          <w:rFonts w:cs="Times New Roman"/>
        </w:rPr>
      </w:pPr>
    </w:p>
    <w:p w:rsidR="00C95056" w:rsidRDefault="0078672E" w:rsidP="00F131F6">
      <w:pPr>
        <w:ind w:firstLine="360"/>
        <w:rPr>
          <w:rFonts w:cs="Times New Roman"/>
        </w:rPr>
      </w:pPr>
      <w:r w:rsidRPr="004216F7">
        <w:rPr>
          <w:rFonts w:cs="Times New Roman"/>
        </w:rPr>
        <w:t xml:space="preserve">Třetí </w:t>
      </w:r>
      <w:r w:rsidR="004216F7" w:rsidRPr="004216F7">
        <w:rPr>
          <w:rFonts w:cs="Times New Roman"/>
        </w:rPr>
        <w:t>formu účinku unijního práva, je</w:t>
      </w:r>
      <w:r w:rsidR="00CC41A8">
        <w:rPr>
          <w:rFonts w:cs="Times New Roman"/>
        </w:rPr>
        <w:t>n</w:t>
      </w:r>
      <w:r w:rsidR="004216F7" w:rsidRPr="004216F7">
        <w:rPr>
          <w:rFonts w:cs="Times New Roman"/>
        </w:rPr>
        <w:t xml:space="preserve">ž </w:t>
      </w:r>
      <w:r w:rsidR="001375CB">
        <w:rPr>
          <w:rFonts w:cs="Times New Roman"/>
        </w:rPr>
        <w:t>má</w:t>
      </w:r>
      <w:r w:rsidR="008B1438">
        <w:rPr>
          <w:rFonts w:cs="Times New Roman"/>
        </w:rPr>
        <w:t xml:space="preserve"> </w:t>
      </w:r>
      <w:r w:rsidR="00F33564">
        <w:rPr>
          <w:rFonts w:cs="Times New Roman"/>
        </w:rPr>
        <w:t>ve vztahu</w:t>
      </w:r>
      <w:r w:rsidR="00CC41A8">
        <w:rPr>
          <w:rFonts w:cs="Times New Roman"/>
        </w:rPr>
        <w:t xml:space="preserve"> </w:t>
      </w:r>
      <w:r w:rsidR="004216F7" w:rsidRPr="004216F7">
        <w:rPr>
          <w:rFonts w:cs="Times New Roman"/>
        </w:rPr>
        <w:t>k</w:t>
      </w:r>
      <w:r w:rsidR="00F33564">
        <w:rPr>
          <w:rFonts w:cs="Times New Roman"/>
        </w:rPr>
        <w:t xml:space="preserve"> </w:t>
      </w:r>
      <w:r w:rsidR="004216F7" w:rsidRPr="004216F7">
        <w:rPr>
          <w:rFonts w:cs="Times New Roman"/>
        </w:rPr>
        <w:t>přímému a</w:t>
      </w:r>
      <w:r w:rsidR="00CC41A8">
        <w:rPr>
          <w:rFonts w:cs="Times New Roman"/>
        </w:rPr>
        <w:t> </w:t>
      </w:r>
      <w:r w:rsidR="004216F7" w:rsidRPr="004216F7">
        <w:rPr>
          <w:rFonts w:cs="Times New Roman"/>
        </w:rPr>
        <w:t>nepřímému účinku</w:t>
      </w:r>
      <w:r w:rsidR="00F33564">
        <w:rPr>
          <w:rFonts w:cs="Times New Roman"/>
        </w:rPr>
        <w:t xml:space="preserve"> v zásadě subsidiární</w:t>
      </w:r>
      <w:r w:rsidR="001375CB">
        <w:rPr>
          <w:rFonts w:cs="Times New Roman"/>
        </w:rPr>
        <w:t xml:space="preserve"> povahu</w:t>
      </w:r>
      <w:r w:rsidR="004216F7">
        <w:rPr>
          <w:rFonts w:cs="Times New Roman"/>
        </w:rPr>
        <w:t>, představuje odpovědnost státu za škodu</w:t>
      </w:r>
      <w:r w:rsidR="00967B5E">
        <w:rPr>
          <w:rFonts w:cs="Times New Roman"/>
        </w:rPr>
        <w:t xml:space="preserve"> způsobenou jednotlivci porušením práva EU. Stejně jako v případě předchozích dvou principů se jedná o zásadu, </w:t>
      </w:r>
      <w:r w:rsidR="00D679C0">
        <w:rPr>
          <w:rFonts w:cs="Times New Roman"/>
        </w:rPr>
        <w:t>jež</w:t>
      </w:r>
      <w:r w:rsidR="00967B5E">
        <w:rPr>
          <w:rFonts w:cs="Times New Roman"/>
        </w:rPr>
        <w:t xml:space="preserve"> byla </w:t>
      </w:r>
      <w:r w:rsidR="00CC41A8">
        <w:rPr>
          <w:rFonts w:cs="Times New Roman"/>
        </w:rPr>
        <w:t>formulována</w:t>
      </w:r>
      <w:r w:rsidR="00C95056">
        <w:rPr>
          <w:rFonts w:cs="Times New Roman"/>
        </w:rPr>
        <w:t xml:space="preserve"> a rozvíjena</w:t>
      </w:r>
      <w:r w:rsidR="00CC41A8">
        <w:rPr>
          <w:rFonts w:cs="Times New Roman"/>
        </w:rPr>
        <w:t xml:space="preserve"> </w:t>
      </w:r>
      <w:r w:rsidR="00967B5E">
        <w:rPr>
          <w:rFonts w:cs="Times New Roman"/>
        </w:rPr>
        <w:t>judikaturou SDEU.</w:t>
      </w:r>
    </w:p>
    <w:p w:rsidR="00F131F6" w:rsidRDefault="000C298E" w:rsidP="00F131F6">
      <w:pPr>
        <w:ind w:firstLine="360"/>
        <w:rPr>
          <w:rFonts w:cs="Times New Roman"/>
        </w:rPr>
      </w:pPr>
      <w:r>
        <w:rPr>
          <w:rFonts w:cs="Times New Roman"/>
        </w:rPr>
        <w:t>Významným specifikem</w:t>
      </w:r>
      <w:r w:rsidR="000A0C99">
        <w:rPr>
          <w:rFonts w:cs="Times New Roman"/>
        </w:rPr>
        <w:t xml:space="preserve"> unijního </w:t>
      </w:r>
      <w:r w:rsidR="004F454D">
        <w:rPr>
          <w:rFonts w:cs="Times New Roman"/>
        </w:rPr>
        <w:t>systému odpovědnosti</w:t>
      </w:r>
      <w:r w:rsidR="000A0C99">
        <w:rPr>
          <w:rFonts w:cs="Times New Roman"/>
        </w:rPr>
        <w:t xml:space="preserve"> je jeho prolínání </w:t>
      </w:r>
      <w:r w:rsidR="00FD0064">
        <w:rPr>
          <w:rFonts w:cs="Times New Roman"/>
        </w:rPr>
        <w:t>s</w:t>
      </w:r>
      <w:r w:rsidR="009E56D3">
        <w:rPr>
          <w:rFonts w:cs="Times New Roman"/>
        </w:rPr>
        <w:t xml:space="preserve"> vnitrostátními </w:t>
      </w:r>
      <w:r w:rsidR="00562166">
        <w:rPr>
          <w:rFonts w:cs="Times New Roman"/>
        </w:rPr>
        <w:t>právní</w:t>
      </w:r>
      <w:r w:rsidR="009E56D3">
        <w:rPr>
          <w:rFonts w:cs="Times New Roman"/>
        </w:rPr>
        <w:t>mi</w:t>
      </w:r>
      <w:r w:rsidR="00562166">
        <w:rPr>
          <w:rFonts w:cs="Times New Roman"/>
        </w:rPr>
        <w:t xml:space="preserve"> </w:t>
      </w:r>
      <w:r w:rsidR="009E56D3">
        <w:rPr>
          <w:rFonts w:cs="Times New Roman"/>
        </w:rPr>
        <w:t>úpravami</w:t>
      </w:r>
      <w:r w:rsidR="00FD0064">
        <w:rPr>
          <w:rFonts w:cs="Times New Roman"/>
        </w:rPr>
        <w:t xml:space="preserve"> v</w:t>
      </w:r>
      <w:r w:rsidR="00562166">
        <w:rPr>
          <w:rFonts w:cs="Times New Roman"/>
        </w:rPr>
        <w:t> </w:t>
      </w:r>
      <w:r w:rsidR="00FD0064">
        <w:rPr>
          <w:rFonts w:cs="Times New Roman"/>
        </w:rPr>
        <w:t>jednotlivých členských státech</w:t>
      </w:r>
      <w:r w:rsidR="00562166">
        <w:rPr>
          <w:rFonts w:cs="Times New Roman"/>
        </w:rPr>
        <w:t xml:space="preserve">. </w:t>
      </w:r>
      <w:r w:rsidR="007E5AF4">
        <w:rPr>
          <w:rFonts w:cs="Times New Roman"/>
        </w:rPr>
        <w:t>R</w:t>
      </w:r>
      <w:r w:rsidR="001375CB">
        <w:rPr>
          <w:rFonts w:cs="Times New Roman"/>
        </w:rPr>
        <w:t>ealizace</w:t>
      </w:r>
      <w:r w:rsidR="00FD0064">
        <w:rPr>
          <w:rFonts w:cs="Times New Roman"/>
        </w:rPr>
        <w:t xml:space="preserve"> odpovědnosti státu za škodu způsobenou</w:t>
      </w:r>
      <w:r w:rsidR="00D679C0">
        <w:rPr>
          <w:rFonts w:cs="Times New Roman"/>
        </w:rPr>
        <w:t xml:space="preserve"> jednotlivci</w:t>
      </w:r>
      <w:r w:rsidR="00FD0064">
        <w:rPr>
          <w:rFonts w:cs="Times New Roman"/>
        </w:rPr>
        <w:t xml:space="preserve"> porušením práva EU</w:t>
      </w:r>
      <w:r w:rsidR="001375CB">
        <w:rPr>
          <w:rFonts w:cs="Times New Roman"/>
        </w:rPr>
        <w:t xml:space="preserve"> </w:t>
      </w:r>
      <w:r w:rsidR="007E5AF4">
        <w:rPr>
          <w:rFonts w:cs="Times New Roman"/>
        </w:rPr>
        <w:t xml:space="preserve">se tak </w:t>
      </w:r>
      <w:r w:rsidR="001375CB">
        <w:rPr>
          <w:rFonts w:cs="Times New Roman"/>
        </w:rPr>
        <w:t xml:space="preserve">– pochopitelně za respektování požadavku rovnocennosti a efektivity </w:t>
      </w:r>
      <w:r w:rsidR="00562166">
        <w:rPr>
          <w:rFonts w:cs="Times New Roman"/>
        </w:rPr>
        <w:t>–</w:t>
      </w:r>
      <w:r w:rsidR="007E5AF4">
        <w:rPr>
          <w:rFonts w:cs="Times New Roman"/>
        </w:rPr>
        <w:t xml:space="preserve"> </w:t>
      </w:r>
      <w:r w:rsidR="00562166">
        <w:rPr>
          <w:rFonts w:cs="Times New Roman"/>
        </w:rPr>
        <w:t xml:space="preserve">uskutečňuje </w:t>
      </w:r>
      <w:r w:rsidR="009E56D3">
        <w:rPr>
          <w:rFonts w:cs="Times New Roman"/>
        </w:rPr>
        <w:t xml:space="preserve">prakticky výhradně </w:t>
      </w:r>
      <w:r w:rsidR="007E5AF4">
        <w:rPr>
          <w:rFonts w:cs="Times New Roman"/>
        </w:rPr>
        <w:t>na základě vnitrostátního práva, a to zejména pokud jde o procesní stránku její realizace.</w:t>
      </w:r>
      <w:r w:rsidR="00562166">
        <w:rPr>
          <w:rFonts w:cs="Times New Roman"/>
        </w:rPr>
        <w:t xml:space="preserve"> </w:t>
      </w:r>
      <w:r w:rsidR="00C95056">
        <w:rPr>
          <w:rFonts w:cs="Times New Roman"/>
        </w:rPr>
        <w:t>Uvedená</w:t>
      </w:r>
      <w:r w:rsidR="00562166">
        <w:rPr>
          <w:rFonts w:cs="Times New Roman"/>
        </w:rPr>
        <w:t xml:space="preserve"> skutečnost</w:t>
      </w:r>
      <w:r w:rsidR="00C95056">
        <w:rPr>
          <w:rFonts w:cs="Times New Roman"/>
        </w:rPr>
        <w:t xml:space="preserve"> však</w:t>
      </w:r>
      <w:r w:rsidR="007E5AF4">
        <w:rPr>
          <w:rFonts w:cs="Times New Roman"/>
        </w:rPr>
        <w:t xml:space="preserve"> </w:t>
      </w:r>
      <w:r w:rsidR="00D679C0">
        <w:rPr>
          <w:rFonts w:cs="Times New Roman"/>
        </w:rPr>
        <w:t>zároveň</w:t>
      </w:r>
      <w:r w:rsidR="009E56D3">
        <w:rPr>
          <w:rFonts w:cs="Times New Roman"/>
        </w:rPr>
        <w:t xml:space="preserve"> </w:t>
      </w:r>
      <w:r w:rsidR="00562166">
        <w:rPr>
          <w:rFonts w:cs="Times New Roman"/>
        </w:rPr>
        <w:t xml:space="preserve">představuje největší slabinu celé koncepce, neboť právní </w:t>
      </w:r>
      <w:r w:rsidR="00750E10">
        <w:rPr>
          <w:rFonts w:cs="Times New Roman"/>
        </w:rPr>
        <w:t>řády</w:t>
      </w:r>
      <w:r w:rsidR="00562166">
        <w:rPr>
          <w:rFonts w:cs="Times New Roman"/>
        </w:rPr>
        <w:t xml:space="preserve"> členských států</w:t>
      </w:r>
      <w:r w:rsidR="009E56D3">
        <w:rPr>
          <w:rFonts w:cs="Times New Roman"/>
        </w:rPr>
        <w:t xml:space="preserve"> </w:t>
      </w:r>
      <w:r w:rsidR="00562166">
        <w:rPr>
          <w:rFonts w:cs="Times New Roman"/>
        </w:rPr>
        <w:t>nebyly</w:t>
      </w:r>
      <w:r w:rsidR="00750E10">
        <w:rPr>
          <w:rFonts w:cs="Times New Roman"/>
        </w:rPr>
        <w:t xml:space="preserve"> uzpůsobeny na řešení určitých typů odpovědnostních vztahů.</w:t>
      </w:r>
      <w:r w:rsidR="00433A90">
        <w:rPr>
          <w:rFonts w:cs="Times New Roman"/>
        </w:rPr>
        <w:t xml:space="preserve"> </w:t>
      </w:r>
      <w:r w:rsidR="00750E10">
        <w:rPr>
          <w:rFonts w:cs="Times New Roman"/>
        </w:rPr>
        <w:t>V řadě členských států, včetně České republiky, přitom tyto problémy</w:t>
      </w:r>
      <w:r w:rsidR="00433A90">
        <w:rPr>
          <w:rFonts w:cs="Times New Roman"/>
        </w:rPr>
        <w:t xml:space="preserve"> přetrvávají dodnes.</w:t>
      </w:r>
      <w:r w:rsidR="00433A90">
        <w:rPr>
          <w:rStyle w:val="Znakapoznpodarou"/>
          <w:rFonts w:cs="Times New Roman"/>
        </w:rPr>
        <w:footnoteReference w:id="77"/>
      </w:r>
    </w:p>
    <w:p w:rsidR="008010D1" w:rsidRDefault="00F131F6" w:rsidP="00F131F6">
      <w:pPr>
        <w:ind w:firstLine="360"/>
      </w:pPr>
      <w:r w:rsidRPr="00F131F6">
        <w:rPr>
          <w:rFonts w:cs="Times New Roman"/>
        </w:rPr>
        <w:t xml:space="preserve">Obecný princip náhrady škody způsobené jednotlivci porušením unijního práva </w:t>
      </w:r>
      <w:r w:rsidR="00BE74B1">
        <w:rPr>
          <w:rFonts w:cs="Times New Roman"/>
        </w:rPr>
        <w:t xml:space="preserve">SDEU </w:t>
      </w:r>
      <w:r w:rsidR="006C2B8C">
        <w:rPr>
          <w:rFonts w:cs="Times New Roman"/>
        </w:rPr>
        <w:t xml:space="preserve">poprvé </w:t>
      </w:r>
      <w:r>
        <w:rPr>
          <w:rFonts w:cs="Times New Roman"/>
        </w:rPr>
        <w:t xml:space="preserve">formuloval ve věci </w:t>
      </w:r>
      <w:proofErr w:type="spellStart"/>
      <w:r w:rsidRPr="00F131F6">
        <w:rPr>
          <w:rFonts w:cs="Times New Roman"/>
          <w:i/>
        </w:rPr>
        <w:t>Francovich</w:t>
      </w:r>
      <w:proofErr w:type="spellEnd"/>
      <w:r w:rsidR="009709EB" w:rsidRPr="009709EB">
        <w:rPr>
          <w:rStyle w:val="Znakapoznpodarou"/>
        </w:rPr>
        <w:footnoteReference w:id="78"/>
      </w:r>
      <w:r w:rsidR="009709EB">
        <w:rPr>
          <w:rFonts w:cs="Times New Roman"/>
        </w:rPr>
        <w:t xml:space="preserve"> a </w:t>
      </w:r>
      <w:r w:rsidR="00627426">
        <w:rPr>
          <w:rFonts w:cs="Times New Roman"/>
        </w:rPr>
        <w:t>konsolidoval</w:t>
      </w:r>
      <w:r w:rsidR="009709EB">
        <w:rPr>
          <w:rFonts w:cs="Times New Roman"/>
        </w:rPr>
        <w:t xml:space="preserve"> ve věci</w:t>
      </w:r>
      <w:r w:rsidR="009709EB">
        <w:rPr>
          <w:rFonts w:cs="Times New Roman"/>
          <w:i/>
        </w:rPr>
        <w:t xml:space="preserve"> </w:t>
      </w:r>
      <w:proofErr w:type="spellStart"/>
      <w:r w:rsidR="009709EB">
        <w:rPr>
          <w:rFonts w:cs="Times New Roman"/>
          <w:i/>
        </w:rPr>
        <w:t>Brasserie</w:t>
      </w:r>
      <w:proofErr w:type="spellEnd"/>
      <w:r>
        <w:rPr>
          <w:rFonts w:cs="Times New Roman"/>
        </w:rPr>
        <w:t xml:space="preserve"> </w:t>
      </w:r>
      <w:proofErr w:type="spellStart"/>
      <w:r w:rsidR="009709EB" w:rsidRPr="00E4526A">
        <w:rPr>
          <w:i/>
        </w:rPr>
        <w:t>du</w:t>
      </w:r>
      <w:proofErr w:type="spellEnd"/>
      <w:r w:rsidR="009709EB" w:rsidRPr="00E4526A">
        <w:rPr>
          <w:i/>
        </w:rPr>
        <w:t xml:space="preserve"> </w:t>
      </w:r>
      <w:proofErr w:type="spellStart"/>
      <w:r w:rsidR="009709EB" w:rsidRPr="00E4526A">
        <w:rPr>
          <w:i/>
        </w:rPr>
        <w:t>Pêcheur</w:t>
      </w:r>
      <w:proofErr w:type="spellEnd"/>
      <w:r w:rsidR="00627426">
        <w:t>,</w:t>
      </w:r>
      <w:r w:rsidR="00627426">
        <w:rPr>
          <w:rStyle w:val="Znakapoznpodarou"/>
        </w:rPr>
        <w:footnoteReference w:id="79"/>
      </w:r>
      <w:r w:rsidR="00627426">
        <w:t xml:space="preserve"> přičemž</w:t>
      </w:r>
      <w:r w:rsidR="009709EB">
        <w:t xml:space="preserve"> </w:t>
      </w:r>
      <w:r>
        <w:rPr>
          <w:rFonts w:cs="Times New Roman"/>
        </w:rPr>
        <w:t>konstatoval, že pln</w:t>
      </w:r>
      <w:r w:rsidR="00BE74B1">
        <w:rPr>
          <w:rFonts w:cs="Times New Roman"/>
        </w:rPr>
        <w:t>á úč</w:t>
      </w:r>
      <w:r w:rsidR="00BE74B1" w:rsidRPr="009709EB">
        <w:rPr>
          <w:rFonts w:cs="Times New Roman"/>
        </w:rPr>
        <w:t>innost práva EU vyžaduje vznik nároku na náhradu škody</w:t>
      </w:r>
      <w:r w:rsidR="009E56D3" w:rsidRPr="009709EB">
        <w:rPr>
          <w:rFonts w:cs="Times New Roman"/>
        </w:rPr>
        <w:t>, a to při kumulativním</w:t>
      </w:r>
      <w:r w:rsidR="009709EB" w:rsidRPr="009709EB">
        <w:rPr>
          <w:rFonts w:cs="Times New Roman"/>
        </w:rPr>
        <w:t xml:space="preserve"> splnění tří podmínek.</w:t>
      </w:r>
      <w:r w:rsidR="00BE74B1" w:rsidRPr="009709EB">
        <w:t> První z tě</w:t>
      </w:r>
      <w:r w:rsidR="009709EB" w:rsidRPr="009709EB">
        <w:t xml:space="preserve">chto podmínek je, že </w:t>
      </w:r>
      <w:r w:rsidR="009709EB">
        <w:t>porušený právní</w:t>
      </w:r>
      <w:r w:rsidR="009709EB" w:rsidRPr="009709EB">
        <w:t xml:space="preserve"> předpis </w:t>
      </w:r>
      <w:r w:rsidR="00BE74B1" w:rsidRPr="009709EB">
        <w:t xml:space="preserve">zakládá práva ve prospěch jednotlivců. Druhou podmínkou je, že </w:t>
      </w:r>
      <w:r w:rsidR="009709EB">
        <w:t>se jedná o porušení dostatečně závažné</w:t>
      </w:r>
      <w:r w:rsidR="00BE74B1" w:rsidRPr="009709EB">
        <w:t xml:space="preserve">. Konečně třetí </w:t>
      </w:r>
      <w:r w:rsidR="009709EB">
        <w:t xml:space="preserve">podmínkou je existence příčinné </w:t>
      </w:r>
      <w:r w:rsidR="00BE74B1" w:rsidRPr="009709EB">
        <w:t>souvislosti mezi porušen</w:t>
      </w:r>
      <w:r w:rsidR="009709EB">
        <w:t xml:space="preserve">ím povinnosti ze strany členského státu a </w:t>
      </w:r>
      <w:r w:rsidR="00BE74B1" w:rsidRPr="009709EB">
        <w:t xml:space="preserve">škodou </w:t>
      </w:r>
      <w:r w:rsidR="009709EB">
        <w:t>utrpěnou</w:t>
      </w:r>
      <w:r w:rsidR="00BE74B1" w:rsidRPr="009709EB">
        <w:t xml:space="preserve"> poškozeným.</w:t>
      </w:r>
      <w:r w:rsidR="009E0670">
        <w:t xml:space="preserve"> </w:t>
      </w:r>
      <w:r w:rsidR="00A73600">
        <w:t xml:space="preserve">Princip </w:t>
      </w:r>
      <w:r w:rsidR="00E4526A">
        <w:lastRenderedPageBreak/>
        <w:t>náhrady škody</w:t>
      </w:r>
      <w:r w:rsidR="00EB6720">
        <w:t xml:space="preserve"> se přitom uplatní ve všech případech</w:t>
      </w:r>
      <w:r w:rsidR="00E4526A">
        <w:t>, v</w:t>
      </w:r>
      <w:r w:rsidR="00EB6720">
        <w:t xml:space="preserve"> nichž</w:t>
      </w:r>
      <w:r w:rsidR="00E4526A">
        <w:t xml:space="preserve"> členský stát poruší unijní právo, </w:t>
      </w:r>
      <w:r w:rsidR="009E56D3">
        <w:t xml:space="preserve">a to </w:t>
      </w:r>
      <w:r w:rsidR="00E4526A">
        <w:t xml:space="preserve">nezávisle na tom, který orgán státu bude za </w:t>
      </w:r>
      <w:r w:rsidR="009E56D3">
        <w:t>předmětné</w:t>
      </w:r>
      <w:r w:rsidR="00E4526A">
        <w:t xml:space="preserve"> porušení svým jednáním nebo opominutím odpovědný. </w:t>
      </w:r>
      <w:r w:rsidR="00217405">
        <w:t>Soudy</w:t>
      </w:r>
      <w:r w:rsidR="00905742">
        <w:t xml:space="preserve"> členských států přitom obvykle nemají problém </w:t>
      </w:r>
      <w:r w:rsidR="00217405">
        <w:t>akceptovat princip</w:t>
      </w:r>
      <w:r w:rsidR="00905742">
        <w:t xml:space="preserve"> odpovědnost</w:t>
      </w:r>
      <w:r w:rsidR="00217405">
        <w:t>i</w:t>
      </w:r>
      <w:r w:rsidR="00905742">
        <w:t xml:space="preserve"> za porušení </w:t>
      </w:r>
      <w:r w:rsidR="00EB6720">
        <w:t xml:space="preserve">evropského </w:t>
      </w:r>
      <w:r w:rsidR="00905742">
        <w:t xml:space="preserve">práva </w:t>
      </w:r>
      <w:r w:rsidR="00B00803">
        <w:t>v</w:t>
      </w:r>
      <w:r w:rsidR="00627426">
        <w:t xml:space="preserve"> </w:t>
      </w:r>
      <w:r w:rsidR="00217405">
        <w:t>případě</w:t>
      </w:r>
      <w:r w:rsidR="00905742">
        <w:t xml:space="preserve"> orgánů veřejné správy, problematickými však zůstávají</w:t>
      </w:r>
      <w:r w:rsidR="00EB6720">
        <w:t xml:space="preserve"> i nadále</w:t>
      </w:r>
      <w:r w:rsidR="00905742">
        <w:t xml:space="preserve"> otázky odpovědnosti moci zákonodárné a </w:t>
      </w:r>
      <w:r w:rsidR="00217405">
        <w:t xml:space="preserve">moci </w:t>
      </w:r>
      <w:r w:rsidR="00905742">
        <w:t>soudní</w:t>
      </w:r>
      <w:r w:rsidR="00A73600">
        <w:t>.</w:t>
      </w:r>
      <w:r w:rsidR="00905742">
        <w:rPr>
          <w:rStyle w:val="Znakapoznpodarou"/>
        </w:rPr>
        <w:footnoteReference w:id="80"/>
      </w:r>
    </w:p>
    <w:p w:rsidR="004A149D" w:rsidRDefault="008010D1" w:rsidP="00F131F6">
      <w:pPr>
        <w:ind w:firstLine="360"/>
      </w:pPr>
      <w:r>
        <w:t>Před těmito výzvami</w:t>
      </w:r>
      <w:r w:rsidR="000F0CAF">
        <w:t xml:space="preserve"> </w:t>
      </w:r>
      <w:r w:rsidR="007F5B33">
        <w:t xml:space="preserve">stojí v určitých ohledech i </w:t>
      </w:r>
      <w:r>
        <w:t>česká právní doktrína</w:t>
      </w:r>
      <w:r w:rsidR="00470A7D">
        <w:t xml:space="preserve"> a rozhodovací praxe. Zákon č. </w:t>
      </w:r>
      <w:r>
        <w:t>82/1998 Sb., o </w:t>
      </w:r>
      <w:r w:rsidRPr="008010D1">
        <w:t>odpovědnosti za škodu způsobenou při výkonu veřejné moci rozhodnutím nebo nesprávným úředním postupem</w:t>
      </w:r>
      <w:r w:rsidR="000F6AA9">
        <w:t xml:space="preserve"> </w:t>
      </w:r>
      <w:r>
        <w:t>(</w:t>
      </w:r>
      <w:r w:rsidR="00A13257">
        <w:t>dále jen „zákon o odpovědnosti za škodu“</w:t>
      </w:r>
      <w:r>
        <w:t>)</w:t>
      </w:r>
      <w:r w:rsidR="00244DA4">
        <w:t xml:space="preserve"> totiž s</w:t>
      </w:r>
      <w:r w:rsidR="00470A7D">
        <w:t> náhradou škody způsobené</w:t>
      </w:r>
      <w:r w:rsidR="00B53221">
        <w:t xml:space="preserve"> porušením práva EU</w:t>
      </w:r>
      <w:r w:rsidR="000F6AA9" w:rsidRPr="000F6AA9">
        <w:t xml:space="preserve"> </w:t>
      </w:r>
      <w:r w:rsidR="000F6AA9">
        <w:t>výslovně nepočítá</w:t>
      </w:r>
      <w:r w:rsidR="00803E70">
        <w:t>. D</w:t>
      </w:r>
      <w:r w:rsidR="00B53221">
        <w:t xml:space="preserve">osavadní </w:t>
      </w:r>
      <w:r w:rsidR="00803E70">
        <w:t>hlasy</w:t>
      </w:r>
      <w:r w:rsidR="00B53221">
        <w:t xml:space="preserve"> upozorňující na potřebu adapta</w:t>
      </w:r>
      <w:r w:rsidR="00803E70">
        <w:t xml:space="preserve">ce vnitrostátní právní úpravy s </w:t>
      </w:r>
      <w:r w:rsidR="00B53221">
        <w:t xml:space="preserve">judikaturou SDEU </w:t>
      </w:r>
      <w:r w:rsidR="00803E70">
        <w:t xml:space="preserve">však </w:t>
      </w:r>
      <w:r w:rsidR="007F5B33">
        <w:t>dosud</w:t>
      </w:r>
      <w:r w:rsidR="00803E70">
        <w:t xml:space="preserve"> </w:t>
      </w:r>
      <w:r w:rsidR="007F5B33">
        <w:t xml:space="preserve">nebyly </w:t>
      </w:r>
      <w:r w:rsidR="00803E70">
        <w:t>–</w:t>
      </w:r>
      <w:r w:rsidR="00470A7D">
        <w:t xml:space="preserve"> a to i</w:t>
      </w:r>
      <w:r w:rsidR="00803E70">
        <w:t xml:space="preserve"> navzdory několika </w:t>
      </w:r>
      <w:r w:rsidR="009052FA">
        <w:t xml:space="preserve">věcným záměrům Ministerstva </w:t>
      </w:r>
      <w:r w:rsidR="007F5B33">
        <w:t>spravedlnosti – vyslyšeny</w:t>
      </w:r>
      <w:r w:rsidR="00B53221">
        <w:t>.</w:t>
      </w:r>
      <w:r w:rsidR="00B53221">
        <w:rPr>
          <w:rStyle w:val="Znakapoznpodarou"/>
        </w:rPr>
        <w:footnoteReference w:id="81"/>
      </w:r>
      <w:r w:rsidR="00244DA4">
        <w:t xml:space="preserve"> </w:t>
      </w:r>
      <w:r w:rsidR="00515731">
        <w:t>Nejvyšší soud</w:t>
      </w:r>
      <w:r w:rsidR="00DC52E7">
        <w:t xml:space="preserve"> se </w:t>
      </w:r>
      <w:r w:rsidR="00B53221">
        <w:t>navíc</w:t>
      </w:r>
      <w:r w:rsidR="00DC52E7">
        <w:t xml:space="preserve"> k</w:t>
      </w:r>
      <w:r w:rsidR="00A119C7">
        <w:t xml:space="preserve"> </w:t>
      </w:r>
      <w:r w:rsidR="000F6AA9">
        <w:t>principu</w:t>
      </w:r>
      <w:r w:rsidR="00B53221">
        <w:t xml:space="preserve"> </w:t>
      </w:r>
      <w:r w:rsidR="00803E70">
        <w:t xml:space="preserve">náhrady škody za porušení </w:t>
      </w:r>
      <w:r w:rsidR="009052FA">
        <w:t>unijního</w:t>
      </w:r>
      <w:r w:rsidR="00B53221">
        <w:t xml:space="preserve"> práva</w:t>
      </w:r>
      <w:r w:rsidR="00DC52E7">
        <w:t> </w:t>
      </w:r>
      <w:r w:rsidR="00B53221">
        <w:t xml:space="preserve"> </w:t>
      </w:r>
      <w:r w:rsidR="000F6AA9">
        <w:t xml:space="preserve">po dlouhou dobu </w:t>
      </w:r>
      <w:r w:rsidR="007F5B33">
        <w:t xml:space="preserve">stavěl </w:t>
      </w:r>
      <w:r w:rsidR="000F6AA9">
        <w:t>spíše zády, než čelem</w:t>
      </w:r>
      <w:r w:rsidR="00B53221">
        <w:t>.</w:t>
      </w:r>
      <w:r w:rsidR="000F6AA9">
        <w:t xml:space="preserve"> </w:t>
      </w:r>
      <w:r w:rsidR="00B53221">
        <w:t xml:space="preserve">Již tak </w:t>
      </w:r>
      <w:r w:rsidR="000F6AA9">
        <w:t>restriktivní judikatura</w:t>
      </w:r>
      <w:r w:rsidR="00515731">
        <w:t xml:space="preserve"> NS</w:t>
      </w:r>
      <w:r w:rsidR="000F6AA9">
        <w:t xml:space="preserve"> k</w:t>
      </w:r>
      <w:r w:rsidR="00B148A3">
        <w:t xml:space="preserve"> </w:t>
      </w:r>
      <w:r w:rsidR="007F5B33">
        <w:t>zákonu č. </w:t>
      </w:r>
      <w:r w:rsidR="000F6AA9">
        <w:t>82/1998 Sb.</w:t>
      </w:r>
      <w:r w:rsidR="00A13257">
        <w:t>, o odpovědnosti státu za škodu,</w:t>
      </w:r>
      <w:r w:rsidR="00F8693A">
        <w:rPr>
          <w:rStyle w:val="Znakapoznpodarou"/>
        </w:rPr>
        <w:footnoteReference w:id="82"/>
      </w:r>
      <w:r w:rsidR="00F8693A">
        <w:t xml:space="preserve"> </w:t>
      </w:r>
      <w:r w:rsidR="00B148A3">
        <w:t>se</w:t>
      </w:r>
      <w:r w:rsidR="009052FA">
        <w:t xml:space="preserve"> pak v </w:t>
      </w:r>
      <w:r w:rsidR="000F6AA9">
        <w:t xml:space="preserve">kontextu realizace odpovědnosti za porušení </w:t>
      </w:r>
      <w:r w:rsidR="00A13257">
        <w:t>unijního</w:t>
      </w:r>
      <w:r w:rsidR="000F6AA9">
        <w:t xml:space="preserve"> pr</w:t>
      </w:r>
      <w:r w:rsidR="00B148A3">
        <w:t>á</w:t>
      </w:r>
      <w:r w:rsidR="000F6AA9">
        <w:t>va</w:t>
      </w:r>
      <w:r w:rsidR="00B148A3">
        <w:t xml:space="preserve"> dostávala v </w:t>
      </w:r>
      <w:r w:rsidR="00F8693A">
        <w:t>řadě ohledů</w:t>
      </w:r>
      <w:r w:rsidR="004A149D">
        <w:t xml:space="preserve"> do rozporu s</w:t>
      </w:r>
      <w:r w:rsidR="007F5B33">
        <w:t> judikaturou SD</w:t>
      </w:r>
      <w:r w:rsidR="004A149D">
        <w:t>EU.</w:t>
      </w:r>
    </w:p>
    <w:p w:rsidR="00EB10BC" w:rsidRDefault="008D4D89" w:rsidP="00F131F6">
      <w:pPr>
        <w:ind w:firstLine="360"/>
      </w:pPr>
      <w:r>
        <w:t>Ke shora</w:t>
      </w:r>
      <w:r w:rsidR="007C298B">
        <w:t xml:space="preserve"> popsan</w:t>
      </w:r>
      <w:r>
        <w:t>ému</w:t>
      </w:r>
      <w:r w:rsidR="004A149D">
        <w:t xml:space="preserve"> </w:t>
      </w:r>
      <w:r w:rsidR="007C298B">
        <w:t>stav</w:t>
      </w:r>
      <w:r>
        <w:t>u</w:t>
      </w:r>
      <w:r w:rsidR="004A149D">
        <w:t xml:space="preserve"> však</w:t>
      </w:r>
      <w:r>
        <w:t xml:space="preserve"> svou „trochou do mlýna“</w:t>
      </w:r>
      <w:r w:rsidR="004A149D">
        <w:t xml:space="preserve"> </w:t>
      </w:r>
      <w:r w:rsidR="00A119C7">
        <w:t xml:space="preserve">– </w:t>
      </w:r>
      <w:r w:rsidR="00027091">
        <w:t>přinejmenším v kontextu od</w:t>
      </w:r>
      <w:r w:rsidR="00A119C7">
        <w:t>povědnosti zákonodárce za škodu –</w:t>
      </w:r>
      <w:r w:rsidR="00027091">
        <w:t xml:space="preserve"> </w:t>
      </w:r>
      <w:r>
        <w:t>přispěl i </w:t>
      </w:r>
      <w:r w:rsidR="004A149D">
        <w:t xml:space="preserve">Ústavní soud. </w:t>
      </w:r>
      <w:r>
        <w:t>P</w:t>
      </w:r>
      <w:r w:rsidR="00231EFD">
        <w:t>odle čl. </w:t>
      </w:r>
      <w:r w:rsidR="00244DA4">
        <w:t>36 odst. 3 Listiny základních práv a svobod</w:t>
      </w:r>
      <w:r w:rsidR="00FE1F94">
        <w:t xml:space="preserve"> (dále jen „Listina“)</w:t>
      </w:r>
      <w:r w:rsidR="00244DA4">
        <w:t xml:space="preserve"> stát odp</w:t>
      </w:r>
      <w:r w:rsidR="00231EFD">
        <w:t>ovídá za nezákonná rozhodnutí a </w:t>
      </w:r>
      <w:r w:rsidR="00244DA4">
        <w:t xml:space="preserve">nesprávný úřední postup </w:t>
      </w:r>
      <w:r w:rsidR="00244DA4" w:rsidRPr="008D4D89">
        <w:rPr>
          <w:i/>
        </w:rPr>
        <w:t>všech</w:t>
      </w:r>
      <w:r w:rsidR="00244DA4">
        <w:t xml:space="preserve"> státních orgánů,</w:t>
      </w:r>
      <w:r w:rsidR="00231EFD">
        <w:rPr>
          <w:rStyle w:val="Znakapoznpodarou"/>
        </w:rPr>
        <w:footnoteReference w:id="83"/>
      </w:r>
      <w:r w:rsidR="00231EFD">
        <w:t xml:space="preserve"> tj.</w:t>
      </w:r>
      <w:r w:rsidR="00244DA4">
        <w:t xml:space="preserve"> včetně</w:t>
      </w:r>
      <w:r w:rsidR="00497A86">
        <w:t xml:space="preserve"> orgánů</w:t>
      </w:r>
      <w:r w:rsidR="00244DA4">
        <w:t xml:space="preserve"> moci zákonodárné</w:t>
      </w:r>
      <w:r w:rsidR="00497A86">
        <w:t>.</w:t>
      </w:r>
      <w:r w:rsidR="00231EFD">
        <w:rPr>
          <w:rStyle w:val="Znakapoznpodarou"/>
        </w:rPr>
        <w:footnoteReference w:id="84"/>
      </w:r>
      <w:r w:rsidR="00231EFD">
        <w:t xml:space="preserve"> Ústavní soud</w:t>
      </w:r>
      <w:r w:rsidR="00FE1F94">
        <w:t xml:space="preserve"> </w:t>
      </w:r>
      <w:r w:rsidR="00497A86">
        <w:t xml:space="preserve">však </w:t>
      </w:r>
      <w:r w:rsidR="00FE1F94">
        <w:t>ve svém stanovisku k</w:t>
      </w:r>
      <w:r w:rsidR="009F1806">
        <w:t> </w:t>
      </w:r>
      <w:r w:rsidR="00FE1F94">
        <w:t>náhradě</w:t>
      </w:r>
      <w:r w:rsidR="009F1806">
        <w:t xml:space="preserve"> </w:t>
      </w:r>
      <w:r w:rsidR="009F23D0">
        <w:t xml:space="preserve">škody </w:t>
      </w:r>
      <w:r w:rsidR="00FE1F94">
        <w:t xml:space="preserve">za nucené omezení vlastnického práva ve věcech protiústavní regulace nájemného </w:t>
      </w:r>
      <w:r w:rsidR="00C35683">
        <w:t>uvedený</w:t>
      </w:r>
      <w:r w:rsidR="00FE1F94">
        <w:t xml:space="preserve"> závěr </w:t>
      </w:r>
      <w:r w:rsidR="000C3135">
        <w:t xml:space="preserve">poněkud </w:t>
      </w:r>
      <w:r w:rsidR="00FE1F94">
        <w:t xml:space="preserve">relativizoval, když </w:t>
      </w:r>
      <w:r w:rsidR="00497A86">
        <w:t>shledal</w:t>
      </w:r>
      <w:r w:rsidR="00FE1F94">
        <w:t xml:space="preserve">, že Parlament </w:t>
      </w:r>
      <w:r w:rsidR="00FE1F94" w:rsidRPr="00C35683">
        <w:rPr>
          <w:i/>
        </w:rPr>
        <w:t>nelze</w:t>
      </w:r>
      <w:r w:rsidR="00FE1F94">
        <w:t xml:space="preserve"> považovat za </w:t>
      </w:r>
      <w:r w:rsidR="007E2FBF">
        <w:t xml:space="preserve">„orgán veřejné správy“ </w:t>
      </w:r>
      <w:r w:rsidR="00FE1F94">
        <w:t xml:space="preserve">nebo </w:t>
      </w:r>
      <w:r w:rsidR="007E2FBF">
        <w:t>„</w:t>
      </w:r>
      <w:r w:rsidR="00FE1F94">
        <w:t xml:space="preserve">jiný </w:t>
      </w:r>
      <w:r w:rsidR="007E2FBF">
        <w:t>státní</w:t>
      </w:r>
      <w:r w:rsidR="00FE1F94">
        <w:t xml:space="preserve"> orgán</w:t>
      </w:r>
      <w:r w:rsidR="007E2FBF">
        <w:t>“</w:t>
      </w:r>
      <w:r w:rsidR="00497A86" w:rsidRPr="00497A86">
        <w:t xml:space="preserve"> </w:t>
      </w:r>
      <w:r w:rsidR="00497A86">
        <w:t>ve smyslu čl. 36 odst. 3 Listiny</w:t>
      </w:r>
      <w:r w:rsidR="00FE1F94">
        <w:t>.</w:t>
      </w:r>
      <w:r w:rsidR="00FE1F94">
        <w:rPr>
          <w:rStyle w:val="Znakapoznpodarou"/>
        </w:rPr>
        <w:footnoteReference w:id="85"/>
      </w:r>
      <w:r w:rsidR="00CC4B5F">
        <w:t xml:space="preserve"> </w:t>
      </w:r>
      <w:r w:rsidR="009F1806">
        <w:t xml:space="preserve">Podle </w:t>
      </w:r>
      <w:r w:rsidR="000C3135">
        <w:t>Ústavního soudu</w:t>
      </w:r>
      <w:r w:rsidR="009F1806">
        <w:t xml:space="preserve"> je o</w:t>
      </w:r>
      <w:r w:rsidR="00CC4B5F" w:rsidRPr="00CC4B5F">
        <w:t xml:space="preserve">dpovědnost za výkon </w:t>
      </w:r>
      <w:r w:rsidR="009F1806">
        <w:t>zákonodárné</w:t>
      </w:r>
      <w:r w:rsidR="00CC4B5F" w:rsidRPr="00CC4B5F">
        <w:t xml:space="preserve"> </w:t>
      </w:r>
      <w:r w:rsidR="00CC4B5F" w:rsidRPr="00CC4B5F">
        <w:lastRenderedPageBreak/>
        <w:t xml:space="preserve">pravomoci </w:t>
      </w:r>
      <w:r w:rsidR="009F1806">
        <w:t>v první řadě politická a</w:t>
      </w:r>
      <w:r w:rsidR="000C3135">
        <w:t xml:space="preserve"> </w:t>
      </w:r>
      <w:r w:rsidR="007E2FBF">
        <w:t xml:space="preserve">jako taková </w:t>
      </w:r>
      <w:r w:rsidR="009F1806">
        <w:t>nezakládá</w:t>
      </w:r>
      <w:r w:rsidR="000C3135">
        <w:t xml:space="preserve"> </w:t>
      </w:r>
      <w:r w:rsidR="009F1806">
        <w:t xml:space="preserve">nárok </w:t>
      </w:r>
      <w:r w:rsidR="00C35683">
        <w:t xml:space="preserve">na náhradu škody podle zákona o </w:t>
      </w:r>
      <w:r w:rsidR="009F1806">
        <w:t xml:space="preserve">odpovědnosti státu za škodu. </w:t>
      </w:r>
      <w:r w:rsidR="000C3135">
        <w:t>ÚS</w:t>
      </w:r>
      <w:r w:rsidR="009F1806">
        <w:t xml:space="preserve"> </w:t>
      </w:r>
      <w:r w:rsidR="00C35683">
        <w:t xml:space="preserve">však současně </w:t>
      </w:r>
      <w:r w:rsidR="00905ABA">
        <w:t>dospěl k závěru</w:t>
      </w:r>
      <w:r w:rsidR="009F1806">
        <w:t xml:space="preserve">, že jednotlivci v tomto případě </w:t>
      </w:r>
      <w:r w:rsidR="00027091">
        <w:t xml:space="preserve">může </w:t>
      </w:r>
      <w:r w:rsidR="009F1806">
        <w:t xml:space="preserve">svědčit </w:t>
      </w:r>
      <w:r w:rsidR="009F1806" w:rsidRPr="007E2FBF">
        <w:rPr>
          <w:i/>
        </w:rPr>
        <w:t>jiné právo</w:t>
      </w:r>
      <w:r w:rsidR="009F1806">
        <w:t xml:space="preserve"> než </w:t>
      </w:r>
      <w:r w:rsidR="0083717C">
        <w:t>právo na náhradu škody podle</w:t>
      </w:r>
      <w:r w:rsidR="00905ABA">
        <w:t xml:space="preserve"> </w:t>
      </w:r>
      <w:r w:rsidR="0083717C">
        <w:t>čl. 36 odst. 3 Listiny. K</w:t>
      </w:r>
      <w:r w:rsidR="004034DD">
        <w:t>onkrétně</w:t>
      </w:r>
      <w:r w:rsidR="0083717C">
        <w:t>, Ústavní soud</w:t>
      </w:r>
      <w:r w:rsidR="00905ABA">
        <w:t xml:space="preserve"> </w:t>
      </w:r>
      <w:r w:rsidR="009F23D0">
        <w:t xml:space="preserve">v tomto případě </w:t>
      </w:r>
      <w:r w:rsidR="009F1806">
        <w:t xml:space="preserve">právo na náhradu za nucené omezení vlastnického práva </w:t>
      </w:r>
      <w:r w:rsidR="0083717C">
        <w:t>dovodil z</w:t>
      </w:r>
      <w:r w:rsidR="009F1806">
        <w:t xml:space="preserve"> čl. 11 odst. 4 Listiny</w:t>
      </w:r>
      <w:r w:rsidR="00027091">
        <w:t xml:space="preserve">. </w:t>
      </w:r>
      <w:r w:rsidR="00A13257">
        <w:t>Nově v</w:t>
      </w:r>
      <w:r w:rsidR="00865CDB">
        <w:t>zniknuvší problém</w:t>
      </w:r>
      <w:r w:rsidR="00905ABA">
        <w:t xml:space="preserve"> </w:t>
      </w:r>
      <w:r w:rsidR="00A13257">
        <w:t xml:space="preserve">spočívající ve skutečnosti, že </w:t>
      </w:r>
      <w:r w:rsidR="00905ABA">
        <w:t>čl. 11 odst. 4 Listiny – na rozdíl od čl. 36 odst. 3 Listiny –</w:t>
      </w:r>
      <w:r w:rsidR="00A13257">
        <w:t xml:space="preserve"> </w:t>
      </w:r>
      <w:r w:rsidR="00A74809">
        <w:t xml:space="preserve">k uplatnění nároku na náhradu škody postrádá příslušnou </w:t>
      </w:r>
      <w:r w:rsidR="005E674D">
        <w:t xml:space="preserve">právní úpravu, Ústavní soud vyřešil </w:t>
      </w:r>
      <w:r w:rsidR="009F23D0">
        <w:t>důmyslně</w:t>
      </w:r>
      <w:r w:rsidR="005E674D">
        <w:t xml:space="preserve"> odkazem na zákon svým obsahem a účelem nejbližší, tj. na zákon</w:t>
      </w:r>
      <w:r w:rsidR="00A13257">
        <w:t xml:space="preserve"> č. 82/1998 Sb.,</w:t>
      </w:r>
      <w:r w:rsidR="0083717C">
        <w:t xml:space="preserve"> o </w:t>
      </w:r>
      <w:r w:rsidR="005E674D">
        <w:t>odpovědnosti státu za škodu.</w:t>
      </w:r>
      <w:r w:rsidR="000848D0">
        <w:rPr>
          <w:rStyle w:val="Znakapoznpodarou"/>
        </w:rPr>
        <w:footnoteReference w:id="86"/>
      </w:r>
      <w:r w:rsidR="00865CDB">
        <w:t xml:space="preserve"> </w:t>
      </w:r>
      <w:r w:rsidR="004D3D3A">
        <w:t>J</w:t>
      </w:r>
      <w:r w:rsidR="002B2924">
        <w:t xml:space="preserve">akkoliv tedy ÚS určitou formu realizace práva na náhradu škody způsobené zákonodárcem – byť </w:t>
      </w:r>
      <w:r w:rsidR="009F23D0">
        <w:t>formálně</w:t>
      </w:r>
      <w:r w:rsidR="002B2924">
        <w:t xml:space="preserve"> mimo rámec zákona o odpovědnosti státu za škodu – připouští, je zřejmé, že se tak bude dít pouze v ojedinělých a velmi specifických případech</w:t>
      </w:r>
      <w:r w:rsidR="00865CDB">
        <w:t>.</w:t>
      </w:r>
      <w:r w:rsidR="00865CDB">
        <w:rPr>
          <w:rStyle w:val="Znakapoznpodarou"/>
        </w:rPr>
        <w:footnoteReference w:id="87"/>
      </w:r>
    </w:p>
    <w:p w:rsidR="000D0ADA" w:rsidRDefault="002B2924" w:rsidP="000D0ADA">
      <w:pPr>
        <w:ind w:firstLine="360"/>
      </w:pPr>
      <w:r>
        <w:t>Plénum Ústavního soudu se ve svém stanovisku nezabývalo</w:t>
      </w:r>
      <w:r w:rsidR="00FC63A0">
        <w:t xml:space="preserve"> odpovědnost</w:t>
      </w:r>
      <w:r w:rsidR="00D911CC">
        <w:t>í</w:t>
      </w:r>
      <w:r w:rsidR="00EB10BC">
        <w:t xml:space="preserve"> zákonodárce</w:t>
      </w:r>
      <w:r w:rsidR="00FC63A0">
        <w:t xml:space="preserve"> za porušení </w:t>
      </w:r>
      <w:r w:rsidR="00D911CC">
        <w:t xml:space="preserve">unijního </w:t>
      </w:r>
      <w:r w:rsidR="00FC63A0">
        <w:t xml:space="preserve">práva </w:t>
      </w:r>
      <w:r w:rsidR="00D911CC">
        <w:t>(což je s ohledem na skutkový</w:t>
      </w:r>
      <w:r w:rsidR="00B60FCE">
        <w:t xml:space="preserve"> –</w:t>
      </w:r>
      <w:r>
        <w:t xml:space="preserve"> </w:t>
      </w:r>
      <w:r w:rsidR="00D911CC">
        <w:t>čistě vnitrostátní</w:t>
      </w:r>
      <w:r w:rsidR="00B60FCE">
        <w:t xml:space="preserve"> –</w:t>
      </w:r>
      <w:r w:rsidR="00D911CC">
        <w:t xml:space="preserve"> rámec případu pochopitelné).</w:t>
      </w:r>
      <w:r w:rsidR="00EB10BC">
        <w:t xml:space="preserve"> Pouze soudce P. </w:t>
      </w:r>
      <w:proofErr w:type="spellStart"/>
      <w:r w:rsidR="00EB10BC">
        <w:t>Hollände</w:t>
      </w:r>
      <w:r w:rsidR="005B6885">
        <w:t>r</w:t>
      </w:r>
      <w:proofErr w:type="spellEnd"/>
      <w:r w:rsidR="005B6885">
        <w:t xml:space="preserve"> ve svém odlišném stanovisku </w:t>
      </w:r>
      <w:r w:rsidR="00EB10BC">
        <w:t xml:space="preserve">poukázal na </w:t>
      </w:r>
      <w:r w:rsidR="00EB10BC" w:rsidRPr="004209BC">
        <w:rPr>
          <w:i/>
        </w:rPr>
        <w:t>nadstátní povahu</w:t>
      </w:r>
      <w:r w:rsidR="00EB10BC">
        <w:t xml:space="preserve"> sankčního mec</w:t>
      </w:r>
      <w:r w:rsidR="00D911CC">
        <w:t xml:space="preserve">hanismu </w:t>
      </w:r>
      <w:r>
        <w:t>formulovaného</w:t>
      </w:r>
      <w:r w:rsidR="00D911CC">
        <w:t xml:space="preserve"> judikatur</w:t>
      </w:r>
      <w:r>
        <w:t xml:space="preserve">ou SDEU a </w:t>
      </w:r>
      <w:r w:rsidR="00EB10BC">
        <w:t xml:space="preserve">odlišil </w:t>
      </w:r>
      <w:r w:rsidR="005B6885">
        <w:t>ho</w:t>
      </w:r>
      <w:r w:rsidR="00EB10BC">
        <w:t xml:space="preserve"> tak od vnitrostátní úpravy odpovědnosti státu za škodu.</w:t>
      </w:r>
      <w:r w:rsidR="005B6885">
        <w:t xml:space="preserve"> Obdobný názor zaujal</w:t>
      </w:r>
      <w:r w:rsidR="00AE1422">
        <w:t xml:space="preserve"> </w:t>
      </w:r>
      <w:r w:rsidR="005B6885">
        <w:t>ve své</w:t>
      </w:r>
      <w:r w:rsidR="000D0ADA">
        <w:t xml:space="preserve"> pilotní</w:t>
      </w:r>
      <w:r w:rsidR="005B6885">
        <w:t xml:space="preserve"> judikatuře k</w:t>
      </w:r>
      <w:r w:rsidR="00B60FCE">
        <w:t xml:space="preserve"> </w:t>
      </w:r>
      <w:r>
        <w:t>principu náhrady</w:t>
      </w:r>
      <w:r w:rsidR="00153E34">
        <w:t xml:space="preserve"> škody</w:t>
      </w:r>
      <w:r w:rsidR="00E34AE1">
        <w:t xml:space="preserve"> </w:t>
      </w:r>
      <w:r w:rsidR="00B60FCE">
        <w:t xml:space="preserve">za porušení práva EU </w:t>
      </w:r>
      <w:r w:rsidR="00461BB5">
        <w:t>rovněž Nejvyšší soud, a to ve věcech, jež se týkaly úhrad ze systému veřejného zdravotního pojištění.</w:t>
      </w:r>
    </w:p>
    <w:p w:rsidR="005604C1" w:rsidRDefault="005604C1" w:rsidP="000D0ADA">
      <w:pPr>
        <w:ind w:firstLine="360"/>
      </w:pPr>
    </w:p>
    <w:p w:rsidR="005604C1" w:rsidRDefault="005604C1" w:rsidP="00554A1A">
      <w:pPr>
        <w:pStyle w:val="Odstavecseseznamem"/>
        <w:numPr>
          <w:ilvl w:val="1"/>
          <w:numId w:val="2"/>
        </w:numPr>
        <w:ind w:left="431" w:hanging="431"/>
        <w:rPr>
          <w:b/>
          <w:i/>
        </w:rPr>
      </w:pPr>
      <w:r w:rsidRPr="004907B9">
        <w:rPr>
          <w:rFonts w:cs="Times New Roman"/>
          <w:b/>
          <w:i/>
        </w:rPr>
        <w:t>Nejvyšší</w:t>
      </w:r>
      <w:r w:rsidRPr="003A48AE">
        <w:rPr>
          <w:b/>
          <w:i/>
        </w:rPr>
        <w:t xml:space="preserve"> soud zády a čelem k principu </w:t>
      </w:r>
      <w:proofErr w:type="spellStart"/>
      <w:r w:rsidRPr="003A48AE">
        <w:rPr>
          <w:b/>
          <w:i/>
        </w:rPr>
        <w:t>Francovich</w:t>
      </w:r>
      <w:proofErr w:type="spellEnd"/>
      <w:r w:rsidR="009849BE" w:rsidRPr="003A48AE">
        <w:rPr>
          <w:b/>
          <w:i/>
        </w:rPr>
        <w:t>:</w:t>
      </w:r>
      <w:r w:rsidR="0087259B" w:rsidRPr="003A48AE">
        <w:rPr>
          <w:b/>
          <w:i/>
        </w:rPr>
        <w:t xml:space="preserve"> </w:t>
      </w:r>
      <w:r w:rsidR="00AF0F4F" w:rsidRPr="003A48AE">
        <w:rPr>
          <w:b/>
          <w:i/>
        </w:rPr>
        <w:t>případy</w:t>
      </w:r>
      <w:r w:rsidR="004907B9">
        <w:rPr>
          <w:b/>
          <w:i/>
        </w:rPr>
        <w:t xml:space="preserve"> úhrad ze systému </w:t>
      </w:r>
      <w:r w:rsidRPr="004907B9">
        <w:rPr>
          <w:b/>
          <w:i/>
        </w:rPr>
        <w:t>veřejného zdravotního pojištění</w:t>
      </w:r>
    </w:p>
    <w:p w:rsidR="00554A1A" w:rsidRPr="004907B9" w:rsidRDefault="00554A1A" w:rsidP="00554A1A">
      <w:pPr>
        <w:pStyle w:val="Odstavecseseznamem"/>
        <w:ind w:left="431" w:firstLine="0"/>
        <w:rPr>
          <w:b/>
          <w:i/>
        </w:rPr>
      </w:pPr>
    </w:p>
    <w:p w:rsidR="007619C6" w:rsidRDefault="00F2278A" w:rsidP="007619C6">
      <w:pPr>
        <w:ind w:firstLine="360"/>
      </w:pPr>
      <w:r>
        <w:t xml:space="preserve">V rozsudku </w:t>
      </w:r>
      <w:r w:rsidR="00E061F8">
        <w:t xml:space="preserve">ze dne 21. 11. 2007, </w:t>
      </w:r>
      <w:proofErr w:type="spellStart"/>
      <w:r w:rsidR="00E061F8">
        <w:t>sp</w:t>
      </w:r>
      <w:proofErr w:type="spellEnd"/>
      <w:r w:rsidR="00E061F8">
        <w:t xml:space="preserve">. zn. 25 </w:t>
      </w:r>
      <w:proofErr w:type="spellStart"/>
      <w:r w:rsidR="00E061F8">
        <w:t>Cdo</w:t>
      </w:r>
      <w:proofErr w:type="spellEnd"/>
      <w:r w:rsidR="00E061F8">
        <w:t xml:space="preserve"> 2064/2005, se </w:t>
      </w:r>
      <w:r w:rsidR="00A66B6C">
        <w:t>NS</w:t>
      </w:r>
      <w:r>
        <w:t xml:space="preserve"> zabýval časovými</w:t>
      </w:r>
      <w:r w:rsidR="00A66B6C">
        <w:t xml:space="preserve"> a </w:t>
      </w:r>
      <w:r>
        <w:t>množstevními limity</w:t>
      </w:r>
      <w:r w:rsidR="00E061F8">
        <w:t xml:space="preserve"> a krácení</w:t>
      </w:r>
      <w:r>
        <w:t>m</w:t>
      </w:r>
      <w:r w:rsidR="00E061F8">
        <w:t xml:space="preserve"> úhrad za tzv. převýš</w:t>
      </w:r>
      <w:r>
        <w:t xml:space="preserve">ení vykázané zdravotnické péče, </w:t>
      </w:r>
      <w:r w:rsidR="00B60FCE">
        <w:t>jež</w:t>
      </w:r>
      <w:r>
        <w:t xml:space="preserve"> byly </w:t>
      </w:r>
      <w:r w:rsidR="0028282E">
        <w:t>na základě zmocnění v ustanovení § 17 odst. 5 zákona č. 48/1997 Sb.</w:t>
      </w:r>
      <w:r w:rsidR="00BD765E">
        <w:rPr>
          <w:rFonts w:cs="Times New Roman"/>
          <w:color w:val="000000"/>
        </w:rPr>
        <w:t>, o </w:t>
      </w:r>
      <w:r w:rsidR="0028282E">
        <w:rPr>
          <w:rFonts w:cs="Times New Roman"/>
          <w:color w:val="000000"/>
        </w:rPr>
        <w:t>veřejném zdravotním pojištění</w:t>
      </w:r>
      <w:r w:rsidR="00BD765E">
        <w:rPr>
          <w:rFonts w:cs="Times New Roman"/>
          <w:color w:val="000000"/>
        </w:rPr>
        <w:t xml:space="preserve"> (v tehdy účinném znění),</w:t>
      </w:r>
      <w:r w:rsidR="0028282E">
        <w:rPr>
          <w:rFonts w:cs="Times New Roman"/>
          <w:color w:val="000000"/>
        </w:rPr>
        <w:t xml:space="preserve"> </w:t>
      </w:r>
      <w:r>
        <w:t>stanoveny rozhodnutími vlády.</w:t>
      </w:r>
      <w:r w:rsidR="00BD765E">
        <w:rPr>
          <w:rStyle w:val="Znakapoznpodarou"/>
        </w:rPr>
        <w:footnoteReference w:id="88"/>
      </w:r>
      <w:r w:rsidR="00413476">
        <w:t xml:space="preserve"> </w:t>
      </w:r>
      <w:r>
        <w:t>Uvedená rozhodnutí</w:t>
      </w:r>
      <w:r w:rsidR="00B60FCE">
        <w:t xml:space="preserve"> však </w:t>
      </w:r>
      <w:r>
        <w:t xml:space="preserve">byla </w:t>
      </w:r>
      <w:r w:rsidR="0028282E">
        <w:t xml:space="preserve">Ústavním soudem </w:t>
      </w:r>
      <w:r w:rsidR="00413476">
        <w:t>zrušen</w:t>
      </w:r>
      <w:r>
        <w:t>a</w:t>
      </w:r>
      <w:r w:rsidR="00E061F8">
        <w:t>.</w:t>
      </w:r>
      <w:r w:rsidR="00FC133F">
        <w:rPr>
          <w:rStyle w:val="Znakapoznpodarou"/>
        </w:rPr>
        <w:footnoteReference w:id="89"/>
      </w:r>
      <w:r w:rsidR="00E061F8">
        <w:t xml:space="preserve"> </w:t>
      </w:r>
      <w:r w:rsidR="00B60FCE">
        <w:t>V návaznosti na tuto skutečnost s</w:t>
      </w:r>
      <w:r>
        <w:t xml:space="preserve">oudy nižších stupňů </w:t>
      </w:r>
      <w:r w:rsidR="00BD765E">
        <w:t xml:space="preserve">dospěly k poměrně </w:t>
      </w:r>
      <w:r w:rsidR="00B60FCE">
        <w:t>průkopnickému závěru. Shledaly</w:t>
      </w:r>
      <w:r w:rsidR="00BD765E">
        <w:t>, že</w:t>
      </w:r>
      <w:r w:rsidR="0028282E">
        <w:t xml:space="preserve"> </w:t>
      </w:r>
      <w:r w:rsidR="0028282E" w:rsidRPr="0028282E">
        <w:t>vláda byla oprávněna stanovit hodnotu bodu, nikoli</w:t>
      </w:r>
      <w:r w:rsidR="00BD765E">
        <w:t>v</w:t>
      </w:r>
      <w:r w:rsidR="0028282E" w:rsidRPr="0028282E">
        <w:t xml:space="preserve"> však další </w:t>
      </w:r>
      <w:r w:rsidR="00BD765E">
        <w:t>limitace, pokud tak</w:t>
      </w:r>
      <w:r w:rsidR="00B60FCE">
        <w:t xml:space="preserve"> tedy</w:t>
      </w:r>
      <w:r w:rsidR="00BD765E">
        <w:t xml:space="preserve"> učinila, </w:t>
      </w:r>
      <w:r w:rsidRPr="00F2278A">
        <w:t xml:space="preserve">dopustila se </w:t>
      </w:r>
      <w:r w:rsidRPr="00F2278A">
        <w:lastRenderedPageBreak/>
        <w:t>nesprávného úředního postupu ve smyslu zákona č. 58/1969 Sb.</w:t>
      </w:r>
      <w:r w:rsidR="00BD765E">
        <w:t>, o odpovědnosti státu za škodu</w:t>
      </w:r>
      <w:r w:rsidR="00B60FCE">
        <w:t>, neboť</w:t>
      </w:r>
      <w:r w:rsidR="00565FB5">
        <w:t xml:space="preserve"> </w:t>
      </w:r>
      <w:r w:rsidR="00B60FCE" w:rsidRPr="00F2278A">
        <w:t>post</w:t>
      </w:r>
      <w:r w:rsidR="00B60FCE">
        <w:t xml:space="preserve">upovala bez příslušného zákonného zmocnění. </w:t>
      </w:r>
      <w:r w:rsidR="00A66B6C">
        <w:t>Jelikož Veřejná zdravotní pojišťovna</w:t>
      </w:r>
      <w:r w:rsidR="00A66B6C" w:rsidRPr="00A66B6C">
        <w:t xml:space="preserve"> na základě </w:t>
      </w:r>
      <w:r w:rsidR="00A66B6C">
        <w:t>uvedené</w:t>
      </w:r>
      <w:r w:rsidR="00A66B6C" w:rsidRPr="00A66B6C">
        <w:t xml:space="preserve"> regulace krátila žalobci p</w:t>
      </w:r>
      <w:r w:rsidR="00B60FCE">
        <w:t xml:space="preserve">latby za poskytnutou </w:t>
      </w:r>
      <w:r w:rsidR="00A66B6C" w:rsidRPr="00A66B6C">
        <w:t>zdravotnickou péči, majetek žalobce se v důsledku nesprávného úředního postupu vlády zmenšil.</w:t>
      </w:r>
      <w:r w:rsidR="00A66B6C">
        <w:t xml:space="preserve"> Soudy nižších stupňů </w:t>
      </w:r>
      <w:r w:rsidR="00B60FCE">
        <w:t>proto</w:t>
      </w:r>
      <w:r w:rsidR="00A66B6C">
        <w:t xml:space="preserve"> </w:t>
      </w:r>
      <w:r w:rsidR="00B60FCE">
        <w:t>nárok</w:t>
      </w:r>
      <w:r w:rsidR="00A66B6C">
        <w:t xml:space="preserve"> žalobce </w:t>
      </w:r>
      <w:r w:rsidR="009F23D0">
        <w:t xml:space="preserve">shledaly </w:t>
      </w:r>
      <w:r w:rsidR="00A66B6C">
        <w:t>důvodným.</w:t>
      </w:r>
      <w:r w:rsidR="00A66B6C" w:rsidRPr="00A66B6C">
        <w:t xml:space="preserve"> </w:t>
      </w:r>
      <w:r w:rsidR="00C65AD8">
        <w:t>Nejvyšší soud</w:t>
      </w:r>
      <w:r w:rsidR="00BD765E">
        <w:t xml:space="preserve"> </w:t>
      </w:r>
      <w:r w:rsidR="00E40FFE">
        <w:t xml:space="preserve">se </w:t>
      </w:r>
      <w:r w:rsidR="00BD765E">
        <w:t>však s</w:t>
      </w:r>
      <w:r w:rsidR="007619C6">
        <w:t xml:space="preserve"> </w:t>
      </w:r>
      <w:r w:rsidR="00BD765E">
        <w:t xml:space="preserve">tímto </w:t>
      </w:r>
      <w:r w:rsidR="00B60FCE">
        <w:t>závěrem</w:t>
      </w:r>
      <w:r w:rsidR="00565FB5">
        <w:t xml:space="preserve"> </w:t>
      </w:r>
      <w:r w:rsidR="00E40FFE">
        <w:t>neztotožnil</w:t>
      </w:r>
      <w:r w:rsidR="007619C6">
        <w:t xml:space="preserve"> a </w:t>
      </w:r>
      <w:r w:rsidR="00565FB5">
        <w:t>rozhodnutí soudů nižších stupňů</w:t>
      </w:r>
      <w:r w:rsidR="007619C6">
        <w:t xml:space="preserve"> </w:t>
      </w:r>
      <w:r w:rsidR="00565FB5">
        <w:t>zrušil.</w:t>
      </w:r>
    </w:p>
    <w:p w:rsidR="00BF027D" w:rsidRDefault="00B60FCE" w:rsidP="00BF027D">
      <w:pPr>
        <w:ind w:firstLine="360"/>
      </w:pPr>
      <w:r>
        <w:t>Konstatoval přitom</w:t>
      </w:r>
      <w:r w:rsidR="007619C6">
        <w:t xml:space="preserve">, že </w:t>
      </w:r>
      <w:r w:rsidR="007619C6" w:rsidRPr="007619C6">
        <w:rPr>
          <w:i/>
        </w:rPr>
        <w:t>„</w:t>
      </w:r>
      <w:r w:rsidR="007619C6" w:rsidRPr="007619C6">
        <w:rPr>
          <w:rFonts w:cs="Times New Roman"/>
          <w:i/>
        </w:rPr>
        <w:t>[v]</w:t>
      </w:r>
      <w:proofErr w:type="spellStart"/>
      <w:r w:rsidR="007619C6" w:rsidRPr="007619C6">
        <w:rPr>
          <w:i/>
        </w:rPr>
        <w:t>ydání</w:t>
      </w:r>
      <w:proofErr w:type="spellEnd"/>
      <w:r w:rsidR="007619C6" w:rsidRPr="007619C6">
        <w:rPr>
          <w:i/>
        </w:rPr>
        <w:t xml:space="preserve"> normativního právního aktu není totiž úředním postupem vlády, nýbrž je výsledkem její normotvorné činnosti. Jestliže normotvorná činnost nebo nečinnost orgánu veřejné moci nemůže být posuzována jako nesprávný úřední postup, nelze dovodit ani odpovědnost státu za škodu způsobenou nesprávným úředním postupem.“ </w:t>
      </w:r>
      <w:r w:rsidR="007619C6">
        <w:t>K námitce žalobce, který ve svém vyjádření k</w:t>
      </w:r>
      <w:r>
        <w:t xml:space="preserve"> </w:t>
      </w:r>
      <w:r w:rsidR="007619C6">
        <w:t xml:space="preserve">dovolání </w:t>
      </w:r>
      <w:r w:rsidR="0051472A">
        <w:t>poukazoval</w:t>
      </w:r>
      <w:r w:rsidR="007619C6">
        <w:t xml:space="preserve"> na judikaturu SDEU o </w:t>
      </w:r>
      <w:r w:rsidR="0051472A">
        <w:t xml:space="preserve">odpovědnosti státu, </w:t>
      </w:r>
      <w:r w:rsidR="007619C6">
        <w:t>Nejvyšší soud zároveň</w:t>
      </w:r>
      <w:r w:rsidR="00FC0F7B">
        <w:t xml:space="preserve"> </w:t>
      </w:r>
      <w:r w:rsidR="0051472A">
        <w:t xml:space="preserve">uvedl, </w:t>
      </w:r>
      <w:r w:rsidR="0051472A" w:rsidRPr="00FC0F7B">
        <w:rPr>
          <w:i/>
        </w:rPr>
        <w:t>„že</w:t>
      </w:r>
      <w:r w:rsidR="00FC0F7B" w:rsidRPr="00FC0F7B">
        <w:rPr>
          <w:i/>
        </w:rPr>
        <w:t xml:space="preserve"> se jedná o judikaturu zabývající se odpovědností státu za porušení komunitárního práva (nejčastěji jako důsledek vadně či nevčasně implementované směrnice do národního právního řádu), a proto nelze tato rozhodnutí vzt</w:t>
      </w:r>
      <w:r w:rsidR="00CE650B">
        <w:rPr>
          <w:i/>
        </w:rPr>
        <w:t>ahovat na případy odpovědnosti</w:t>
      </w:r>
      <w:r w:rsidR="00FC0F7B" w:rsidRPr="00FC0F7B">
        <w:rPr>
          <w:i/>
        </w:rPr>
        <w:t xml:space="preserve"> státu za škodu způsobenou nesprávným úředním postupem ve smyslu zákona č. 58/1969 Sb., resp. zákona č. 82/1998 Sb.</w:t>
      </w:r>
      <w:r w:rsidR="00FC0F7B">
        <w:rPr>
          <w:i/>
        </w:rPr>
        <w:t>“</w:t>
      </w:r>
      <w:r w:rsidR="007619C6">
        <w:t xml:space="preserve"> Nutno podotknout, že v této věci byla </w:t>
      </w:r>
      <w:r w:rsidR="001E57A5">
        <w:t xml:space="preserve">následně </w:t>
      </w:r>
      <w:r w:rsidR="007619C6">
        <w:t>podána</w:t>
      </w:r>
      <w:r w:rsidR="008A4AC3">
        <w:t xml:space="preserve"> </w:t>
      </w:r>
      <w:r w:rsidR="007619C6">
        <w:t>ústavní stížnost, kterou ÚS odmítl.</w:t>
      </w:r>
      <w:r w:rsidR="007619C6">
        <w:rPr>
          <w:rStyle w:val="Znakapoznpodarou"/>
        </w:rPr>
        <w:footnoteReference w:id="90"/>
      </w:r>
    </w:p>
    <w:p w:rsidR="00824D9A" w:rsidRDefault="00BF027D" w:rsidP="007619C6">
      <w:pPr>
        <w:ind w:firstLine="360"/>
      </w:pPr>
      <w:r>
        <w:t>Nejvyšší soud v dalších případech</w:t>
      </w:r>
      <w:r w:rsidR="00A66B6C">
        <w:t xml:space="preserve"> týkajících se</w:t>
      </w:r>
      <w:r>
        <w:t xml:space="preserve"> </w:t>
      </w:r>
      <w:r w:rsidR="001E57A5">
        <w:t xml:space="preserve">výše úhrad </w:t>
      </w:r>
      <w:r w:rsidR="006346B2">
        <w:t>poskytovaných</w:t>
      </w:r>
      <w:r w:rsidR="001E57A5">
        <w:t xml:space="preserve"> </w:t>
      </w:r>
      <w:r>
        <w:t>porodní</w:t>
      </w:r>
      <w:r w:rsidR="001E57A5">
        <w:t>m</w:t>
      </w:r>
      <w:r>
        <w:t xml:space="preserve"> asistentk</w:t>
      </w:r>
      <w:r w:rsidR="001E57A5">
        <w:t>ám,</w:t>
      </w:r>
      <w:r w:rsidR="00820918">
        <w:t xml:space="preserve"> shora</w:t>
      </w:r>
      <w:r>
        <w:t xml:space="preserve"> </w:t>
      </w:r>
      <w:r w:rsidR="00820918">
        <w:t>citované</w:t>
      </w:r>
      <w:r>
        <w:t xml:space="preserve"> závěry zopakoval.</w:t>
      </w:r>
      <w:r w:rsidRPr="00C65AD8">
        <w:rPr>
          <w:rStyle w:val="Znakapoznpodarou"/>
        </w:rPr>
        <w:footnoteReference w:id="91"/>
      </w:r>
      <w:r>
        <w:t xml:space="preserve"> Ústavní soud však k nim již </w:t>
      </w:r>
      <w:r w:rsidR="00D63BE7">
        <w:t>napodruhé</w:t>
      </w:r>
      <w:r>
        <w:t xml:space="preserve"> tolik shovívavý nebyl.</w:t>
      </w:r>
      <w:r w:rsidR="00FA1B30">
        <w:t xml:space="preserve"> </w:t>
      </w:r>
      <w:r w:rsidR="00D63BE7">
        <w:t>Uvedené případy</w:t>
      </w:r>
      <w:r w:rsidR="001E57A5">
        <w:t xml:space="preserve"> </w:t>
      </w:r>
      <w:r w:rsidR="00A66B6C">
        <w:t xml:space="preserve">se </w:t>
      </w:r>
      <w:r w:rsidR="00D63BE7">
        <w:t>týkaly</w:t>
      </w:r>
      <w:r w:rsidR="0081570A">
        <w:t xml:space="preserve"> </w:t>
      </w:r>
      <w:r w:rsidR="00820918">
        <w:t>výsledku</w:t>
      </w:r>
      <w:r w:rsidR="00A66B6C">
        <w:t xml:space="preserve"> dohodovacího řízení vedeného mezi zástupci zdravotních pojišťoven a zástupci poskytovatelů zdravotní péče</w:t>
      </w:r>
      <w:r w:rsidR="00D63BE7">
        <w:t>, jehož smyslem</w:t>
      </w:r>
      <w:r w:rsidR="0081570A">
        <w:t xml:space="preserve"> </w:t>
      </w:r>
      <w:r w:rsidR="00A66B6C">
        <w:t xml:space="preserve">je </w:t>
      </w:r>
      <w:r w:rsidR="00F84181">
        <w:t>stanovit</w:t>
      </w:r>
      <w:r w:rsidR="00A66B6C">
        <w:t xml:space="preserve"> hodnotu bodu, na základě které </w:t>
      </w:r>
      <w:r w:rsidR="00D63BE7">
        <w:t>bude</w:t>
      </w:r>
      <w:r w:rsidR="003E2679">
        <w:t xml:space="preserve"> </w:t>
      </w:r>
      <w:r w:rsidR="00A66B6C">
        <w:t xml:space="preserve">poskytovatelům zdravotní péče </w:t>
      </w:r>
      <w:r w:rsidR="002F0CD3">
        <w:t>vyplácena</w:t>
      </w:r>
      <w:r w:rsidR="00A66B6C">
        <w:t xml:space="preserve"> úhrada ze systému veřejného zdravotního pojištění.</w:t>
      </w:r>
      <w:r w:rsidR="00D63BE7" w:rsidRPr="00D63BE7">
        <w:rPr>
          <w:rStyle w:val="Znakapoznpodarou"/>
        </w:rPr>
        <w:t xml:space="preserve"> </w:t>
      </w:r>
      <w:r w:rsidR="00D63BE7">
        <w:rPr>
          <w:rStyle w:val="Znakapoznpodarou"/>
        </w:rPr>
        <w:footnoteReference w:id="92"/>
      </w:r>
      <w:r w:rsidR="00A66B6C">
        <w:t xml:space="preserve"> Ministerstvo zdravotnictví</w:t>
      </w:r>
      <w:r w:rsidR="002F0CD3">
        <w:t xml:space="preserve"> </w:t>
      </w:r>
      <w:r w:rsidR="00D520F9">
        <w:t xml:space="preserve">následně </w:t>
      </w:r>
      <w:r w:rsidR="00D63BE7">
        <w:t xml:space="preserve">výsledek dohodovacího řízení </w:t>
      </w:r>
      <w:r w:rsidR="00D520F9">
        <w:t xml:space="preserve">vydává </w:t>
      </w:r>
      <w:r w:rsidR="00D63BE7">
        <w:t xml:space="preserve">v podobě </w:t>
      </w:r>
      <w:r w:rsidR="00A66B6C">
        <w:t>seznam</w:t>
      </w:r>
      <w:r w:rsidR="00D63BE7">
        <w:t>u</w:t>
      </w:r>
      <w:r w:rsidR="00A66B6C">
        <w:t xml:space="preserve"> zdravotních výkonů s</w:t>
      </w:r>
      <w:r w:rsidR="00824D9A">
        <w:t xml:space="preserve"> </w:t>
      </w:r>
      <w:r w:rsidR="003E2679">
        <w:t xml:space="preserve">příslušnými </w:t>
      </w:r>
      <w:r w:rsidR="00A66B6C">
        <w:t>bodovými hodnotami</w:t>
      </w:r>
      <w:r w:rsidR="00824D9A">
        <w:t xml:space="preserve"> </w:t>
      </w:r>
      <w:r w:rsidR="002F0CD3">
        <w:t>ve formě</w:t>
      </w:r>
      <w:r w:rsidR="006346B2">
        <w:t xml:space="preserve"> vyhlášky</w:t>
      </w:r>
      <w:r w:rsidR="00A66B6C">
        <w:t>.</w:t>
      </w:r>
    </w:p>
    <w:p w:rsidR="00BF027D" w:rsidRDefault="00FA1B30" w:rsidP="007619C6">
      <w:pPr>
        <w:ind w:firstLine="360"/>
      </w:pPr>
      <w:r>
        <w:t xml:space="preserve">Nespokojenost </w:t>
      </w:r>
      <w:proofErr w:type="spellStart"/>
      <w:r>
        <w:t>dovolatelek</w:t>
      </w:r>
      <w:proofErr w:type="spellEnd"/>
      <w:r w:rsidR="00A66B6C">
        <w:t xml:space="preserve"> </w:t>
      </w:r>
      <w:r w:rsidR="00D520F9">
        <w:t xml:space="preserve">v uvedených věcech </w:t>
      </w:r>
      <w:r>
        <w:t>pramenila z</w:t>
      </w:r>
      <w:r w:rsidR="00A66B6C">
        <w:t xml:space="preserve"> </w:t>
      </w:r>
      <w:r>
        <w:t xml:space="preserve">toho, že </w:t>
      </w:r>
      <w:r w:rsidR="002F0CD3">
        <w:t xml:space="preserve">v rámci </w:t>
      </w:r>
      <w:r w:rsidR="00824D9A">
        <w:t>odkazované</w:t>
      </w:r>
      <w:r w:rsidR="002F0CD3">
        <w:t xml:space="preserve"> vyhlášky </w:t>
      </w:r>
      <w:r w:rsidR="00A66B6C">
        <w:t>svou činností</w:t>
      </w:r>
      <w:r>
        <w:t xml:space="preserve"> spadaly pod odbornost „porodní asistentka“</w:t>
      </w:r>
      <w:r w:rsidR="00A66B6C">
        <w:t xml:space="preserve">, avšak </w:t>
      </w:r>
      <w:r w:rsidR="00D520F9">
        <w:t>úhrady jim</w:t>
      </w:r>
      <w:r w:rsidR="00A66B6C">
        <w:t xml:space="preserve"> byly </w:t>
      </w:r>
      <w:r w:rsidR="00D520F9">
        <w:t xml:space="preserve">vypláceny </w:t>
      </w:r>
      <w:r w:rsidR="00A66B6C">
        <w:t>podle odbornosti „sestra domácí zdravotní péče“</w:t>
      </w:r>
      <w:r w:rsidR="00F84181">
        <w:t xml:space="preserve">, pod </w:t>
      </w:r>
      <w:r w:rsidR="00D520F9">
        <w:t>níž</w:t>
      </w:r>
      <w:r w:rsidR="00F84181">
        <w:t xml:space="preserve"> byla pro účely stanovení hodnoty bodu jejich odbornost podřazena. Tuto skutečno</w:t>
      </w:r>
      <w:r w:rsidR="0081570A">
        <w:t>st</w:t>
      </w:r>
      <w:r w:rsidR="003E2679">
        <w:t xml:space="preserve"> </w:t>
      </w:r>
      <w:r w:rsidR="0081570A">
        <w:t>považovaly za diskriminující</w:t>
      </w:r>
      <w:r w:rsidR="00824D9A">
        <w:t xml:space="preserve"> a a</w:t>
      </w:r>
      <w:r w:rsidR="0081570A">
        <w:t>rgumentovaly mimo jiné</w:t>
      </w:r>
      <w:r w:rsidR="00F84181">
        <w:t xml:space="preserve"> </w:t>
      </w:r>
      <w:r w:rsidR="0081570A">
        <w:t>i tím</w:t>
      </w:r>
      <w:r w:rsidR="00F84181">
        <w:t>, že Ministerstvo zdravotnictví porušilo právo</w:t>
      </w:r>
      <w:r w:rsidR="0081570A">
        <w:t xml:space="preserve"> EU</w:t>
      </w:r>
      <w:r w:rsidR="00F84181">
        <w:t xml:space="preserve">, když </w:t>
      </w:r>
      <w:r w:rsidR="00F84181">
        <w:lastRenderedPageBreak/>
        <w:t>nezajistil</w:t>
      </w:r>
      <w:r w:rsidR="009E65C8">
        <w:t>o řádnou implementaci směrnice</w:t>
      </w:r>
      <w:r w:rsidR="00F84181">
        <w:t xml:space="preserve"> </w:t>
      </w:r>
      <w:r w:rsidR="00824D9A">
        <w:t xml:space="preserve">80/155/EHS </w:t>
      </w:r>
      <w:r w:rsidR="0081570A">
        <w:t>týkající se jejich odbornosti,</w:t>
      </w:r>
      <w:r w:rsidR="0081570A">
        <w:rPr>
          <w:rStyle w:val="Znakapoznpodarou"/>
        </w:rPr>
        <w:footnoteReference w:id="93"/>
      </w:r>
      <w:r w:rsidR="0081570A">
        <w:t xml:space="preserve"> </w:t>
      </w:r>
      <w:r w:rsidR="00824D9A">
        <w:t>jež</w:t>
      </w:r>
      <w:r w:rsidR="0081570A">
        <w:t xml:space="preserve"> byla transponována do zákona č. 94/2004 Sb., o nelékařských zdravotnických povoláních.</w:t>
      </w:r>
    </w:p>
    <w:p w:rsidR="00AA5F85" w:rsidRDefault="0081570A" w:rsidP="007619C6">
      <w:pPr>
        <w:ind w:firstLine="360"/>
        <w:rPr>
          <w:rFonts w:cs="Times New Roman"/>
          <w:color w:val="000000"/>
        </w:rPr>
      </w:pPr>
      <w:r>
        <w:t>Jak již bylo</w:t>
      </w:r>
      <w:r w:rsidR="00824D9A">
        <w:t xml:space="preserve"> </w:t>
      </w:r>
      <w:r w:rsidR="003E2679">
        <w:t>uvedeno,</w:t>
      </w:r>
      <w:r>
        <w:t xml:space="preserve"> Ne</w:t>
      </w:r>
      <w:r w:rsidR="003E2679">
        <w:t xml:space="preserve">jvyšší soud </w:t>
      </w:r>
      <w:r w:rsidR="00AA5F85">
        <w:t>navázal na</w:t>
      </w:r>
      <w:r w:rsidR="003E2679">
        <w:t xml:space="preserve"> své předchozí závěry, když shledal, že </w:t>
      </w:r>
      <w:r w:rsidR="003E2679" w:rsidRPr="003E2679">
        <w:rPr>
          <w:i/>
        </w:rPr>
        <w:t>„</w:t>
      </w:r>
      <w:r w:rsidR="003E2679" w:rsidRPr="003E2679">
        <w:rPr>
          <w:rFonts w:cs="Times New Roman"/>
          <w:i/>
          <w:color w:val="000000"/>
        </w:rPr>
        <w:t>úředním postupem, jenž by zakládal odpovědnost státu za škodu podle zákona č. 82/1998 Sb., není vydání normativního právního aktu, a to ani v případě, že akt byl vydán ministerstvem jakožto složkou moci výkonné.“</w:t>
      </w:r>
      <w:r w:rsidR="00C00987">
        <w:rPr>
          <w:rStyle w:val="Znakapoznpodarou"/>
          <w:rFonts w:cs="Times New Roman"/>
          <w:color w:val="000000"/>
        </w:rPr>
        <w:footnoteReference w:id="94"/>
      </w:r>
      <w:r w:rsidR="00C8333F">
        <w:rPr>
          <w:rFonts w:cs="Times New Roman"/>
          <w:i/>
          <w:color w:val="000000"/>
        </w:rPr>
        <w:t xml:space="preserve"> </w:t>
      </w:r>
      <w:r w:rsidR="003E2679">
        <w:rPr>
          <w:rFonts w:cs="Times New Roman"/>
          <w:color w:val="000000"/>
        </w:rPr>
        <w:t xml:space="preserve">Otázku, zda směrnice 80/155/EHS </w:t>
      </w:r>
      <w:r w:rsidR="0033552C">
        <w:rPr>
          <w:rFonts w:cs="Times New Roman"/>
          <w:color w:val="000000"/>
        </w:rPr>
        <w:t>stanoví</w:t>
      </w:r>
      <w:r w:rsidR="003E2679">
        <w:rPr>
          <w:rFonts w:cs="Times New Roman"/>
          <w:color w:val="000000"/>
        </w:rPr>
        <w:t xml:space="preserve"> povinnost členského státu napojit porodní asistentky na systém veřejného pojištění, </w:t>
      </w:r>
      <w:r w:rsidR="00753396">
        <w:rPr>
          <w:rFonts w:cs="Times New Roman"/>
          <w:color w:val="000000"/>
        </w:rPr>
        <w:t xml:space="preserve">pak </w:t>
      </w:r>
      <w:r w:rsidR="00AA5F85">
        <w:rPr>
          <w:rFonts w:cs="Times New Roman"/>
          <w:color w:val="000000"/>
        </w:rPr>
        <w:t>NS</w:t>
      </w:r>
      <w:r w:rsidR="003E2679">
        <w:rPr>
          <w:rFonts w:cs="Times New Roman"/>
          <w:color w:val="000000"/>
        </w:rPr>
        <w:t xml:space="preserve"> </w:t>
      </w:r>
      <w:r w:rsidR="00C00987">
        <w:rPr>
          <w:rFonts w:cs="Times New Roman"/>
          <w:color w:val="000000"/>
        </w:rPr>
        <w:t xml:space="preserve">zcela nepochopitelně </w:t>
      </w:r>
      <w:r w:rsidR="00753396">
        <w:rPr>
          <w:rFonts w:cs="Times New Roman"/>
          <w:color w:val="000000"/>
        </w:rPr>
        <w:t xml:space="preserve">nepovažoval </w:t>
      </w:r>
      <w:r w:rsidR="003E2679">
        <w:rPr>
          <w:rFonts w:cs="Times New Roman"/>
          <w:color w:val="000000"/>
        </w:rPr>
        <w:t xml:space="preserve">pro rozhodnutí o nároku na náhradu škody </w:t>
      </w:r>
      <w:r w:rsidR="00824D9A">
        <w:rPr>
          <w:rFonts w:cs="Times New Roman"/>
          <w:color w:val="000000"/>
        </w:rPr>
        <w:t xml:space="preserve">za </w:t>
      </w:r>
      <w:r w:rsidR="00753396">
        <w:rPr>
          <w:rFonts w:cs="Times New Roman"/>
          <w:color w:val="000000"/>
        </w:rPr>
        <w:t>zásadně právně významnou</w:t>
      </w:r>
      <w:r w:rsidR="0033552C">
        <w:rPr>
          <w:rFonts w:cs="Times New Roman"/>
          <w:color w:val="000000"/>
        </w:rPr>
        <w:t>, přičemž zopakoval svůj závěr o odlišnostech unijního a vnitrostátního systému odpovědnosti státu za škodu.</w:t>
      </w:r>
      <w:r w:rsidR="00C00987">
        <w:rPr>
          <w:rFonts w:cs="Times New Roman"/>
          <w:color w:val="000000"/>
        </w:rPr>
        <w:t xml:space="preserve"> </w:t>
      </w:r>
      <w:r w:rsidR="00081072">
        <w:rPr>
          <w:rFonts w:cs="Times New Roman"/>
          <w:color w:val="000000"/>
        </w:rPr>
        <w:t xml:space="preserve">Citované odůvodnění přitom </w:t>
      </w:r>
      <w:r w:rsidR="00C00987">
        <w:rPr>
          <w:rFonts w:cs="Times New Roman"/>
          <w:color w:val="000000"/>
        </w:rPr>
        <w:t xml:space="preserve">ve čtenáři rozhodnutí </w:t>
      </w:r>
      <w:r w:rsidR="00081072">
        <w:rPr>
          <w:rFonts w:cs="Times New Roman"/>
          <w:color w:val="000000"/>
        </w:rPr>
        <w:t xml:space="preserve">víc než cokoliv jiného </w:t>
      </w:r>
      <w:r w:rsidR="00E72B14">
        <w:rPr>
          <w:rFonts w:cs="Times New Roman"/>
          <w:color w:val="000000"/>
        </w:rPr>
        <w:t xml:space="preserve">vyvolává </w:t>
      </w:r>
      <w:r w:rsidR="00C00987">
        <w:rPr>
          <w:rFonts w:cs="Times New Roman"/>
          <w:color w:val="000000"/>
        </w:rPr>
        <w:t>dojem, že s</w:t>
      </w:r>
      <w:r w:rsidR="00081072">
        <w:rPr>
          <w:rFonts w:cs="Times New Roman"/>
          <w:color w:val="000000"/>
        </w:rPr>
        <w:t>e Nejvyšší soud uvedenou otázkou aplikace</w:t>
      </w:r>
      <w:r w:rsidR="00C00987">
        <w:rPr>
          <w:rFonts w:cs="Times New Roman"/>
          <w:color w:val="000000"/>
        </w:rPr>
        <w:t xml:space="preserve"> práva EU jednoduše zabývat nechtěl. Ústavní soud proto </w:t>
      </w:r>
      <w:r w:rsidR="00E72B14">
        <w:rPr>
          <w:rFonts w:cs="Times New Roman"/>
          <w:color w:val="000000"/>
        </w:rPr>
        <w:t xml:space="preserve">nijak </w:t>
      </w:r>
      <w:r w:rsidR="002716F9">
        <w:rPr>
          <w:rFonts w:cs="Times New Roman"/>
          <w:color w:val="000000"/>
        </w:rPr>
        <w:t>nepřekvapil, když</w:t>
      </w:r>
      <w:r w:rsidR="00C00987">
        <w:rPr>
          <w:rFonts w:cs="Times New Roman"/>
          <w:color w:val="000000"/>
        </w:rPr>
        <w:t xml:space="preserve"> dospěl k závěru o</w:t>
      </w:r>
      <w:r w:rsidR="002716F9">
        <w:rPr>
          <w:rFonts w:cs="Times New Roman"/>
          <w:color w:val="000000"/>
        </w:rPr>
        <w:t> </w:t>
      </w:r>
      <w:r w:rsidR="00C00987">
        <w:rPr>
          <w:rFonts w:cs="Times New Roman"/>
          <w:color w:val="000000"/>
        </w:rPr>
        <w:t>porušení práva na spravedlivý proces podle čl. 36 odst. 1 Listiny.</w:t>
      </w:r>
    </w:p>
    <w:p w:rsidR="0081570A" w:rsidRPr="001F6D7B" w:rsidRDefault="001F6D7B" w:rsidP="007619C6">
      <w:pPr>
        <w:ind w:firstLine="360"/>
        <w:rPr>
          <w:rFonts w:cs="Times New Roman"/>
          <w:color w:val="000000"/>
        </w:rPr>
      </w:pPr>
      <w:r>
        <w:rPr>
          <w:rFonts w:cs="Times New Roman"/>
          <w:color w:val="000000"/>
        </w:rPr>
        <w:t>ÚS</w:t>
      </w:r>
      <w:r w:rsidR="00E72B14">
        <w:rPr>
          <w:rFonts w:cs="Times New Roman"/>
          <w:color w:val="000000"/>
        </w:rPr>
        <w:t xml:space="preserve"> </w:t>
      </w:r>
      <w:r w:rsidR="002716F9">
        <w:rPr>
          <w:rFonts w:cs="Times New Roman"/>
          <w:color w:val="000000"/>
        </w:rPr>
        <w:t>sice</w:t>
      </w:r>
      <w:r w:rsidR="0033552C">
        <w:rPr>
          <w:rFonts w:cs="Times New Roman"/>
          <w:color w:val="000000"/>
        </w:rPr>
        <w:t xml:space="preserve"> </w:t>
      </w:r>
      <w:r w:rsidR="002716F9">
        <w:rPr>
          <w:rFonts w:cs="Times New Roman"/>
          <w:color w:val="000000"/>
        </w:rPr>
        <w:t>konstatoval</w:t>
      </w:r>
      <w:r w:rsidR="00BB706B">
        <w:rPr>
          <w:rFonts w:cs="Times New Roman"/>
          <w:color w:val="000000"/>
        </w:rPr>
        <w:t>,</w:t>
      </w:r>
      <w:r w:rsidR="00BB706B">
        <w:rPr>
          <w:rStyle w:val="Znakapoznpodarou"/>
          <w:rFonts w:cs="Times New Roman"/>
          <w:color w:val="000000"/>
        </w:rPr>
        <w:footnoteReference w:id="95"/>
      </w:r>
      <w:r w:rsidR="00BB706B">
        <w:rPr>
          <w:rFonts w:cs="Times New Roman"/>
          <w:color w:val="000000"/>
        </w:rPr>
        <w:t xml:space="preserve"> že z</w:t>
      </w:r>
      <w:r w:rsidR="00BB706B" w:rsidRPr="00BB706B">
        <w:rPr>
          <w:rFonts w:cs="Times New Roman"/>
          <w:color w:val="000000"/>
        </w:rPr>
        <w:t xml:space="preserve"> ústavněprávního hlediska lze akceptovat oddělení systému odpovědnosti za škodu způsobenou porušením práva </w:t>
      </w:r>
      <w:r w:rsidR="00BB706B">
        <w:rPr>
          <w:rFonts w:cs="Times New Roman"/>
          <w:color w:val="000000"/>
        </w:rPr>
        <w:t>EU</w:t>
      </w:r>
      <w:r w:rsidR="00BB706B" w:rsidRPr="00BB706B">
        <w:rPr>
          <w:rFonts w:cs="Times New Roman"/>
          <w:color w:val="000000"/>
        </w:rPr>
        <w:t xml:space="preserve"> od systému vnitrostátního</w:t>
      </w:r>
      <w:r w:rsidR="002716F9">
        <w:rPr>
          <w:rFonts w:cs="Times New Roman"/>
          <w:color w:val="000000"/>
        </w:rPr>
        <w:t>,</w:t>
      </w:r>
      <w:r w:rsidR="00E72B14">
        <w:rPr>
          <w:rStyle w:val="Znakapoznpodarou"/>
          <w:rFonts w:cs="Times New Roman"/>
          <w:color w:val="000000"/>
        </w:rPr>
        <w:footnoteReference w:id="96"/>
      </w:r>
      <w:r w:rsidR="00BB706B">
        <w:rPr>
          <w:rFonts w:cs="Times New Roman"/>
          <w:color w:val="000000"/>
        </w:rPr>
        <w:t xml:space="preserve"> </w:t>
      </w:r>
      <w:r w:rsidR="002716F9">
        <w:rPr>
          <w:rFonts w:cs="Times New Roman"/>
          <w:color w:val="000000"/>
        </w:rPr>
        <w:t>z</w:t>
      </w:r>
      <w:r w:rsidR="00E72B14">
        <w:rPr>
          <w:rFonts w:cs="Times New Roman"/>
          <w:color w:val="000000"/>
        </w:rPr>
        <w:t>a</w:t>
      </w:r>
      <w:r w:rsidR="0033552C">
        <w:rPr>
          <w:rFonts w:cs="Times New Roman"/>
          <w:color w:val="000000"/>
        </w:rPr>
        <w:t xml:space="preserve"> nepři</w:t>
      </w:r>
      <w:r w:rsidR="00E72B14">
        <w:rPr>
          <w:rFonts w:cs="Times New Roman"/>
          <w:color w:val="000000"/>
        </w:rPr>
        <w:t>jatelný</w:t>
      </w:r>
      <w:r w:rsidR="0033552C">
        <w:rPr>
          <w:rFonts w:cs="Times New Roman"/>
          <w:color w:val="000000"/>
        </w:rPr>
        <w:t xml:space="preserve"> však považoval </w:t>
      </w:r>
      <w:r w:rsidR="00E72B14">
        <w:rPr>
          <w:rFonts w:cs="Times New Roman"/>
          <w:color w:val="000000"/>
        </w:rPr>
        <w:t>způsob</w:t>
      </w:r>
      <w:r w:rsidR="0033552C">
        <w:rPr>
          <w:rFonts w:cs="Times New Roman"/>
          <w:color w:val="000000"/>
        </w:rPr>
        <w:t>,</w:t>
      </w:r>
      <w:r w:rsidR="00E72B14">
        <w:rPr>
          <w:rFonts w:cs="Times New Roman"/>
          <w:color w:val="000000"/>
        </w:rPr>
        <w:t xml:space="preserve"> jakým se </w:t>
      </w:r>
      <w:r w:rsidR="0033552C">
        <w:rPr>
          <w:rFonts w:cs="Times New Roman"/>
          <w:color w:val="000000"/>
        </w:rPr>
        <w:t>NS</w:t>
      </w:r>
      <w:r w:rsidR="00E72B14">
        <w:rPr>
          <w:rFonts w:cs="Times New Roman"/>
          <w:color w:val="000000"/>
        </w:rPr>
        <w:t xml:space="preserve"> vypořádal s námitkami </w:t>
      </w:r>
      <w:proofErr w:type="spellStart"/>
      <w:r w:rsidR="00E72B14">
        <w:rPr>
          <w:rFonts w:cs="Times New Roman"/>
          <w:color w:val="000000"/>
        </w:rPr>
        <w:t>dovolatelek</w:t>
      </w:r>
      <w:proofErr w:type="spellEnd"/>
      <w:r w:rsidR="00E72B14">
        <w:rPr>
          <w:rFonts w:cs="Times New Roman"/>
          <w:color w:val="000000"/>
        </w:rPr>
        <w:t xml:space="preserve"> </w:t>
      </w:r>
      <w:r>
        <w:rPr>
          <w:rFonts w:cs="Times New Roman"/>
          <w:color w:val="000000"/>
        </w:rPr>
        <w:t xml:space="preserve">ohledně </w:t>
      </w:r>
      <w:r w:rsidR="0033552C">
        <w:rPr>
          <w:rFonts w:cs="Times New Roman"/>
          <w:color w:val="000000"/>
        </w:rPr>
        <w:t xml:space="preserve">porušení </w:t>
      </w:r>
      <w:r w:rsidR="00E72B14">
        <w:rPr>
          <w:rFonts w:cs="Times New Roman"/>
          <w:color w:val="000000"/>
        </w:rPr>
        <w:t>evropského</w:t>
      </w:r>
      <w:r w:rsidR="0033552C">
        <w:rPr>
          <w:rFonts w:cs="Times New Roman"/>
          <w:color w:val="000000"/>
        </w:rPr>
        <w:t xml:space="preserve"> práva</w:t>
      </w:r>
      <w:r>
        <w:rPr>
          <w:rFonts w:cs="Times New Roman"/>
          <w:color w:val="000000"/>
        </w:rPr>
        <w:t xml:space="preserve"> ze strany českých státních orgánů</w:t>
      </w:r>
      <w:r w:rsidR="0033552C">
        <w:rPr>
          <w:rFonts w:cs="Times New Roman"/>
          <w:color w:val="000000"/>
        </w:rPr>
        <w:t>. Ú</w:t>
      </w:r>
      <w:r>
        <w:rPr>
          <w:rFonts w:cs="Times New Roman"/>
          <w:color w:val="000000"/>
        </w:rPr>
        <w:t>stavní soud</w:t>
      </w:r>
      <w:r w:rsidR="0033552C">
        <w:rPr>
          <w:rFonts w:cs="Times New Roman"/>
          <w:color w:val="000000"/>
        </w:rPr>
        <w:t xml:space="preserve"> přitom uvedl, že </w:t>
      </w:r>
      <w:r w:rsidR="0033552C" w:rsidRPr="0033552C">
        <w:rPr>
          <w:rFonts w:cs="Times New Roman"/>
          <w:i/>
          <w:color w:val="000000"/>
        </w:rPr>
        <w:t>„[z]a situace, kdy je Česká republika demokratickým právním státem dodržujícím závazky, kter</w:t>
      </w:r>
      <w:r w:rsidR="00DA05B9">
        <w:rPr>
          <w:rFonts w:cs="Times New Roman"/>
          <w:i/>
          <w:color w:val="000000"/>
        </w:rPr>
        <w:t>é pro něj vyplývají z </w:t>
      </w:r>
      <w:r w:rsidR="0033552C" w:rsidRPr="0033552C">
        <w:rPr>
          <w:rFonts w:cs="Times New Roman"/>
          <w:i/>
          <w:color w:val="000000"/>
        </w:rPr>
        <w:t>mezinárodního práva (srov. čl. 1 odst. 2 Ústavy), nemůže</w:t>
      </w:r>
      <w:r w:rsidR="00DA05B9">
        <w:rPr>
          <w:rFonts w:cs="Times New Roman"/>
          <w:i/>
          <w:color w:val="000000"/>
        </w:rPr>
        <w:t xml:space="preserve"> na plnění závazků plynoucích z </w:t>
      </w:r>
      <w:r w:rsidR="0033552C" w:rsidRPr="0033552C">
        <w:rPr>
          <w:rFonts w:cs="Times New Roman"/>
          <w:i/>
          <w:color w:val="000000"/>
        </w:rPr>
        <w:t xml:space="preserve">mezinárodního (tzn. i evropského) práva rezignovat jen proto, že na národní úrovni výslovná právní úprava umožňující dovolávat se vůči České republice odpovědnosti za škodu způsobenou porušením závazků, k nimž se sama a otevřeně hlásí, neexistuje. Je povinností obecných soudů, zejména pak soudu Nejvyššího, aby </w:t>
      </w:r>
      <w:r w:rsidR="00DA05B9">
        <w:rPr>
          <w:rFonts w:cs="Times New Roman"/>
          <w:i/>
          <w:color w:val="000000"/>
        </w:rPr>
        <w:t>vykládal zákon č. 82/1998 Sb. a </w:t>
      </w:r>
      <w:r w:rsidR="0033552C" w:rsidRPr="0033552C">
        <w:rPr>
          <w:rFonts w:cs="Times New Roman"/>
          <w:i/>
          <w:color w:val="000000"/>
        </w:rPr>
        <w:t>konstruoval jeho vztah k systému odpovědnosti v rámci komunitárního práva. Při tomto výkladu však nemůže postupovat svévolně, př</w:t>
      </w:r>
      <w:r>
        <w:rPr>
          <w:rFonts w:cs="Times New Roman"/>
          <w:i/>
          <w:color w:val="000000"/>
        </w:rPr>
        <w:t xml:space="preserve">ičemž svévolným postupem bude </w:t>
      </w:r>
      <w:r>
        <w:rPr>
          <w:rFonts w:cs="Times New Roman"/>
          <w:i/>
          <w:color w:val="000000"/>
        </w:rPr>
        <w:lastRenderedPageBreak/>
        <w:t>i </w:t>
      </w:r>
      <w:r w:rsidR="0033552C" w:rsidRPr="0033552C">
        <w:rPr>
          <w:rFonts w:cs="Times New Roman"/>
          <w:i/>
          <w:color w:val="000000"/>
        </w:rPr>
        <w:t>absence řádného vysvětlení, jak a proč zvolené řešení konvenuje účelu unijní právní normy</w:t>
      </w:r>
      <w:r w:rsidR="0033552C">
        <w:rPr>
          <w:rFonts w:cs="Times New Roman"/>
          <w:i/>
          <w:color w:val="000000"/>
        </w:rPr>
        <w:t>.“</w:t>
      </w:r>
      <w:r w:rsidR="0033552C">
        <w:rPr>
          <w:rStyle w:val="Znakapoznpodarou"/>
          <w:rFonts w:cs="Times New Roman"/>
          <w:color w:val="000000"/>
        </w:rPr>
        <w:footnoteReference w:id="97"/>
      </w:r>
      <w:r>
        <w:rPr>
          <w:rFonts w:cs="Times New Roman"/>
          <w:i/>
          <w:color w:val="000000"/>
        </w:rPr>
        <w:t xml:space="preserve"> </w:t>
      </w:r>
      <w:r>
        <w:rPr>
          <w:rFonts w:cs="Times New Roman"/>
          <w:color w:val="000000"/>
        </w:rPr>
        <w:t>Napadená rozhodnutí Nejvyššího soudu</w:t>
      </w:r>
      <w:r w:rsidR="002716F9">
        <w:rPr>
          <w:rStyle w:val="Znakapoznpodarou"/>
          <w:rFonts w:cs="Times New Roman"/>
          <w:color w:val="000000"/>
        </w:rPr>
        <w:footnoteReference w:id="98"/>
      </w:r>
      <w:r>
        <w:rPr>
          <w:rFonts w:cs="Times New Roman"/>
          <w:color w:val="000000"/>
        </w:rPr>
        <w:t xml:space="preserve"> proto ÚS</w:t>
      </w:r>
      <w:r w:rsidR="009E65C8">
        <w:rPr>
          <w:rFonts w:cs="Times New Roman"/>
          <w:color w:val="000000"/>
        </w:rPr>
        <w:t xml:space="preserve"> v obou případech</w:t>
      </w:r>
      <w:r>
        <w:rPr>
          <w:rFonts w:cs="Times New Roman"/>
          <w:color w:val="000000"/>
        </w:rPr>
        <w:t xml:space="preserve"> zrušil.</w:t>
      </w:r>
    </w:p>
    <w:p w:rsidR="00723163" w:rsidRDefault="00A07AB8" w:rsidP="007619C6">
      <w:pPr>
        <w:ind w:firstLine="360"/>
      </w:pPr>
      <w:r>
        <w:t>Druhá vlna</w:t>
      </w:r>
      <w:r w:rsidR="00250E70">
        <w:t xml:space="preserve"> judikatur</w:t>
      </w:r>
      <w:r>
        <w:t>y</w:t>
      </w:r>
      <w:r w:rsidR="00250E70">
        <w:t xml:space="preserve"> </w:t>
      </w:r>
      <w:r w:rsidR="000C0FB1">
        <w:t>Nejvyššího soudu</w:t>
      </w:r>
      <w:r>
        <w:t xml:space="preserve"> </w:t>
      </w:r>
      <w:r w:rsidR="000D4D81">
        <w:t xml:space="preserve">týkající se úhrad poskytovaných porodním asistentkám </w:t>
      </w:r>
      <w:r w:rsidR="00250E70">
        <w:t xml:space="preserve">se již </w:t>
      </w:r>
      <w:r w:rsidR="000D4D81">
        <w:t>k</w:t>
      </w:r>
      <w:r w:rsidR="00AB0007">
        <w:t> </w:t>
      </w:r>
      <w:r w:rsidR="000D4D81">
        <w:t>aplikaci unijního práva</w:t>
      </w:r>
      <w:r w:rsidR="009E65C8">
        <w:t xml:space="preserve"> </w:t>
      </w:r>
      <w:r w:rsidR="00250E70">
        <w:t>postavila čelem</w:t>
      </w:r>
      <w:r w:rsidR="001F6D7B">
        <w:t>, nikoliv však ještě k</w:t>
      </w:r>
      <w:r w:rsidR="009E65C8">
        <w:t xml:space="preserve"> </w:t>
      </w:r>
      <w:r w:rsidR="001F6D7B">
        <w:t>samotnému principu odpovědnosti</w:t>
      </w:r>
      <w:r w:rsidR="00250E70">
        <w:t xml:space="preserve"> </w:t>
      </w:r>
      <w:r w:rsidR="001F6D7B">
        <w:t xml:space="preserve">za porušení práva EU. </w:t>
      </w:r>
      <w:r w:rsidR="00AB0007">
        <w:t>Klíčový</w:t>
      </w:r>
      <w:r w:rsidR="00250E70">
        <w:t xml:space="preserve"> je v tomto ohledu rozsudek ze dne 20. 7. 2011, </w:t>
      </w:r>
      <w:proofErr w:type="spellStart"/>
      <w:r w:rsidR="00250E70">
        <w:t>sp</w:t>
      </w:r>
      <w:proofErr w:type="spellEnd"/>
      <w:r w:rsidR="00250E70">
        <w:t xml:space="preserve">. zn. </w:t>
      </w:r>
      <w:r w:rsidR="007A7039">
        <w:t xml:space="preserve">28 </w:t>
      </w:r>
      <w:proofErr w:type="spellStart"/>
      <w:r w:rsidR="007A7039">
        <w:t>Cdo</w:t>
      </w:r>
      <w:proofErr w:type="spellEnd"/>
      <w:r w:rsidR="007A7039">
        <w:t xml:space="preserve"> </w:t>
      </w:r>
      <w:r w:rsidR="00250E70">
        <w:t>2334/2010,</w:t>
      </w:r>
      <w:r w:rsidR="00AB0007">
        <w:rPr>
          <w:rStyle w:val="Znakapoznpodarou"/>
        </w:rPr>
        <w:footnoteReference w:id="99"/>
      </w:r>
      <w:r w:rsidR="00250E70">
        <w:t xml:space="preserve"> v němž </w:t>
      </w:r>
      <w:r w:rsidR="009E65C8">
        <w:t xml:space="preserve">se </w:t>
      </w:r>
      <w:r w:rsidR="000C0FB1">
        <w:t>Nejvyšší soud</w:t>
      </w:r>
      <w:r w:rsidR="00250E70">
        <w:t xml:space="preserve"> </w:t>
      </w:r>
      <w:r w:rsidR="00AB0007">
        <w:t>sice</w:t>
      </w:r>
      <w:r w:rsidR="00595179">
        <w:t xml:space="preserve"> již</w:t>
      </w:r>
      <w:r w:rsidR="00AB0007">
        <w:t xml:space="preserve"> </w:t>
      </w:r>
      <w:r w:rsidR="009E65C8">
        <w:t>podrobně vypořádal s</w:t>
      </w:r>
      <w:r w:rsidR="00595179">
        <w:t> </w:t>
      </w:r>
      <w:r w:rsidR="009E65C8">
        <w:t xml:space="preserve">námitkami </w:t>
      </w:r>
      <w:proofErr w:type="spellStart"/>
      <w:r w:rsidR="009E65C8">
        <w:t>dovolatelky</w:t>
      </w:r>
      <w:proofErr w:type="spellEnd"/>
      <w:r w:rsidR="009E65C8">
        <w:t xml:space="preserve"> </w:t>
      </w:r>
      <w:r w:rsidR="000C0FB1">
        <w:t>stran</w:t>
      </w:r>
      <w:r w:rsidR="009E65C8">
        <w:t xml:space="preserve"> směrnice 80/155/EHS</w:t>
      </w:r>
      <w:r w:rsidR="00AB0007">
        <w:t xml:space="preserve"> a její implementace v českém právním řádu</w:t>
      </w:r>
      <w:r w:rsidR="009E65C8">
        <w:t>,</w:t>
      </w:r>
      <w:r w:rsidR="007A7039">
        <w:rPr>
          <w:rStyle w:val="Znakapoznpodarou"/>
        </w:rPr>
        <w:footnoteReference w:id="100"/>
      </w:r>
      <w:r w:rsidR="009E65C8">
        <w:t xml:space="preserve"> avšak Ústavním soudem požadovaný vztah</w:t>
      </w:r>
      <w:r w:rsidR="00AB0007">
        <w:t xml:space="preserve"> zákona č. 82/1998 Sb.</w:t>
      </w:r>
      <w:r w:rsidR="00452E00">
        <w:t>, o </w:t>
      </w:r>
      <w:r w:rsidR="00AB0007">
        <w:t>odpovědnosti státu za škodu,</w:t>
      </w:r>
      <w:r w:rsidR="009E65C8">
        <w:t xml:space="preserve"> k</w:t>
      </w:r>
      <w:r w:rsidR="00DA6B6F">
        <w:t> </w:t>
      </w:r>
      <w:r w:rsidR="009E65C8">
        <w:t xml:space="preserve">systému </w:t>
      </w:r>
      <w:r w:rsidR="00595179">
        <w:t xml:space="preserve">unijní </w:t>
      </w:r>
      <w:r w:rsidR="009E65C8">
        <w:t>odpovědnosti</w:t>
      </w:r>
      <w:r w:rsidR="002A632F">
        <w:t xml:space="preserve"> </w:t>
      </w:r>
      <w:r w:rsidR="00AB0007">
        <w:t>v tomto rozhodnutí</w:t>
      </w:r>
      <w:r w:rsidR="00CC34D0">
        <w:t xml:space="preserve"> ještě</w:t>
      </w:r>
      <w:r w:rsidR="00AB0007">
        <w:t xml:space="preserve"> nekonstruoval.</w:t>
      </w:r>
    </w:p>
    <w:p w:rsidR="00784F18" w:rsidRDefault="00784F18" w:rsidP="007619C6">
      <w:pPr>
        <w:ind w:firstLine="360"/>
      </w:pPr>
    </w:p>
    <w:p w:rsidR="00784F18" w:rsidRPr="003A48AE" w:rsidRDefault="00CC34D0" w:rsidP="004907B9">
      <w:pPr>
        <w:pStyle w:val="Odstavecseseznamem"/>
        <w:numPr>
          <w:ilvl w:val="1"/>
          <w:numId w:val="2"/>
        </w:numPr>
        <w:ind w:left="431" w:hanging="431"/>
        <w:rPr>
          <w:b/>
          <w:i/>
        </w:rPr>
      </w:pPr>
      <w:r w:rsidRPr="003A48AE">
        <w:rPr>
          <w:b/>
          <w:i/>
        </w:rPr>
        <w:t>Vztah mezi zákonem č. 82/1998 Sb. a odpovědností za porušení práva EU</w:t>
      </w:r>
      <w:r w:rsidR="009849BE" w:rsidRPr="003A48AE">
        <w:rPr>
          <w:b/>
          <w:i/>
        </w:rPr>
        <w:t>:</w:t>
      </w:r>
      <w:r w:rsidRPr="003A48AE">
        <w:rPr>
          <w:b/>
          <w:i/>
        </w:rPr>
        <w:t xml:space="preserve"> </w:t>
      </w:r>
      <w:r w:rsidR="00AF0F4F" w:rsidRPr="003A48AE">
        <w:rPr>
          <w:b/>
          <w:i/>
        </w:rPr>
        <w:t>případ</w:t>
      </w:r>
      <w:r w:rsidRPr="003A48AE">
        <w:rPr>
          <w:b/>
          <w:i/>
        </w:rPr>
        <w:t xml:space="preserve"> </w:t>
      </w:r>
      <w:r w:rsidRPr="004907B9">
        <w:rPr>
          <w:rFonts w:cs="Times New Roman"/>
          <w:b/>
          <w:i/>
        </w:rPr>
        <w:t>v</w:t>
      </w:r>
      <w:r w:rsidR="007A7039" w:rsidRPr="004907B9">
        <w:rPr>
          <w:rFonts w:cs="Times New Roman"/>
          <w:b/>
          <w:i/>
        </w:rPr>
        <w:t>ýrobních</w:t>
      </w:r>
      <w:r w:rsidR="007A7039" w:rsidRPr="003A48AE">
        <w:rPr>
          <w:b/>
          <w:i/>
        </w:rPr>
        <w:t xml:space="preserve"> náhrad</w:t>
      </w:r>
      <w:r w:rsidR="00784F18" w:rsidRPr="003A48AE">
        <w:rPr>
          <w:b/>
          <w:i/>
        </w:rPr>
        <w:t xml:space="preserve"> za cukr</w:t>
      </w:r>
    </w:p>
    <w:p w:rsidR="007A7039" w:rsidRDefault="007A7039" w:rsidP="007A7039">
      <w:pPr>
        <w:ind w:left="360" w:firstLine="0"/>
      </w:pPr>
    </w:p>
    <w:p w:rsidR="00EC3A6D" w:rsidRDefault="00452E00" w:rsidP="00DA6B6F">
      <w:r>
        <w:t xml:space="preserve">Nejvyšší soud tak učinil teprve v rozsudku ze dne 20. 8. 2012, </w:t>
      </w:r>
      <w:proofErr w:type="spellStart"/>
      <w:r>
        <w:t>sp</w:t>
      </w:r>
      <w:proofErr w:type="spellEnd"/>
      <w:r>
        <w:t xml:space="preserve">. zn. </w:t>
      </w:r>
      <w:r w:rsidR="00DA6B6F">
        <w:t xml:space="preserve">28 </w:t>
      </w:r>
      <w:proofErr w:type="spellStart"/>
      <w:r w:rsidR="00DA6B6F">
        <w:t>Cdo</w:t>
      </w:r>
      <w:proofErr w:type="spellEnd"/>
      <w:r w:rsidR="00DA6B6F">
        <w:t xml:space="preserve"> 2927/2010, který se týkal tzv. výrobních náhrad za cukr. </w:t>
      </w:r>
      <w:r w:rsidR="00595179">
        <w:t>V této věci se ž</w:t>
      </w:r>
      <w:r w:rsidR="00DA6B6F">
        <w:t>alobkyně jako zpracovatelka řepného cukru v</w:t>
      </w:r>
      <w:r w:rsidR="00595179">
        <w:t xml:space="preserve"> </w:t>
      </w:r>
      <w:r w:rsidR="00DA6B6F">
        <w:t xml:space="preserve">důsledku přistoupení </w:t>
      </w:r>
      <w:r w:rsidR="000C0FB1">
        <w:t>ČR do Evropské unie</w:t>
      </w:r>
      <w:r w:rsidR="00DA6B6F">
        <w:t xml:space="preserve"> ke dni 1. 7. 2004 </w:t>
      </w:r>
      <w:r w:rsidR="00215C35">
        <w:t xml:space="preserve">stala </w:t>
      </w:r>
      <w:r w:rsidR="00DA6B6F">
        <w:t>oprávněnou příj</w:t>
      </w:r>
      <w:r w:rsidR="002A632F">
        <w:t xml:space="preserve">emkyní výrobních náhrad podle </w:t>
      </w:r>
      <w:r w:rsidR="00DA6B6F">
        <w:t xml:space="preserve">příslušných </w:t>
      </w:r>
      <w:r w:rsidR="000C0FB1">
        <w:t xml:space="preserve">unijních </w:t>
      </w:r>
      <w:r w:rsidR="002A632F">
        <w:t>nařízení,</w:t>
      </w:r>
      <w:r w:rsidR="00DA6B6F">
        <w:rPr>
          <w:rStyle w:val="Znakapoznpodarou"/>
        </w:rPr>
        <w:footnoteReference w:id="101"/>
      </w:r>
      <w:r w:rsidR="000C0FB1">
        <w:t xml:space="preserve"> </w:t>
      </w:r>
      <w:r w:rsidR="002A632F">
        <w:t>jež</w:t>
      </w:r>
      <w:r w:rsidR="000C0FB1" w:rsidRPr="000C0FB1">
        <w:t xml:space="preserve"> </w:t>
      </w:r>
      <w:r w:rsidR="00595179">
        <w:t>byla v </w:t>
      </w:r>
      <w:r w:rsidR="000C0FB1" w:rsidRPr="000C0FB1">
        <w:t>rámci vnitrostátní úpravy provedena nařízením vlády č. 364/2004 Sb., o stanovení některých podmínek provádění opatření společné organizace trhů v odvě</w:t>
      </w:r>
      <w:r w:rsidR="002A632F">
        <w:t>tví cukru. V</w:t>
      </w:r>
      <w:r w:rsidR="000C0FB1" w:rsidRPr="000C0FB1">
        <w:t xml:space="preserve">nitrostátní úprava umožňovala oprávněným příjemcům výrobních náhrad s účinností ke dni 15. 6. 2004 podávat </w:t>
      </w:r>
      <w:r w:rsidR="002A632F">
        <w:t>u Státního</w:t>
      </w:r>
      <w:r w:rsidR="000C0FB1" w:rsidRPr="000C0FB1">
        <w:t xml:space="preserve"> </w:t>
      </w:r>
      <w:r w:rsidR="002A632F">
        <w:t>zemědělského intervenčního</w:t>
      </w:r>
      <w:r w:rsidR="000C0FB1" w:rsidRPr="000C0FB1">
        <w:t xml:space="preserve"> fondu (</w:t>
      </w:r>
      <w:r w:rsidR="002A632F">
        <w:t xml:space="preserve">SZIF) návrhy na registraci, která </w:t>
      </w:r>
      <w:r w:rsidR="000C0FB1" w:rsidRPr="000C0FB1">
        <w:t>byla předpokladem pro podání žádosti o výrobní náhrady. Žalobkyně uvedla, že návrh na registraci podala dne 21. 6. 2004, SZIF však rozhodnutí o registraci žalobkyně vydal až dne 29. 7. 2004, čímž porušil třicetidenní lhůtu stanovenou v § 49 odst. 2 zákona č. 71/1967 Sb., o</w:t>
      </w:r>
      <w:r w:rsidR="002A632F">
        <w:t xml:space="preserve"> správním řízení (správní řád). </w:t>
      </w:r>
      <w:r w:rsidR="002A632F" w:rsidRPr="002A632F">
        <w:t xml:space="preserve">Žalobkyně následně podala žádost o vydání osvědčení o výrobní náhradě, </w:t>
      </w:r>
      <w:r w:rsidR="002A632F" w:rsidRPr="002A632F">
        <w:lastRenderedPageBreak/>
        <w:t>které jí bylo vydáno dne 11. 8. 2004</w:t>
      </w:r>
      <w:r w:rsidR="00EC3A6D">
        <w:t xml:space="preserve">. Žalobkyně se proto </w:t>
      </w:r>
      <w:r w:rsidR="00595179">
        <w:t>namítala</w:t>
      </w:r>
      <w:r w:rsidR="00EC3A6D">
        <w:t xml:space="preserve">, že </w:t>
      </w:r>
      <w:r w:rsidR="00EC3A6D" w:rsidRPr="00EC3A6D">
        <w:t>z důvodu pozdní implementace unijního práva a z důvodu nedodržení zákonné lhůty SZIF se nemohla včas domoci vyplacení výrobních náhrad za měsíc červenec 2004.</w:t>
      </w:r>
    </w:p>
    <w:p w:rsidR="000861D7" w:rsidRDefault="00EC3A6D" w:rsidP="00DA6B6F">
      <w:r>
        <w:t>Soudy nižších stupňů dospěly k závěru, že SZIF se nesprávného úředního postupu nedopustil. Nejvyšší soud se však s uvedeným závěrem neztotožnil,</w:t>
      </w:r>
      <w:r w:rsidR="00595179">
        <w:t xml:space="preserve"> přičemž uvedl,</w:t>
      </w:r>
      <w:r>
        <w:t xml:space="preserve"> že vnitrostátní úprava </w:t>
      </w:r>
      <w:r w:rsidR="00595179" w:rsidRPr="00595179">
        <w:rPr>
          <w:i/>
        </w:rPr>
        <w:t>„</w:t>
      </w:r>
      <w:r w:rsidRPr="00595179">
        <w:rPr>
          <w:i/>
        </w:rPr>
        <w:t>neměla být ve vztahu k žalobkyní uplatněnému nároku vůbec použita, a to s ohledem na zásadu přednosti práva</w:t>
      </w:r>
      <w:r w:rsidR="000861D7" w:rsidRPr="00595179">
        <w:rPr>
          <w:i/>
        </w:rPr>
        <w:t xml:space="preserve"> EU před vnitrostátním právem a</w:t>
      </w:r>
      <w:r w:rsidR="00595179" w:rsidRPr="00595179">
        <w:rPr>
          <w:i/>
        </w:rPr>
        <w:t xml:space="preserve"> </w:t>
      </w:r>
      <w:r w:rsidRPr="00595179">
        <w:rPr>
          <w:i/>
        </w:rPr>
        <w:t xml:space="preserve">zásadu přímé aplikovatelnosti </w:t>
      </w:r>
      <w:r w:rsidR="000861D7" w:rsidRPr="00595179">
        <w:rPr>
          <w:i/>
        </w:rPr>
        <w:t>evropského</w:t>
      </w:r>
      <w:r w:rsidRPr="00595179">
        <w:rPr>
          <w:i/>
        </w:rPr>
        <w:t xml:space="preserve"> nařízení.</w:t>
      </w:r>
      <w:r w:rsidR="00595179" w:rsidRPr="00595179">
        <w:rPr>
          <w:i/>
        </w:rPr>
        <w:t>“</w:t>
      </w:r>
      <w:r>
        <w:t xml:space="preserve"> </w:t>
      </w:r>
      <w:r w:rsidR="00595179">
        <w:t>Pokud jde o náhradu</w:t>
      </w:r>
      <w:r w:rsidR="000861D7">
        <w:t xml:space="preserve"> škody za porušení</w:t>
      </w:r>
      <w:r w:rsidR="00595179">
        <w:t xml:space="preserve"> unijního</w:t>
      </w:r>
      <w:r w:rsidR="000861D7">
        <w:t xml:space="preserve"> práva</w:t>
      </w:r>
      <w:r w:rsidR="00595179">
        <w:t>,</w:t>
      </w:r>
      <w:r w:rsidR="000861D7">
        <w:t xml:space="preserve"> </w:t>
      </w:r>
      <w:r w:rsidR="00595179">
        <w:t>NS</w:t>
      </w:r>
      <w:r w:rsidR="000861D7">
        <w:t xml:space="preserve"> dospěl k závěru, že </w:t>
      </w:r>
      <w:r w:rsidR="000861D7" w:rsidRPr="000861D7">
        <w:rPr>
          <w:i/>
        </w:rPr>
        <w:t>„za okolností, kdy neexistuje adekvátní úprava odpovědnosti státu za porušení unijního práva na vnitrostátní úr</w:t>
      </w:r>
      <w:r w:rsidR="000861D7">
        <w:rPr>
          <w:i/>
        </w:rPr>
        <w:t>ovni, se v situaci, kdy dojde k </w:t>
      </w:r>
      <w:r w:rsidR="000861D7" w:rsidRPr="000861D7">
        <w:rPr>
          <w:i/>
        </w:rPr>
        <w:t>porušení unijního práva, aplikují v souladu se zásadou přednosti podmínky o</w:t>
      </w:r>
      <w:r w:rsidR="00595179">
        <w:rPr>
          <w:i/>
        </w:rPr>
        <w:t>dpovědnosti státu vyplývající z </w:t>
      </w:r>
      <w:r w:rsidR="000861D7" w:rsidRPr="000861D7">
        <w:rPr>
          <w:i/>
        </w:rPr>
        <w:t>judikatury Soudního dvora a vnitrostátní zákon č. 82/1998 Sb. se použije pouze potud, pokud právo Evropské unie (včetně judikatury SD), nestanoví jinak. Jinými slovy řečeno, zákon č. 82/1998 Sb. se použije tam</w:t>
      </w:r>
      <w:r w:rsidR="000861D7">
        <w:rPr>
          <w:i/>
        </w:rPr>
        <w:t>, kde je jeho úprava souladná s </w:t>
      </w:r>
      <w:r w:rsidR="000861D7" w:rsidRPr="000861D7">
        <w:rPr>
          <w:i/>
        </w:rPr>
        <w:t>úpravou unijního práva, nebo na otázky, které unijní právo neřeší, a to za předpokladu, že nijak neznemožní ani nadměrně neztíží právo jednotlivce na získání náhrady škody.“</w:t>
      </w:r>
      <w:r w:rsidR="000861D7" w:rsidRPr="000861D7">
        <w:rPr>
          <w:rStyle w:val="Znakapoznpodarou"/>
        </w:rPr>
        <w:footnoteReference w:id="102"/>
      </w:r>
    </w:p>
    <w:p w:rsidR="00380C3E" w:rsidRDefault="000861D7" w:rsidP="00DA6B6F">
      <w:r>
        <w:t xml:space="preserve">Nejvyšší soud </w:t>
      </w:r>
      <w:r w:rsidR="00AA0FC2">
        <w:t xml:space="preserve">tak </w:t>
      </w:r>
      <w:r w:rsidR="000E3BAE">
        <w:t>po</w:t>
      </w:r>
      <w:r w:rsidR="00CD34D3">
        <w:t xml:space="preserve"> letech</w:t>
      </w:r>
      <w:r w:rsidR="000E3BAE">
        <w:t xml:space="preserve"> </w:t>
      </w:r>
      <w:r w:rsidR="00CD34D3">
        <w:t>t</w:t>
      </w:r>
      <w:r w:rsidR="000E3BAE">
        <w:t xml:space="preserve">ápání a </w:t>
      </w:r>
      <w:r w:rsidR="00CD34D3">
        <w:t xml:space="preserve">všeobecně panující </w:t>
      </w:r>
      <w:r w:rsidR="00AA0FC2">
        <w:t xml:space="preserve">právní </w:t>
      </w:r>
      <w:r w:rsidR="000E3BAE">
        <w:t xml:space="preserve">nejistoty, </w:t>
      </w:r>
      <w:r w:rsidR="00CD34D3">
        <w:t>ke které</w:t>
      </w:r>
      <w:r w:rsidR="000E3BAE">
        <w:t xml:space="preserve"> svým mlčením </w:t>
      </w:r>
      <w:r w:rsidR="00CD34D3">
        <w:t xml:space="preserve">zdatně </w:t>
      </w:r>
      <w:r w:rsidR="00380C3E">
        <w:t>přispíval sám</w:t>
      </w:r>
      <w:r w:rsidR="00CD34D3">
        <w:t xml:space="preserve"> </w:t>
      </w:r>
      <w:r>
        <w:t>zákonodárce</w:t>
      </w:r>
      <w:r w:rsidR="000E3BAE">
        <w:t>,</w:t>
      </w:r>
      <w:r w:rsidR="00AA0FC2">
        <w:t xml:space="preserve"> </w:t>
      </w:r>
      <w:r w:rsidR="000E3BAE">
        <w:t>postavil</w:t>
      </w:r>
      <w:r w:rsidR="00595179">
        <w:t xml:space="preserve"> ve své judikatuře</w:t>
      </w:r>
      <w:r w:rsidR="000E3BAE">
        <w:t xml:space="preserve"> </w:t>
      </w:r>
      <w:r w:rsidR="00AA0FC2">
        <w:t xml:space="preserve">konečně </w:t>
      </w:r>
      <w:r w:rsidR="000E3BAE">
        <w:t xml:space="preserve">na jisto podmínky uplatnění odpovědnosti </w:t>
      </w:r>
      <w:r w:rsidR="00AA0FC2">
        <w:t xml:space="preserve">státu </w:t>
      </w:r>
      <w:r w:rsidR="000E3BAE">
        <w:t>za porušení práva</w:t>
      </w:r>
      <w:r w:rsidR="00214518">
        <w:t xml:space="preserve"> EU</w:t>
      </w:r>
      <w:r w:rsidR="000E3BAE">
        <w:t xml:space="preserve"> v českém právním řádu.</w:t>
      </w:r>
      <w:r>
        <w:t xml:space="preserve"> </w:t>
      </w:r>
      <w:r w:rsidR="000E3BAE">
        <w:t>Navzdory mimořádné významnosti závěrů vyslovených v</w:t>
      </w:r>
      <w:r w:rsidR="00380C3E">
        <w:t xml:space="preserve"> </w:t>
      </w:r>
      <w:r w:rsidR="000E3BAE">
        <w:t>tomto rozhodnutí</w:t>
      </w:r>
      <w:r w:rsidR="00214518">
        <w:rPr>
          <w:rStyle w:val="Znakapoznpodarou"/>
        </w:rPr>
        <w:footnoteReference w:id="103"/>
      </w:r>
      <w:r w:rsidR="000E3BAE">
        <w:t xml:space="preserve"> poněkud tristní (a </w:t>
      </w:r>
      <w:r w:rsidR="00214518">
        <w:t xml:space="preserve">o </w:t>
      </w:r>
      <w:r w:rsidR="000E3BAE">
        <w:t>jisté ambivalenci Nejvyššího soudu</w:t>
      </w:r>
      <w:r w:rsidR="00214518">
        <w:t xml:space="preserve"> k aplikaci práva</w:t>
      </w:r>
      <w:r w:rsidR="00380C3E">
        <w:t xml:space="preserve"> EU</w:t>
      </w:r>
      <w:r w:rsidR="00214518">
        <w:t xml:space="preserve"> </w:t>
      </w:r>
      <w:r w:rsidR="00380C3E">
        <w:t>svědčící</w:t>
      </w:r>
      <w:r w:rsidR="000E3BAE">
        <w:t xml:space="preserve">) </w:t>
      </w:r>
      <w:r w:rsidR="00380C3E">
        <w:t>skutečností</w:t>
      </w:r>
      <w:r w:rsidR="00380C3E" w:rsidRPr="00380C3E">
        <w:t xml:space="preserve"> </w:t>
      </w:r>
      <w:r w:rsidR="00380C3E">
        <w:t>zůstává to</w:t>
      </w:r>
      <w:r w:rsidR="000E3BAE">
        <w:t xml:space="preserve">, že </w:t>
      </w:r>
      <w:r w:rsidR="00214518">
        <w:t xml:space="preserve">uvedené rozhodnutí </w:t>
      </w:r>
      <w:r w:rsidR="00380C3E">
        <w:t>následně</w:t>
      </w:r>
      <w:r w:rsidR="00214518">
        <w:t xml:space="preserve"> nebylo občanskoprávním a obchodním kolegiem NS přijato k</w:t>
      </w:r>
      <w:r w:rsidR="00AA0FC2">
        <w:t> </w:t>
      </w:r>
      <w:r w:rsidR="00214518">
        <w:t>publikaci ve Sbírce soudních rozhodnutí a stanovisek.</w:t>
      </w:r>
      <w:r w:rsidR="00214518">
        <w:rPr>
          <w:rStyle w:val="Znakapoznpodarou"/>
        </w:rPr>
        <w:footnoteReference w:id="104"/>
      </w:r>
    </w:p>
    <w:p w:rsidR="007A7039" w:rsidRPr="000861D7" w:rsidRDefault="00380C3E" w:rsidP="00DA6B6F">
      <w:r>
        <w:t xml:space="preserve">V souvislosti s kritikou </w:t>
      </w:r>
      <w:r w:rsidR="001754D2">
        <w:t xml:space="preserve">tzv. </w:t>
      </w:r>
      <w:r w:rsidR="000F66CC">
        <w:t>„</w:t>
      </w:r>
      <w:r>
        <w:t>myšlenkových monopolů</w:t>
      </w:r>
      <w:r w:rsidR="000F66CC">
        <w:t>“</w:t>
      </w:r>
      <w:r>
        <w:t xml:space="preserve"> na Nejvyšším soudě a obtížné změny kvalifikovaného právního názoru</w:t>
      </w:r>
      <w:r w:rsidR="00422DEF">
        <w:rPr>
          <w:rStyle w:val="Znakapoznpodarou"/>
        </w:rPr>
        <w:footnoteReference w:id="105"/>
      </w:r>
      <w:r w:rsidR="00422DEF">
        <w:t xml:space="preserve"> </w:t>
      </w:r>
      <w:r>
        <w:t>si lze na pozadí recepce principu odpovědnosti za porušení práva EU</w:t>
      </w:r>
      <w:r w:rsidR="00422DEF">
        <w:t xml:space="preserve"> </w:t>
      </w:r>
      <w:r>
        <w:t>povšimnout, že kromě rušících nálezů Ústavního soudu, mohla být</w:t>
      </w:r>
      <w:r w:rsidR="000F66CC">
        <w:t xml:space="preserve"> </w:t>
      </w:r>
      <w:r>
        <w:t xml:space="preserve">jedním z podnětů pro změnu přístupu </w:t>
      </w:r>
      <w:r w:rsidR="000F66CC">
        <w:t xml:space="preserve">NS k tomuto </w:t>
      </w:r>
      <w:r>
        <w:t>principu</w:t>
      </w:r>
      <w:r w:rsidR="000F66CC">
        <w:t xml:space="preserve"> unijního práva</w:t>
      </w:r>
      <w:r>
        <w:t xml:space="preserve"> rovněž skutečnost, že </w:t>
      </w:r>
      <w:r w:rsidR="001754D2">
        <w:lastRenderedPageBreak/>
        <w:t>v mezidobí došlo k</w:t>
      </w:r>
      <w:r w:rsidR="003A48AE">
        <w:t xml:space="preserve"> přeskupení věcné </w:t>
      </w:r>
      <w:r>
        <w:t>agend</w:t>
      </w:r>
      <w:r w:rsidR="001754D2">
        <w:t>y</w:t>
      </w:r>
      <w:r w:rsidR="003A48AE">
        <w:t xml:space="preserve"> týkající se</w:t>
      </w:r>
      <w:r>
        <w:t xml:space="preserve"> odpovědnosti státu za škodu </w:t>
      </w:r>
      <w:r w:rsidR="001754D2">
        <w:t>mezi jednotlivými senáty</w:t>
      </w:r>
      <w:r w:rsidR="000F66CC">
        <w:t>.</w:t>
      </w:r>
      <w:r w:rsidR="000F66CC">
        <w:rPr>
          <w:rStyle w:val="Znakapoznpodarou"/>
        </w:rPr>
        <w:footnoteReference w:id="106"/>
      </w:r>
      <w:r>
        <w:t xml:space="preserve"> </w:t>
      </w:r>
    </w:p>
    <w:p w:rsidR="00DA6B6F" w:rsidRPr="007A7039" w:rsidRDefault="00DA6B6F" w:rsidP="00DA6B6F"/>
    <w:p w:rsidR="00784F18" w:rsidRPr="003A48AE" w:rsidRDefault="00240020" w:rsidP="004907B9">
      <w:pPr>
        <w:pStyle w:val="Odstavecseseznamem"/>
        <w:numPr>
          <w:ilvl w:val="1"/>
          <w:numId w:val="2"/>
        </w:numPr>
        <w:ind w:left="431" w:hanging="431"/>
        <w:rPr>
          <w:b/>
          <w:i/>
        </w:rPr>
      </w:pPr>
      <w:r w:rsidRPr="004907B9">
        <w:rPr>
          <w:rFonts w:cs="Times New Roman"/>
          <w:b/>
          <w:i/>
        </w:rPr>
        <w:t>Odpovědnost</w:t>
      </w:r>
      <w:r>
        <w:rPr>
          <w:b/>
          <w:i/>
        </w:rPr>
        <w:t xml:space="preserve"> státu za porušení práva </w:t>
      </w:r>
      <w:proofErr w:type="gramStart"/>
      <w:r>
        <w:rPr>
          <w:b/>
          <w:i/>
        </w:rPr>
        <w:t>EU</w:t>
      </w:r>
      <w:r w:rsidR="00613909" w:rsidRPr="003A48AE">
        <w:rPr>
          <w:b/>
          <w:i/>
        </w:rPr>
        <w:t>:</w:t>
      </w:r>
      <w:r>
        <w:rPr>
          <w:b/>
          <w:i/>
        </w:rPr>
        <w:t xml:space="preserve"> </w:t>
      </w:r>
      <w:r w:rsidR="004F441B" w:rsidRPr="003A48AE">
        <w:rPr>
          <w:b/>
          <w:i/>
        </w:rPr>
        <w:t>...</w:t>
      </w:r>
      <w:r w:rsidR="00554A1A">
        <w:rPr>
          <w:b/>
          <w:i/>
        </w:rPr>
        <w:t xml:space="preserve">a </w:t>
      </w:r>
      <w:r w:rsidR="009849BE" w:rsidRPr="003A48AE">
        <w:rPr>
          <w:b/>
          <w:i/>
        </w:rPr>
        <w:t>zase</w:t>
      </w:r>
      <w:proofErr w:type="gramEnd"/>
      <w:r w:rsidR="009849BE" w:rsidRPr="003A48AE">
        <w:rPr>
          <w:b/>
          <w:i/>
        </w:rPr>
        <w:t xml:space="preserve"> ta </w:t>
      </w:r>
      <w:proofErr w:type="spellStart"/>
      <w:r w:rsidR="00784F18" w:rsidRPr="003A48AE">
        <w:rPr>
          <w:b/>
          <w:i/>
        </w:rPr>
        <w:t>Skoma</w:t>
      </w:r>
      <w:proofErr w:type="spellEnd"/>
      <w:r w:rsidR="00784F18" w:rsidRPr="003A48AE">
        <w:rPr>
          <w:b/>
          <w:i/>
        </w:rPr>
        <w:t>-Lux</w:t>
      </w:r>
      <w:r w:rsidR="00C12AB5" w:rsidRPr="003A48AE">
        <w:rPr>
          <w:b/>
          <w:i/>
        </w:rPr>
        <w:t>!</w:t>
      </w:r>
      <w:r w:rsidR="003B192F" w:rsidRPr="003A48AE">
        <w:rPr>
          <w:rStyle w:val="Znakapoznpodarou"/>
          <w:b/>
          <w:i/>
        </w:rPr>
        <w:footnoteReference w:id="107"/>
      </w:r>
      <w:r w:rsidR="009849BE" w:rsidRPr="003A48AE">
        <w:rPr>
          <w:b/>
          <w:i/>
        </w:rPr>
        <w:t xml:space="preserve"> </w:t>
      </w:r>
    </w:p>
    <w:p w:rsidR="007619C6" w:rsidRDefault="007619C6" w:rsidP="00216DCB">
      <w:pPr>
        <w:ind w:left="360" w:firstLine="0"/>
        <w:rPr>
          <w:rFonts w:cs="Times New Roman"/>
        </w:rPr>
      </w:pPr>
    </w:p>
    <w:p w:rsidR="004054E6" w:rsidRDefault="00240020" w:rsidP="003B2EEF">
      <w:pPr>
        <w:ind w:firstLine="360"/>
        <w:rPr>
          <w:rFonts w:cs="Times New Roman"/>
        </w:rPr>
      </w:pPr>
      <w:r>
        <w:rPr>
          <w:rFonts w:cs="Times New Roman"/>
        </w:rPr>
        <w:t xml:space="preserve">Nejčastější </w:t>
      </w:r>
      <w:r w:rsidR="00B2279F">
        <w:rPr>
          <w:rFonts w:cs="Times New Roman"/>
        </w:rPr>
        <w:t>případy</w:t>
      </w:r>
      <w:r w:rsidR="005A796B">
        <w:rPr>
          <w:rFonts w:cs="Times New Roman"/>
        </w:rPr>
        <w:t xml:space="preserve">, kdy dochází k náhradě škody na úrovni členského státu, představují </w:t>
      </w:r>
      <w:r w:rsidR="00B2279F">
        <w:rPr>
          <w:rFonts w:cs="Times New Roman"/>
        </w:rPr>
        <w:t>situace</w:t>
      </w:r>
      <w:r w:rsidR="005A796B">
        <w:rPr>
          <w:rFonts w:cs="Times New Roman"/>
        </w:rPr>
        <w:t>, v nichž došlo ke konstatování rozporu s unijním právem ze strany SDEU, a to buď v rámci řízení o předběžné otázce, nebo v řízení o porušení Smlouvy podle čl. 258 SFEU.</w:t>
      </w:r>
      <w:r w:rsidR="005A796B">
        <w:rPr>
          <w:rStyle w:val="Znakapoznpodarou"/>
          <w:rFonts w:cs="Times New Roman"/>
        </w:rPr>
        <w:footnoteReference w:id="108"/>
      </w:r>
      <w:r w:rsidR="003B2EEF">
        <w:rPr>
          <w:rFonts w:cs="Times New Roman"/>
        </w:rPr>
        <w:t xml:space="preserve"> V této souvislosti měl na půdě Nejvyššího soudu z</w:t>
      </w:r>
      <w:r w:rsidR="00216DCB">
        <w:rPr>
          <w:rFonts w:cs="Times New Roman"/>
        </w:rPr>
        <w:t>ajímavo</w:t>
      </w:r>
      <w:r w:rsidR="000A2AF9">
        <w:rPr>
          <w:rFonts w:cs="Times New Roman"/>
        </w:rPr>
        <w:t>u dohru spor, jenž</w:t>
      </w:r>
      <w:r w:rsidR="003B2EEF">
        <w:rPr>
          <w:rFonts w:cs="Times New Roman"/>
        </w:rPr>
        <w:t xml:space="preserve"> původně</w:t>
      </w:r>
      <w:r w:rsidR="000A2AF9">
        <w:rPr>
          <w:rFonts w:cs="Times New Roman"/>
        </w:rPr>
        <w:t xml:space="preserve"> vyústil v jednu z prvních a </w:t>
      </w:r>
      <w:r w:rsidR="00B45391">
        <w:rPr>
          <w:rFonts w:cs="Times New Roman"/>
        </w:rPr>
        <w:t>z hlediska svého dopadu</w:t>
      </w:r>
      <w:r w:rsidR="00040BBA">
        <w:rPr>
          <w:rFonts w:cs="Times New Roman"/>
        </w:rPr>
        <w:t xml:space="preserve"> </w:t>
      </w:r>
      <w:r w:rsidR="000A2AF9">
        <w:rPr>
          <w:rFonts w:cs="Times New Roman"/>
        </w:rPr>
        <w:t>nejvýznamnější</w:t>
      </w:r>
      <w:r w:rsidR="00EE6083">
        <w:rPr>
          <w:rFonts w:cs="Times New Roman"/>
        </w:rPr>
        <w:t>ch</w:t>
      </w:r>
      <w:r w:rsidR="000A2AF9">
        <w:rPr>
          <w:rFonts w:cs="Times New Roman"/>
        </w:rPr>
        <w:t xml:space="preserve"> českých předběžných otázek</w:t>
      </w:r>
      <w:r w:rsidR="003B2EEF">
        <w:rPr>
          <w:rFonts w:cs="Times New Roman"/>
        </w:rPr>
        <w:t xml:space="preserve"> ve věci </w:t>
      </w:r>
      <w:proofErr w:type="spellStart"/>
      <w:r w:rsidR="003B2EEF" w:rsidRPr="003B2EEF">
        <w:rPr>
          <w:rFonts w:cs="Times New Roman"/>
          <w:i/>
        </w:rPr>
        <w:t>Skoma</w:t>
      </w:r>
      <w:proofErr w:type="spellEnd"/>
      <w:r w:rsidR="003B2EEF" w:rsidRPr="003B2EEF">
        <w:rPr>
          <w:rFonts w:cs="Times New Roman"/>
          <w:i/>
        </w:rPr>
        <w:t>-Lux</w:t>
      </w:r>
      <w:r w:rsidR="00F7394C">
        <w:rPr>
          <w:rFonts w:cs="Times New Roman"/>
          <w:i/>
        </w:rPr>
        <w:t xml:space="preserve"> </w:t>
      </w:r>
      <w:r w:rsidR="00886983">
        <w:rPr>
          <w:rFonts w:cs="Times New Roman"/>
          <w:i/>
        </w:rPr>
        <w:t>I.</w:t>
      </w:r>
      <w:r w:rsidR="003B2EEF">
        <w:rPr>
          <w:rStyle w:val="Znakapoznpodarou"/>
          <w:rFonts w:cs="Times New Roman"/>
        </w:rPr>
        <w:footnoteReference w:id="109"/>
      </w:r>
    </w:p>
    <w:p w:rsidR="001C4E47" w:rsidRDefault="00B2279F" w:rsidP="00E26F86">
      <w:pPr>
        <w:ind w:firstLine="360"/>
      </w:pPr>
      <w:r>
        <w:rPr>
          <w:rFonts w:cs="Times New Roman"/>
        </w:rPr>
        <w:t>P</w:t>
      </w:r>
      <w:r w:rsidR="0037506A">
        <w:rPr>
          <w:rFonts w:cs="Times New Roman"/>
        </w:rPr>
        <w:t xml:space="preserve">ředmětem </w:t>
      </w:r>
      <w:r w:rsidR="00D5199B">
        <w:rPr>
          <w:rFonts w:cs="Times New Roman"/>
        </w:rPr>
        <w:t xml:space="preserve">původního </w:t>
      </w:r>
      <w:r w:rsidR="00B45391">
        <w:rPr>
          <w:rFonts w:cs="Times New Roman"/>
        </w:rPr>
        <w:t>řízení</w:t>
      </w:r>
      <w:r w:rsidR="0037506A">
        <w:rPr>
          <w:rFonts w:cs="Times New Roman"/>
        </w:rPr>
        <w:t xml:space="preserve"> byl postup</w:t>
      </w:r>
      <w:r w:rsidR="007A4900">
        <w:rPr>
          <w:rFonts w:cs="Times New Roman"/>
        </w:rPr>
        <w:t xml:space="preserve"> </w:t>
      </w:r>
      <w:r w:rsidR="001C4E47">
        <w:t>celního úřadu</w:t>
      </w:r>
      <w:r w:rsidR="0037506A">
        <w:t>, jenž</w:t>
      </w:r>
      <w:r w:rsidR="004054E6">
        <w:t xml:space="preserve"> </w:t>
      </w:r>
      <w:r w:rsidR="004054E6" w:rsidRPr="004054E6">
        <w:t xml:space="preserve">na základě přímo účinných </w:t>
      </w:r>
      <w:r w:rsidR="004054E6">
        <w:t>předpisů</w:t>
      </w:r>
      <w:r w:rsidR="00B45391" w:rsidRPr="00B45391">
        <w:t xml:space="preserve"> </w:t>
      </w:r>
      <w:r w:rsidR="00B45391">
        <w:t>EU</w:t>
      </w:r>
      <w:r w:rsidR="004054E6">
        <w:t xml:space="preserve">, </w:t>
      </w:r>
      <w:r w:rsidR="007A4900">
        <w:t>které</w:t>
      </w:r>
      <w:r w:rsidR="004054E6">
        <w:t xml:space="preserve"> však </w:t>
      </w:r>
      <w:r w:rsidR="0037506A">
        <w:t>v</w:t>
      </w:r>
      <w:r w:rsidR="001C4E47">
        <w:t xml:space="preserve"> </w:t>
      </w:r>
      <w:r w:rsidR="0037506A">
        <w:t xml:space="preserve">rozhodné době </w:t>
      </w:r>
      <w:r w:rsidR="004054E6">
        <w:t>nebyly</w:t>
      </w:r>
      <w:r w:rsidR="007A4900">
        <w:t xml:space="preserve"> </w:t>
      </w:r>
      <w:r w:rsidR="005645DD">
        <w:t>publikovány</w:t>
      </w:r>
      <w:r w:rsidR="007A4900" w:rsidRPr="004054E6">
        <w:t xml:space="preserve"> </w:t>
      </w:r>
      <w:r w:rsidR="00EE2E4F">
        <w:t>v</w:t>
      </w:r>
      <w:r w:rsidR="001C4E47">
        <w:t xml:space="preserve"> </w:t>
      </w:r>
      <w:r w:rsidR="007A4900">
        <w:t>českém jazyce,</w:t>
      </w:r>
      <w:r w:rsidR="004054E6" w:rsidRPr="004054E6">
        <w:t xml:space="preserve"> společnosti </w:t>
      </w:r>
      <w:bookmarkStart w:id="1" w:name="highlightHit_1"/>
      <w:bookmarkEnd w:id="1"/>
      <w:proofErr w:type="spellStart"/>
      <w:r w:rsidR="004054E6" w:rsidRPr="004054E6">
        <w:rPr>
          <w:rStyle w:val="highlight"/>
        </w:rPr>
        <w:t>Skoma</w:t>
      </w:r>
      <w:proofErr w:type="spellEnd"/>
      <w:r w:rsidR="004054E6" w:rsidRPr="004054E6">
        <w:rPr>
          <w:rStyle w:val="highlight"/>
        </w:rPr>
        <w:t>-Lux</w:t>
      </w:r>
      <w:r w:rsidR="00D5199B">
        <w:rPr>
          <w:rStyle w:val="highlight"/>
        </w:rPr>
        <w:t>, s. r. o.</w:t>
      </w:r>
      <w:r w:rsidR="00501F93">
        <w:rPr>
          <w:rStyle w:val="highlight"/>
        </w:rPr>
        <w:t xml:space="preserve"> </w:t>
      </w:r>
      <w:r w:rsidR="007A4900" w:rsidRPr="004054E6">
        <w:t xml:space="preserve">uložil </w:t>
      </w:r>
      <w:r w:rsidR="00317460">
        <w:t>pokut</w:t>
      </w:r>
      <w:r w:rsidR="00553A13">
        <w:t>u za porušení celních předpisů</w:t>
      </w:r>
      <w:r w:rsidR="007A4900">
        <w:t xml:space="preserve">. </w:t>
      </w:r>
      <w:r w:rsidR="00D5199B">
        <w:t>V návaznosti na předběžnou otázku Krajského soudu v Ostravě v</w:t>
      </w:r>
      <w:r w:rsidR="00541E43">
        <w:t>elký senát</w:t>
      </w:r>
      <w:r>
        <w:t xml:space="preserve"> </w:t>
      </w:r>
      <w:r w:rsidR="00D5199B">
        <w:t xml:space="preserve">SDEU dospěl k </w:t>
      </w:r>
      <w:r w:rsidR="007A4900">
        <w:t>závěru, že neuveřejnění evropského předpisu v</w:t>
      </w:r>
      <w:r w:rsidR="00913F0F">
        <w:t xml:space="preserve"> </w:t>
      </w:r>
      <w:r w:rsidR="007A4900">
        <w:t xml:space="preserve">Úředním věstníku </w:t>
      </w:r>
      <w:r w:rsidR="00541E43">
        <w:t>EU</w:t>
      </w:r>
      <w:r w:rsidR="007A4900">
        <w:t xml:space="preserve"> v</w:t>
      </w:r>
      <w:r w:rsidR="00913F0F">
        <w:t xml:space="preserve"> </w:t>
      </w:r>
      <w:r w:rsidR="007A4900">
        <w:t>jazyce nově přistoupivšího státu vede k</w:t>
      </w:r>
      <w:r w:rsidR="00B45391">
        <w:t> </w:t>
      </w:r>
      <w:r w:rsidR="007A4900">
        <w:t xml:space="preserve">neaplikovatelnosti </w:t>
      </w:r>
      <w:r w:rsidR="00E26F86">
        <w:t>příslušné</w:t>
      </w:r>
      <w:r w:rsidR="007A4900">
        <w:t xml:space="preserve"> právní úpravy</w:t>
      </w:r>
      <w:r w:rsidR="0037506A">
        <w:t>, a tedy i rozhodnutí</w:t>
      </w:r>
      <w:r w:rsidR="00541E43">
        <w:t>, která se</w:t>
      </w:r>
      <w:r w:rsidR="0037506A">
        <w:t xml:space="preserve"> o ni opírají.</w:t>
      </w:r>
      <w:r w:rsidR="001C4E47">
        <w:rPr>
          <w:rStyle w:val="Znakapoznpodarou"/>
        </w:rPr>
        <w:footnoteReference w:id="110"/>
      </w:r>
      <w:r w:rsidR="0037506A">
        <w:t xml:space="preserve"> </w:t>
      </w:r>
    </w:p>
    <w:p w:rsidR="00216DCB" w:rsidRDefault="00541E43" w:rsidP="00E26F86">
      <w:pPr>
        <w:ind w:firstLine="360"/>
      </w:pPr>
      <w:r>
        <w:t xml:space="preserve">SDEU však </w:t>
      </w:r>
      <w:r w:rsidR="005645DD">
        <w:t>s ohledem na požadavek</w:t>
      </w:r>
      <w:r w:rsidR="00886983">
        <w:t xml:space="preserve"> právní jistoty</w:t>
      </w:r>
      <w:r>
        <w:t xml:space="preserve"> </w:t>
      </w:r>
      <w:r w:rsidR="00886983">
        <w:t xml:space="preserve">současně </w:t>
      </w:r>
      <w:r>
        <w:t xml:space="preserve">omezil </w:t>
      </w:r>
      <w:r w:rsidR="00544D1A">
        <w:t>temporální</w:t>
      </w:r>
      <w:r>
        <w:t xml:space="preserve"> účinky svého rozsudku</w:t>
      </w:r>
      <w:r w:rsidR="00E26F86">
        <w:t xml:space="preserve">, když uvedl, že </w:t>
      </w:r>
      <w:r w:rsidR="00E26F86" w:rsidRPr="00E26F86">
        <w:rPr>
          <w:i/>
        </w:rPr>
        <w:t>„členské státy nejsou povinny zpochybnit správní nebo soudní rozhodnutí přijatá na základě takových pravidel, pokud jsou rozhodnutí podle příslušných vnitrostátních pravidel již konečná.“</w:t>
      </w:r>
      <w:r w:rsidR="00E26F86">
        <w:t xml:space="preserve"> Jinak tomu může být </w:t>
      </w:r>
      <w:r w:rsidR="00E26F86" w:rsidRPr="00240020">
        <w:rPr>
          <w:i/>
        </w:rPr>
        <w:t xml:space="preserve">„jen ve výjimečných případech, když by byla </w:t>
      </w:r>
      <w:r w:rsidR="00240020" w:rsidRPr="00240020">
        <w:rPr>
          <w:i/>
        </w:rPr>
        <w:t>…</w:t>
      </w:r>
      <w:r w:rsidR="00E26F86" w:rsidRPr="00240020">
        <w:rPr>
          <w:i/>
        </w:rPr>
        <w:t xml:space="preserve"> přijata správní opatření nebo soudní rozhodnutí, zejména represivní povahy, která by zasahovala do základních práv</w:t>
      </w:r>
      <w:r w:rsidR="00240020" w:rsidRPr="00240020">
        <w:rPr>
          <w:i/>
        </w:rPr>
        <w:t>.“</w:t>
      </w:r>
      <w:r w:rsidR="00240020" w:rsidRPr="005645DD">
        <w:rPr>
          <w:rStyle w:val="Znakapoznpodarou"/>
        </w:rPr>
        <w:footnoteReference w:id="111"/>
      </w:r>
    </w:p>
    <w:p w:rsidR="0078301F" w:rsidRDefault="00954B75" w:rsidP="00E26F86">
      <w:pPr>
        <w:ind w:firstLine="360"/>
      </w:pPr>
      <w:r>
        <w:lastRenderedPageBreak/>
        <w:t xml:space="preserve">V </w:t>
      </w:r>
      <w:r w:rsidR="00886983">
        <w:t xml:space="preserve">návaznosti na </w:t>
      </w:r>
      <w:r w:rsidR="00EE2E4F">
        <w:t>rozsudek</w:t>
      </w:r>
      <w:r w:rsidR="00886983">
        <w:t xml:space="preserve"> SDEU</w:t>
      </w:r>
      <w:r w:rsidR="00317460">
        <w:t xml:space="preserve"> došlo ke zrušení rozhodnutí celního </w:t>
      </w:r>
      <w:r w:rsidR="00EE2E4F">
        <w:t>úřadu</w:t>
      </w:r>
      <w:r w:rsidR="00317460">
        <w:t xml:space="preserve"> </w:t>
      </w:r>
      <w:r w:rsidR="00553A13">
        <w:t>o uložení pokuty. S</w:t>
      </w:r>
      <w:r w:rsidR="00886983">
        <w:t>polečnost</w:t>
      </w:r>
      <w:r w:rsidR="00501F93">
        <w:t xml:space="preserve"> </w:t>
      </w:r>
      <w:proofErr w:type="spellStart"/>
      <w:r w:rsidR="00F7394C" w:rsidRPr="004054E6">
        <w:rPr>
          <w:rStyle w:val="highlight"/>
        </w:rPr>
        <w:t>Skoma</w:t>
      </w:r>
      <w:proofErr w:type="spellEnd"/>
      <w:r w:rsidR="00F7394C" w:rsidRPr="004054E6">
        <w:rPr>
          <w:rStyle w:val="highlight"/>
        </w:rPr>
        <w:t>-Lux</w:t>
      </w:r>
      <w:r w:rsidR="00F7394C">
        <w:rPr>
          <w:rStyle w:val="highlight"/>
        </w:rPr>
        <w:t>, s. r. o.</w:t>
      </w:r>
      <w:r w:rsidR="00501F93">
        <w:t xml:space="preserve"> </w:t>
      </w:r>
      <w:r w:rsidR="00553A13">
        <w:t xml:space="preserve">se </w:t>
      </w:r>
      <w:r w:rsidR="00EE2E4F">
        <w:t>však posléze</w:t>
      </w:r>
      <w:r w:rsidR="00553A13">
        <w:t xml:space="preserve"> </w:t>
      </w:r>
      <w:r w:rsidR="00501F93">
        <w:t>domáhala</w:t>
      </w:r>
      <w:r w:rsidR="00EE2E4F">
        <w:t xml:space="preserve"> rovněž</w:t>
      </w:r>
      <w:r w:rsidR="00501F93">
        <w:t xml:space="preserve"> náhrady škody způsobené rozhodnutími </w:t>
      </w:r>
      <w:r w:rsidR="00F7394C">
        <w:t>c</w:t>
      </w:r>
      <w:r w:rsidR="00501F93">
        <w:t xml:space="preserve">elního ředitelství, </w:t>
      </w:r>
      <w:r w:rsidR="00EE2E4F">
        <w:t>na základě nichž</w:t>
      </w:r>
      <w:r w:rsidR="00553A13">
        <w:t xml:space="preserve"> jí byla uložena </w:t>
      </w:r>
      <w:r w:rsidR="00553A13" w:rsidRPr="004054E6">
        <w:t xml:space="preserve">povinnost dodatečného uhrazení </w:t>
      </w:r>
      <w:r w:rsidR="00553A13">
        <w:t>daně z přidané hodnoty a</w:t>
      </w:r>
      <w:r w:rsidR="00AC47AA">
        <w:t xml:space="preserve"> </w:t>
      </w:r>
      <w:r w:rsidR="00553A13">
        <w:t xml:space="preserve">spotřební daně. </w:t>
      </w:r>
      <w:r w:rsidR="00AC47AA">
        <w:t xml:space="preserve">Problematickou </w:t>
      </w:r>
      <w:r w:rsidR="00EE2E4F">
        <w:t xml:space="preserve">okolnost však </w:t>
      </w:r>
      <w:r w:rsidR="00F7394C">
        <w:t>představovala</w:t>
      </w:r>
      <w:r w:rsidR="00EE2E4F">
        <w:t xml:space="preserve"> skutečnost</w:t>
      </w:r>
      <w:r w:rsidR="00AC47AA">
        <w:t xml:space="preserve">, že tato rozhodnutí </w:t>
      </w:r>
      <w:r w:rsidR="00EE2E4F">
        <w:t xml:space="preserve">byla </w:t>
      </w:r>
      <w:r w:rsidR="00AC47AA">
        <w:t xml:space="preserve">již v době uplatnění nároku na náhradu škody </w:t>
      </w:r>
      <w:r w:rsidR="00EE2E4F">
        <w:t>pravomocnými a nezměnitelnými správními akty</w:t>
      </w:r>
      <w:r w:rsidR="002A0F11">
        <w:t xml:space="preserve">. </w:t>
      </w:r>
      <w:proofErr w:type="spellStart"/>
      <w:r w:rsidR="00F7394C" w:rsidRPr="004054E6">
        <w:rPr>
          <w:rStyle w:val="highlight"/>
        </w:rPr>
        <w:t>Skoma</w:t>
      </w:r>
      <w:proofErr w:type="spellEnd"/>
      <w:r w:rsidR="00F7394C" w:rsidRPr="004054E6">
        <w:rPr>
          <w:rStyle w:val="highlight"/>
        </w:rPr>
        <w:t>-Lux</w:t>
      </w:r>
      <w:r w:rsidR="00F7394C">
        <w:rPr>
          <w:rStyle w:val="highlight"/>
        </w:rPr>
        <w:t xml:space="preserve">, s. r. o. </w:t>
      </w:r>
      <w:r w:rsidR="002A0F11">
        <w:t xml:space="preserve">před soudy nižších stupňů argumentovala tím, že v posuzované věci </w:t>
      </w:r>
      <w:r w:rsidR="00544D1A">
        <w:t>není</w:t>
      </w:r>
      <w:r w:rsidR="002A0F11">
        <w:t xml:space="preserve"> </w:t>
      </w:r>
      <w:r w:rsidR="002F7AE1">
        <w:t xml:space="preserve">třeba </w:t>
      </w:r>
      <w:r w:rsidR="002A0F11">
        <w:t xml:space="preserve">s ohledem na rozsudek SDEU splnění předpokladů pro vznik odpovědností státu za škodu ve smyslu § 8 odst. 1 zákona č. 82/1998 Sb., tj. zrušení nezákonných rozhodnutí, neboť </w:t>
      </w:r>
      <w:r w:rsidR="002F7AE1">
        <w:t xml:space="preserve">jejich </w:t>
      </w:r>
      <w:r w:rsidR="002A0F11">
        <w:t xml:space="preserve">nezákonnost je možno dovodit </w:t>
      </w:r>
      <w:r w:rsidR="0078301F">
        <w:t>již ze závěrů citovaného rozsudku SDEU.</w:t>
      </w:r>
    </w:p>
    <w:p w:rsidR="00F825A5" w:rsidRDefault="002F7AE1" w:rsidP="00E26F86">
      <w:pPr>
        <w:ind w:firstLine="360"/>
      </w:pPr>
      <w:r>
        <w:t>Soudy nižších s</w:t>
      </w:r>
      <w:r w:rsidR="0065204C">
        <w:t>tupňů dospěly k závěru o nedůvodnosti uplatněného nároku, přičemž (</w:t>
      </w:r>
      <w:r w:rsidR="002D51BC">
        <w:t>velmi</w:t>
      </w:r>
      <w:r w:rsidR="0065204C">
        <w:t xml:space="preserve"> nevhodně) </w:t>
      </w:r>
      <w:r w:rsidR="00F36B28">
        <w:t xml:space="preserve">argumentovaly </w:t>
      </w:r>
      <w:r w:rsidR="0065204C">
        <w:t xml:space="preserve">zejména tím, že sporná rozhodnutí nebyla </w:t>
      </w:r>
      <w:r w:rsidR="00B77EBE">
        <w:t xml:space="preserve">ve smyslu </w:t>
      </w:r>
      <w:r w:rsidR="00FA0BDB">
        <w:t>§ 8 odst. 1 zákona č. </w:t>
      </w:r>
      <w:r w:rsidR="0065204C">
        <w:t>82/1998 Sb</w:t>
      </w:r>
      <w:r w:rsidR="00B77EBE">
        <w:t>. zrušena</w:t>
      </w:r>
      <w:r w:rsidR="00FA0BDB">
        <w:t xml:space="preserve"> a žalobkyně proti nim nepodala opravný prostředek</w:t>
      </w:r>
      <w:r w:rsidR="00544D1A">
        <w:t>. V </w:t>
      </w:r>
      <w:r w:rsidR="0065204C">
        <w:t xml:space="preserve">tomto ohledu je </w:t>
      </w:r>
      <w:r w:rsidR="00B77EBE">
        <w:t xml:space="preserve">nutno </w:t>
      </w:r>
      <w:r w:rsidR="00492CA1">
        <w:t>vyzdvihnout</w:t>
      </w:r>
      <w:r w:rsidR="00FA0BDB">
        <w:t xml:space="preserve"> skutečnost</w:t>
      </w:r>
      <w:r w:rsidR="00B77EBE">
        <w:t>, že Nejvyšší soud</w:t>
      </w:r>
      <w:r w:rsidR="00B329C6">
        <w:t xml:space="preserve"> v</w:t>
      </w:r>
      <w:r w:rsidR="00F36B28">
        <w:t> </w:t>
      </w:r>
      <w:r w:rsidR="00B329C6">
        <w:t>rozsudku</w:t>
      </w:r>
      <w:r w:rsidR="00F36B28">
        <w:t xml:space="preserve"> ze dne 12. 9. 2012, </w:t>
      </w:r>
      <w:proofErr w:type="spellStart"/>
      <w:r w:rsidR="00F36B28">
        <w:t>sp</w:t>
      </w:r>
      <w:proofErr w:type="spellEnd"/>
      <w:r w:rsidR="00F36B28">
        <w:t xml:space="preserve">. zn. 28 </w:t>
      </w:r>
      <w:proofErr w:type="spellStart"/>
      <w:r w:rsidR="00F36B28">
        <w:t>Cdo</w:t>
      </w:r>
      <w:proofErr w:type="spellEnd"/>
      <w:r w:rsidR="00F36B28">
        <w:t xml:space="preserve"> 599/2012,</w:t>
      </w:r>
      <w:r w:rsidR="00B77EBE">
        <w:t xml:space="preserve"> nesklouznul (jako </w:t>
      </w:r>
      <w:r w:rsidR="00544D1A">
        <w:t xml:space="preserve">již </w:t>
      </w:r>
      <w:r w:rsidR="00B77EBE">
        <w:t xml:space="preserve">tolikrát v minulosti) </w:t>
      </w:r>
      <w:r w:rsidR="00492CA1">
        <w:t>k tomu, aby si pouze „vystačil“ s</w:t>
      </w:r>
      <w:r w:rsidR="00FA0BDB">
        <w:t> </w:t>
      </w:r>
      <w:r w:rsidR="00492CA1">
        <w:t>argumentací vnitrostátním právem</w:t>
      </w:r>
      <w:r w:rsidR="00B34B87">
        <w:t xml:space="preserve"> </w:t>
      </w:r>
      <w:r w:rsidR="0078301F">
        <w:t>a</w:t>
      </w:r>
      <w:r w:rsidR="00492CA1">
        <w:t xml:space="preserve"> naopak</w:t>
      </w:r>
      <w:r w:rsidR="0078301F">
        <w:t xml:space="preserve"> odůvodnění svého rozhodnutí</w:t>
      </w:r>
      <w:r w:rsidR="00492CA1">
        <w:t xml:space="preserve"> vystavěl </w:t>
      </w:r>
      <w:r w:rsidR="00B45391">
        <w:t xml:space="preserve">téměř </w:t>
      </w:r>
      <w:r w:rsidR="00492CA1">
        <w:t xml:space="preserve">výlučně na argumentech </w:t>
      </w:r>
      <w:r w:rsidR="00F36B28">
        <w:t>unijního práva</w:t>
      </w:r>
      <w:r w:rsidR="0078301F">
        <w:t xml:space="preserve"> (od</w:t>
      </w:r>
      <w:r w:rsidR="00544D1A">
        <w:t>kazu na zákon č. 82/1998 Sb., o </w:t>
      </w:r>
      <w:r w:rsidR="0078301F">
        <w:t>odpovědnosti státu za škodu</w:t>
      </w:r>
      <w:r w:rsidR="00B45391">
        <w:t>,</w:t>
      </w:r>
      <w:r w:rsidR="0078301F">
        <w:t xml:space="preserve"> pak</w:t>
      </w:r>
      <w:r w:rsidR="00F36B28">
        <w:t xml:space="preserve"> NS</w:t>
      </w:r>
      <w:r w:rsidR="0078301F">
        <w:t xml:space="preserve"> použil výslovně pouze </w:t>
      </w:r>
      <w:r w:rsidR="00F36B28">
        <w:t>ve formě</w:t>
      </w:r>
      <w:r w:rsidR="0078301F">
        <w:t xml:space="preserve"> </w:t>
      </w:r>
      <w:proofErr w:type="spellStart"/>
      <w:r w:rsidR="0078301F" w:rsidRPr="00B45391">
        <w:rPr>
          <w:i/>
        </w:rPr>
        <w:t>obiter</w:t>
      </w:r>
      <w:proofErr w:type="spellEnd"/>
      <w:r w:rsidR="0078301F" w:rsidRPr="00B45391">
        <w:rPr>
          <w:i/>
        </w:rPr>
        <w:t xml:space="preserve"> </w:t>
      </w:r>
      <w:proofErr w:type="spellStart"/>
      <w:r w:rsidR="0078301F" w:rsidRPr="00B45391">
        <w:rPr>
          <w:i/>
        </w:rPr>
        <w:t>dicta</w:t>
      </w:r>
      <w:proofErr w:type="spellEnd"/>
      <w:r w:rsidR="0078301F">
        <w:t>).</w:t>
      </w:r>
      <w:r w:rsidR="00F36B28">
        <w:rPr>
          <w:rStyle w:val="Znakapoznpodarou"/>
        </w:rPr>
        <w:footnoteReference w:id="112"/>
      </w:r>
    </w:p>
    <w:p w:rsidR="00EE0B1F" w:rsidRPr="00886983" w:rsidRDefault="00EE0B1F" w:rsidP="00E26F86">
      <w:pPr>
        <w:ind w:firstLine="360"/>
      </w:pPr>
      <w:r>
        <w:t xml:space="preserve">Nejvyšší soud se </w:t>
      </w:r>
      <w:r w:rsidR="00544D1A">
        <w:t>tak</w:t>
      </w:r>
      <w:r>
        <w:t xml:space="preserve"> ztotožnil s</w:t>
      </w:r>
      <w:r w:rsidR="00544D1A">
        <w:t xml:space="preserve"> </w:t>
      </w:r>
      <w:r>
        <w:t xml:space="preserve">názorem </w:t>
      </w:r>
      <w:r w:rsidR="00544D1A">
        <w:t>žalobkyně</w:t>
      </w:r>
      <w:r>
        <w:t xml:space="preserve"> o </w:t>
      </w:r>
      <w:r w:rsidR="00544D1A">
        <w:t>existenci porušení unijního práva</w:t>
      </w:r>
      <w:r w:rsidR="00DD59E7">
        <w:t xml:space="preserve">, </w:t>
      </w:r>
      <w:r>
        <w:t xml:space="preserve">neboť tato skutečnost </w:t>
      </w:r>
      <w:r w:rsidR="0010276A">
        <w:t>plyne již</w:t>
      </w:r>
      <w:r>
        <w:t xml:space="preserve"> z</w:t>
      </w:r>
      <w:r w:rsidR="00DD59E7">
        <w:t>e samotného</w:t>
      </w:r>
      <w:r>
        <w:t xml:space="preserve"> rozsudku </w:t>
      </w:r>
      <w:r w:rsidR="00EE6083">
        <w:t xml:space="preserve">SDEU. Dále NS zkoumal, zda se na daný případ vztahuje výjimka z omezení, kterým Soudní dvůr </w:t>
      </w:r>
      <w:r w:rsidR="0010276A">
        <w:t>limitoval</w:t>
      </w:r>
      <w:r w:rsidR="00EE6083">
        <w:t xml:space="preserve"> </w:t>
      </w:r>
      <w:r w:rsidR="0010276A">
        <w:t xml:space="preserve">temporální </w:t>
      </w:r>
      <w:r w:rsidR="00EE6083">
        <w:t>účinky svého rozsudku</w:t>
      </w:r>
      <w:r w:rsidR="00040BBA">
        <w:t xml:space="preserve"> </w:t>
      </w:r>
      <w:proofErr w:type="spellStart"/>
      <w:r w:rsidR="00040BBA" w:rsidRPr="00FC1550">
        <w:rPr>
          <w:i/>
        </w:rPr>
        <w:t>Skoma</w:t>
      </w:r>
      <w:proofErr w:type="spellEnd"/>
      <w:r w:rsidR="00040BBA" w:rsidRPr="00FC1550">
        <w:rPr>
          <w:i/>
        </w:rPr>
        <w:t>-Lux I</w:t>
      </w:r>
      <w:r w:rsidR="00EE6083">
        <w:t xml:space="preserve">. Nejvyšší soud </w:t>
      </w:r>
      <w:r w:rsidR="00DD59E7">
        <w:t>přitom shledal,</w:t>
      </w:r>
      <w:r w:rsidR="00EE6083">
        <w:t xml:space="preserve"> že část</w:t>
      </w:r>
      <w:r w:rsidR="00503C27">
        <w:t>ka</w:t>
      </w:r>
      <w:r w:rsidR="00482575">
        <w:t xml:space="preserve"> 83.316,- Kč, o kterou </w:t>
      </w:r>
      <w:r w:rsidR="00900DD6">
        <w:t>se jednalo</w:t>
      </w:r>
      <w:r w:rsidR="00EE6083">
        <w:t>, nedosahuje mimořádné výš</w:t>
      </w:r>
      <w:r w:rsidR="00482575">
        <w:t>e.</w:t>
      </w:r>
      <w:r w:rsidR="00DD59E7">
        <w:t xml:space="preserve"> </w:t>
      </w:r>
      <w:r w:rsidR="00482575">
        <w:t>N</w:t>
      </w:r>
      <w:r w:rsidR="00485A75">
        <w:t>ejedná se tedy o zatížení ta</w:t>
      </w:r>
      <w:r w:rsidR="00900DD6">
        <w:t xml:space="preserve">kové intenzity, které by bylo s </w:t>
      </w:r>
      <w:r w:rsidR="00485A75">
        <w:t>to porušit právo žalobkyně na vlastnictví. V případě doměření daňové povinnosti lze pak</w:t>
      </w:r>
      <w:r w:rsidR="00900DD6">
        <w:t xml:space="preserve"> podle NS</w:t>
      </w:r>
      <w:r w:rsidR="00485A75">
        <w:t xml:space="preserve"> jen stěží hovořit o standardní situaci porušení práva či o </w:t>
      </w:r>
      <w:r w:rsidR="00FC1550">
        <w:t xml:space="preserve">opatření represivní povahy ve smyslu rozsudku SDEU </w:t>
      </w:r>
      <w:proofErr w:type="spellStart"/>
      <w:r w:rsidR="00FC1550" w:rsidRPr="00FC1550">
        <w:rPr>
          <w:i/>
        </w:rPr>
        <w:t>Skoma</w:t>
      </w:r>
      <w:proofErr w:type="spellEnd"/>
      <w:r w:rsidR="00FC1550" w:rsidRPr="00FC1550">
        <w:rPr>
          <w:i/>
        </w:rPr>
        <w:t>-Lux I</w:t>
      </w:r>
      <w:r w:rsidR="00FC1550">
        <w:t xml:space="preserve">. </w:t>
      </w:r>
      <w:r w:rsidR="00172FA2">
        <w:t xml:space="preserve">Nejvyšší soud proto dovolání žalobkyně </w:t>
      </w:r>
      <w:r w:rsidR="00900DD6">
        <w:t xml:space="preserve">jako nedůvodné </w:t>
      </w:r>
      <w:r w:rsidR="00172FA2">
        <w:t>zamítl.</w:t>
      </w:r>
      <w:r w:rsidR="00172FA2">
        <w:rPr>
          <w:rStyle w:val="Znakapoznpodarou"/>
        </w:rPr>
        <w:footnoteReference w:id="113"/>
      </w:r>
      <w:r w:rsidR="009A42A6">
        <w:t xml:space="preserve"> Společnost </w:t>
      </w:r>
      <w:proofErr w:type="spellStart"/>
      <w:r w:rsidR="009A42A6">
        <w:t>Skoma</w:t>
      </w:r>
      <w:proofErr w:type="spellEnd"/>
      <w:r w:rsidR="009A42A6">
        <w:t xml:space="preserve">-Lux, s. r. o. se tak u českých soudů náhrady škody z titulu odpovědnosti státu za porušení unijního práva nedomohla. Nepochybně se však </w:t>
      </w:r>
      <w:r w:rsidR="009A42A6">
        <w:lastRenderedPageBreak/>
        <w:t>svým usilovným tažením</w:t>
      </w:r>
      <w:r w:rsidR="00832070">
        <w:t xml:space="preserve"> za řádnou aplikaci práva EU</w:t>
      </w:r>
      <w:r w:rsidR="009A42A6">
        <w:t xml:space="preserve"> zapsala zlatým písmem do českých, ale i evropských, unijních čítanek.</w:t>
      </w:r>
    </w:p>
    <w:p w:rsidR="00973E9A" w:rsidRDefault="00973E9A" w:rsidP="003B2EEF">
      <w:pPr>
        <w:ind w:firstLine="360"/>
        <w:rPr>
          <w:rFonts w:cs="Times New Roman"/>
        </w:rPr>
      </w:pPr>
    </w:p>
    <w:p w:rsidR="008510D1" w:rsidRDefault="008510D1" w:rsidP="008510D1">
      <w:pPr>
        <w:pStyle w:val="Odstavecseseznamem"/>
        <w:numPr>
          <w:ilvl w:val="0"/>
          <w:numId w:val="2"/>
        </w:numPr>
        <w:rPr>
          <w:rFonts w:cs="Times New Roman"/>
          <w:b/>
        </w:rPr>
      </w:pPr>
      <w:r>
        <w:rPr>
          <w:rFonts w:cs="Times New Roman"/>
          <w:b/>
        </w:rPr>
        <w:t>Předběžné ot</w:t>
      </w:r>
      <w:bookmarkStart w:id="2" w:name="_GoBack"/>
      <w:bookmarkEnd w:id="2"/>
      <w:r>
        <w:rPr>
          <w:rFonts w:cs="Times New Roman"/>
          <w:b/>
        </w:rPr>
        <w:t>ázky</w:t>
      </w:r>
      <w:r w:rsidR="00A57958">
        <w:rPr>
          <w:rStyle w:val="Znakapoznpodarou"/>
          <w:rFonts w:cs="Times New Roman"/>
          <w:b/>
        </w:rPr>
        <w:footnoteReference w:id="114"/>
      </w:r>
      <w:r>
        <w:rPr>
          <w:rFonts w:cs="Times New Roman"/>
          <w:b/>
        </w:rPr>
        <w:t xml:space="preserve"> </w:t>
      </w:r>
    </w:p>
    <w:p w:rsidR="000404B8" w:rsidRDefault="000404B8" w:rsidP="000404B8">
      <w:pPr>
        <w:pStyle w:val="Odstavecseseznamem"/>
        <w:ind w:left="360" w:firstLine="0"/>
        <w:rPr>
          <w:rFonts w:cs="Times New Roman"/>
          <w:b/>
        </w:rPr>
      </w:pPr>
    </w:p>
    <w:p w:rsidR="00FC7CD9" w:rsidRDefault="001843AF" w:rsidP="00FC7CD9">
      <w:pPr>
        <w:spacing w:after="60"/>
      </w:pPr>
      <w:r w:rsidRPr="001843AF">
        <w:rPr>
          <w:rFonts w:cs="Times New Roman"/>
        </w:rPr>
        <w:t xml:space="preserve">Nejvyšší soud je ve smyslu čl. 267 </w:t>
      </w:r>
      <w:r>
        <w:rPr>
          <w:rFonts w:cs="Times New Roman"/>
        </w:rPr>
        <w:t xml:space="preserve">SFEU </w:t>
      </w:r>
      <w:r w:rsidRPr="001843AF">
        <w:rPr>
          <w:rFonts w:cs="Times New Roman"/>
        </w:rPr>
        <w:t xml:space="preserve">soudem, jehož rozhodnutí nelze napadnout opravnými prostředky. Vyvstane-li proto před ním otázka výkladu nebo platnosti normy unijního práva, je zásadně povinen v souladu s uvedeným článkem požádat Soudní dvůr Evropské unie o rozhodnutí o této otázce. Ačkoliv od vstupu České republiky do EU uplynulo již </w:t>
      </w:r>
      <w:r w:rsidR="00A21C34">
        <w:rPr>
          <w:rFonts w:cs="Times New Roman"/>
        </w:rPr>
        <w:t>víc než</w:t>
      </w:r>
      <w:r w:rsidRPr="001843AF">
        <w:rPr>
          <w:rFonts w:cs="Times New Roman"/>
        </w:rPr>
        <w:t xml:space="preserve"> deset let, Nejvyšší soud tak dosud u</w:t>
      </w:r>
      <w:r w:rsidR="00380349">
        <w:rPr>
          <w:rFonts w:cs="Times New Roman"/>
        </w:rPr>
        <w:t xml:space="preserve">činil pouze ve dvou případech. </w:t>
      </w:r>
      <w:r w:rsidR="00380349">
        <w:t xml:space="preserve">Srovnáme-li uvedené číslo s počtem předběžných otázek podaných Nejvyšším správním soudem, </w:t>
      </w:r>
      <w:r w:rsidR="00A44BA1">
        <w:t>jenž</w:t>
      </w:r>
      <w:r w:rsidR="00380349">
        <w:t xml:space="preserve"> se na SDEU obrátil již v </w:t>
      </w:r>
      <w:r w:rsidR="0016328D">
        <w:t>17</w:t>
      </w:r>
      <w:r w:rsidR="00380349">
        <w:t xml:space="preserve"> případech,</w:t>
      </w:r>
      <w:r w:rsidR="00380349">
        <w:rPr>
          <w:rStyle w:val="Znakapoznpodarou"/>
        </w:rPr>
        <w:footnoteReference w:id="115"/>
      </w:r>
      <w:r w:rsidR="00380349">
        <w:t xml:space="preserve"> je zjevné, že </w:t>
      </w:r>
      <w:r w:rsidR="0016328D">
        <w:t xml:space="preserve">rozdíl v intenzitě </w:t>
      </w:r>
      <w:r w:rsidR="00D06B46">
        <w:t xml:space="preserve">využívání tohoto institutu </w:t>
      </w:r>
      <w:r w:rsidR="00F4589B">
        <w:t xml:space="preserve">je </w:t>
      </w:r>
      <w:r w:rsidR="00380349">
        <w:t xml:space="preserve">mezi oběma českými vrcholnými soudy </w:t>
      </w:r>
      <w:r w:rsidR="009232B5">
        <w:t xml:space="preserve">velmi </w:t>
      </w:r>
      <w:r w:rsidR="001F5E42">
        <w:t>výrazný</w:t>
      </w:r>
      <w:r w:rsidR="00380349">
        <w:t>.</w:t>
      </w:r>
      <w:r w:rsidR="00F4589B">
        <w:t xml:space="preserve"> Je tedy zcela na místě tázat</w:t>
      </w:r>
      <w:r w:rsidR="00735465">
        <w:t xml:space="preserve"> se, proč tomu tak je. </w:t>
      </w:r>
      <w:r w:rsidR="00FC7CD9">
        <w:t xml:space="preserve">V této souvislosti můžeme v podstatě rozlišit dvě skupiny argumentů. První, která je objektivně ověřitelná, a druhá, jejíž relevantnost můžeme posoudit jen stěží, ne-li vůbec, a proto se také v tomto ohledu jedná spíše o </w:t>
      </w:r>
      <w:r w:rsidR="001227F4">
        <w:t>volné úvahy</w:t>
      </w:r>
      <w:r w:rsidR="00FC7CD9">
        <w:t xml:space="preserve">, jejichž „nevědeckost“ </w:t>
      </w:r>
      <w:r w:rsidR="001227F4">
        <w:t xml:space="preserve">snad </w:t>
      </w:r>
      <w:r w:rsidR="00FC7CD9">
        <w:t xml:space="preserve">laskavý čtenář promine. </w:t>
      </w:r>
    </w:p>
    <w:p w:rsidR="00FC7CD9" w:rsidRDefault="00FC7CD9" w:rsidP="00604D20">
      <w:pPr>
        <w:spacing w:after="60"/>
      </w:pPr>
    </w:p>
    <w:p w:rsidR="00FC7CD9" w:rsidRDefault="00FC7CD9" w:rsidP="00FC7CD9">
      <w:pPr>
        <w:pStyle w:val="Odstavecseseznamem"/>
        <w:numPr>
          <w:ilvl w:val="1"/>
          <w:numId w:val="2"/>
        </w:numPr>
        <w:ind w:left="431" w:hanging="431"/>
        <w:rPr>
          <w:b/>
          <w:i/>
        </w:rPr>
      </w:pPr>
      <w:r w:rsidRPr="00FC7CD9">
        <w:rPr>
          <w:b/>
          <w:i/>
        </w:rPr>
        <w:t xml:space="preserve">Po stopách (ne)aktivity </w:t>
      </w:r>
      <w:r>
        <w:rPr>
          <w:b/>
          <w:i/>
        </w:rPr>
        <w:t xml:space="preserve">Nejvyššího soudu </w:t>
      </w:r>
      <w:r w:rsidR="00E74C43">
        <w:rPr>
          <w:b/>
          <w:i/>
        </w:rPr>
        <w:t>při před</w:t>
      </w:r>
      <w:r w:rsidRPr="00FC7CD9">
        <w:rPr>
          <w:b/>
          <w:i/>
        </w:rPr>
        <w:t>kládání předběžných otázek</w:t>
      </w:r>
    </w:p>
    <w:p w:rsidR="00FC7CD9" w:rsidRPr="00FC7CD9" w:rsidRDefault="00FC7CD9" w:rsidP="00FC7CD9">
      <w:pPr>
        <w:pStyle w:val="Odstavecseseznamem"/>
        <w:ind w:left="431" w:firstLine="0"/>
      </w:pPr>
    </w:p>
    <w:p w:rsidR="00882F7C" w:rsidRDefault="00FC7CD9" w:rsidP="00882F7C">
      <w:pPr>
        <w:spacing w:after="60"/>
      </w:pPr>
      <w:r>
        <w:t>Nejpádnější důvod pro shora popsaný nepoměr v počtu položených předběžných otázek mezi NS a NSS představuje</w:t>
      </w:r>
      <w:r w:rsidR="00604D20">
        <w:t xml:space="preserve"> nepochybně</w:t>
      </w:r>
      <w:r w:rsidR="00380349">
        <w:t xml:space="preserve"> skutečnost, že správní právo v jeho širším smyslu je právem EU dotčeno v daleko větším rozsahu, než je tomu v případě </w:t>
      </w:r>
      <w:r w:rsidR="0043228E">
        <w:t xml:space="preserve">práva </w:t>
      </w:r>
      <w:r w:rsidR="00380349">
        <w:t xml:space="preserve">civilního </w:t>
      </w:r>
      <w:r w:rsidR="00B66623">
        <w:t>a</w:t>
      </w:r>
      <w:r w:rsidR="0043228E">
        <w:t xml:space="preserve"> </w:t>
      </w:r>
      <w:r w:rsidR="00380349">
        <w:t xml:space="preserve">trestního. </w:t>
      </w:r>
      <w:r w:rsidR="0028365D">
        <w:t>Tento stav je</w:t>
      </w:r>
      <w:r w:rsidR="006762A7">
        <w:t xml:space="preserve"> přímým důsledkem </w:t>
      </w:r>
      <w:r w:rsidR="009232B5">
        <w:t>vývoje</w:t>
      </w:r>
      <w:r w:rsidR="006762A7">
        <w:t xml:space="preserve"> evropské integrace, u </w:t>
      </w:r>
      <w:r w:rsidR="0028365D">
        <w:t>jejíhož zrodu</w:t>
      </w:r>
      <w:r w:rsidR="006762A7">
        <w:t xml:space="preserve"> stála především regulace a sbližování správních předpisů členských států, přičemž </w:t>
      </w:r>
      <w:r w:rsidR="001807A4">
        <w:t>civilní</w:t>
      </w:r>
      <w:r w:rsidR="00B66623">
        <w:t xml:space="preserve"> a </w:t>
      </w:r>
      <w:r w:rsidR="006762A7">
        <w:t xml:space="preserve">trestní oblasti práva se do hledáčku unijního zákonodárce </w:t>
      </w:r>
      <w:r w:rsidR="006726F5">
        <w:t>dostaly</w:t>
      </w:r>
      <w:r w:rsidR="006762A7">
        <w:t xml:space="preserve"> až </w:t>
      </w:r>
      <w:r w:rsidR="001807A4">
        <w:t>se značným zpožděním</w:t>
      </w:r>
      <w:r w:rsidR="00CE2198">
        <w:t xml:space="preserve">, </w:t>
      </w:r>
      <w:r w:rsidR="006762A7">
        <w:t>v</w:t>
      </w:r>
      <w:r>
        <w:t> </w:t>
      </w:r>
      <w:r w:rsidR="006762A7">
        <w:t xml:space="preserve">případě </w:t>
      </w:r>
      <w:r w:rsidR="001807A4">
        <w:t xml:space="preserve">trestněprávní oblasti </w:t>
      </w:r>
      <w:r w:rsidR="005A1CD4">
        <w:t xml:space="preserve">pak </w:t>
      </w:r>
      <w:r w:rsidR="006726F5">
        <w:t>vyloženě</w:t>
      </w:r>
      <w:r w:rsidR="001807A4">
        <w:t xml:space="preserve"> relativně nedávno.</w:t>
      </w:r>
      <w:r w:rsidR="001807A4">
        <w:rPr>
          <w:rStyle w:val="Znakapoznpodarou"/>
        </w:rPr>
        <w:footnoteReference w:id="116"/>
      </w:r>
      <w:r w:rsidR="00700FD6">
        <w:t xml:space="preserve"> </w:t>
      </w:r>
      <w:r w:rsidR="006726F5">
        <w:t>V</w:t>
      </w:r>
      <w:r w:rsidR="004724A1">
        <w:t> </w:t>
      </w:r>
      <w:r w:rsidR="00604D20">
        <w:t xml:space="preserve">důsledku </w:t>
      </w:r>
      <w:r w:rsidR="00700FD6">
        <w:t>uvedené</w:t>
      </w:r>
      <w:r w:rsidR="00604D20">
        <w:t xml:space="preserve"> skutečnosti </w:t>
      </w:r>
      <w:r w:rsidR="00334157">
        <w:t xml:space="preserve">se </w:t>
      </w:r>
      <w:r w:rsidR="00604D20">
        <w:t>tak správní soudy</w:t>
      </w:r>
      <w:r w:rsidR="00334157">
        <w:t>, včetně Nejvyššího správního soudu</w:t>
      </w:r>
      <w:r w:rsidR="00CE2198">
        <w:t xml:space="preserve">, </w:t>
      </w:r>
      <w:r w:rsidR="005A1CD4">
        <w:t xml:space="preserve">při své rozhodovací </w:t>
      </w:r>
      <w:r w:rsidR="005A1CD4">
        <w:lastRenderedPageBreak/>
        <w:t>činnosti</w:t>
      </w:r>
      <w:r w:rsidR="00CE2198">
        <w:t xml:space="preserve"> setkávají s právem EU</w:t>
      </w:r>
      <w:r w:rsidR="00CE2198" w:rsidRPr="00CE2198">
        <w:t xml:space="preserve"> </w:t>
      </w:r>
      <w:r w:rsidR="00CE2198">
        <w:t>daleko častěji, než je tomu v případě soudů civilních a trestních.</w:t>
      </w:r>
      <w:r w:rsidR="007D6272">
        <w:rPr>
          <w:rStyle w:val="Znakapoznpodarou"/>
        </w:rPr>
        <w:footnoteReference w:id="117"/>
      </w:r>
      <w:r w:rsidR="00CE2198">
        <w:t xml:space="preserve"> Za těchto okolností je </w:t>
      </w:r>
      <w:r w:rsidR="005A1CD4">
        <w:t xml:space="preserve">tedy zcela </w:t>
      </w:r>
      <w:r w:rsidR="006726F5">
        <w:t>logické</w:t>
      </w:r>
      <w:r w:rsidR="00CE2198">
        <w:t xml:space="preserve">, že i nezbytnost předložení předběžné otázky </w:t>
      </w:r>
      <w:r w:rsidR="005A1CD4">
        <w:t xml:space="preserve">SDEU vyvstává v řízení před správními soudy, </w:t>
      </w:r>
      <w:r w:rsidR="006726F5">
        <w:t>NSS</w:t>
      </w:r>
      <w:r w:rsidR="004724A1" w:rsidRPr="004724A1">
        <w:t xml:space="preserve"> </w:t>
      </w:r>
      <w:r w:rsidR="004724A1">
        <w:t>nevyjímaje</w:t>
      </w:r>
      <w:r w:rsidR="006726F5">
        <w:t>, častěji, než je tomu u </w:t>
      </w:r>
      <w:r w:rsidR="005A1CD4">
        <w:t xml:space="preserve">jejich civilních a trestních protějšků, </w:t>
      </w:r>
      <w:r w:rsidR="004724A1">
        <w:t xml:space="preserve">včetně </w:t>
      </w:r>
      <w:r w:rsidR="006726F5">
        <w:t>Nejvyšší</w:t>
      </w:r>
      <w:r w:rsidR="004724A1">
        <w:t>ho</w:t>
      </w:r>
      <w:r w:rsidR="006726F5">
        <w:t xml:space="preserve"> soud</w:t>
      </w:r>
      <w:r w:rsidR="004724A1">
        <w:t>u</w:t>
      </w:r>
      <w:r w:rsidR="005A1CD4">
        <w:t>.</w:t>
      </w:r>
    </w:p>
    <w:p w:rsidR="0020426A" w:rsidRDefault="006726F5" w:rsidP="00882F7C">
      <w:pPr>
        <w:spacing w:after="60"/>
      </w:pPr>
      <w:r>
        <w:t>O</w:t>
      </w:r>
      <w:r w:rsidR="00380349">
        <w:t xml:space="preserve">dlišný </w:t>
      </w:r>
      <w:r>
        <w:t xml:space="preserve">je rovněž </w:t>
      </w:r>
      <w:r w:rsidR="00380349">
        <w:t xml:space="preserve">způsob </w:t>
      </w:r>
      <w:r w:rsidR="007D6272">
        <w:t>eu</w:t>
      </w:r>
      <w:r w:rsidR="00380349">
        <w:t>ropeizace uvedených právních oblastí. Zatímco v oblasti správního práva převažují přímo použit</w:t>
      </w:r>
      <w:r w:rsidR="00014746">
        <w:t>elná nařízení;</w:t>
      </w:r>
      <w:r>
        <w:t xml:space="preserve"> právo občanské a </w:t>
      </w:r>
      <w:r w:rsidR="00380349">
        <w:t xml:space="preserve">obchodní, </w:t>
      </w:r>
      <w:r w:rsidR="00D0237F">
        <w:t xml:space="preserve">a </w:t>
      </w:r>
      <w:r w:rsidR="00380349">
        <w:t>od lisabonské refor</w:t>
      </w:r>
      <w:r w:rsidR="009078C3">
        <w:t xml:space="preserve">my </w:t>
      </w:r>
      <w:r>
        <w:t>rovněž</w:t>
      </w:r>
      <w:r w:rsidR="00882F7C">
        <w:t xml:space="preserve"> právo trestní, jsou</w:t>
      </w:r>
      <w:r w:rsidR="00F52487">
        <w:t xml:space="preserve"> (s výjimkou justiční spolupráce v občanských a</w:t>
      </w:r>
      <w:r w:rsidR="00FF1AFD">
        <w:t> </w:t>
      </w:r>
      <w:r w:rsidR="00F52487">
        <w:t>obchodních věcech)</w:t>
      </w:r>
      <w:r w:rsidR="009078C3">
        <w:t xml:space="preserve"> eu</w:t>
      </w:r>
      <w:r w:rsidR="00882F7C">
        <w:t xml:space="preserve">ropeizovány v daleko větším rozsahu </w:t>
      </w:r>
      <w:r w:rsidR="00380349">
        <w:t>prostřednictvím směrnic transponovaných do vnitrostátního práva.</w:t>
      </w:r>
      <w:r w:rsidR="00D0237F">
        <w:rPr>
          <w:rStyle w:val="Znakapoznpodarou"/>
        </w:rPr>
        <w:footnoteReference w:id="118"/>
      </w:r>
      <w:r w:rsidR="00380349">
        <w:t xml:space="preserve"> </w:t>
      </w:r>
      <w:r w:rsidR="00A72E3C">
        <w:t>Civilní a trestní soudy</w:t>
      </w:r>
      <w:r w:rsidR="00F52487">
        <w:t>, včetně Nejvyššího soudu, tak</w:t>
      </w:r>
      <w:r w:rsidR="00A72E3C">
        <w:t xml:space="preserve"> </w:t>
      </w:r>
      <w:r w:rsidR="00882F7C">
        <w:t>evropské právo</w:t>
      </w:r>
      <w:r w:rsidR="00380349">
        <w:t xml:space="preserve"> </w:t>
      </w:r>
      <w:r w:rsidR="00882F7C">
        <w:t xml:space="preserve">aplikují </w:t>
      </w:r>
      <w:r w:rsidR="00380349">
        <w:t>spíše nep</w:t>
      </w:r>
      <w:r w:rsidR="00882F7C">
        <w:t xml:space="preserve">římo (tj. </w:t>
      </w:r>
      <w:r w:rsidR="00380349">
        <w:t xml:space="preserve">prostřednictvím </w:t>
      </w:r>
      <w:r w:rsidR="00F52487">
        <w:t xml:space="preserve">europeizovaných </w:t>
      </w:r>
      <w:r w:rsidR="00380349">
        <w:t>českých právních předpisů</w:t>
      </w:r>
      <w:r w:rsidR="00882F7C">
        <w:t>)</w:t>
      </w:r>
      <w:r w:rsidR="00380349">
        <w:t xml:space="preserve">, a identifikace sporné otázky </w:t>
      </w:r>
      <w:r w:rsidR="00A72E3C">
        <w:t>výkladu či platnosti</w:t>
      </w:r>
      <w:r w:rsidR="00380349">
        <w:t xml:space="preserve"> unijního práva </w:t>
      </w:r>
      <w:r w:rsidR="00882F7C">
        <w:t xml:space="preserve">proto </w:t>
      </w:r>
      <w:r w:rsidR="00A72E3C">
        <w:t>v </w:t>
      </w:r>
      <w:r w:rsidR="00380349">
        <w:t xml:space="preserve">těchto </w:t>
      </w:r>
      <w:r w:rsidR="00A72E3C">
        <w:t>situacích</w:t>
      </w:r>
      <w:r w:rsidR="00380349">
        <w:t xml:space="preserve"> </w:t>
      </w:r>
      <w:r w:rsidR="00A72E3C">
        <w:t>není mnohdy tak prvoplánová či</w:t>
      </w:r>
      <w:r w:rsidR="00882F7C">
        <w:t xml:space="preserve"> jednoduchá.</w:t>
      </w:r>
      <w:r w:rsidR="00380349">
        <w:rPr>
          <w:rStyle w:val="Znakapoznpodarou"/>
        </w:rPr>
        <w:t xml:space="preserve"> </w:t>
      </w:r>
      <w:r w:rsidR="00A72E3C">
        <w:t xml:space="preserve">I z tohoto důvodu v </w:t>
      </w:r>
      <w:r w:rsidR="00882F7C">
        <w:t>řízení</w:t>
      </w:r>
      <w:r w:rsidR="00380349">
        <w:t xml:space="preserve"> před správními soudy</w:t>
      </w:r>
      <w:r w:rsidR="00A72E3C">
        <w:t xml:space="preserve"> </w:t>
      </w:r>
      <w:r w:rsidR="00380349">
        <w:t xml:space="preserve">vyvstává potřeba </w:t>
      </w:r>
      <w:r w:rsidR="00A72E3C">
        <w:t xml:space="preserve">obracet se na SDEU s žádostí o rozhodnutí o </w:t>
      </w:r>
      <w:r w:rsidR="00380349">
        <w:t xml:space="preserve">předběžné otázce daleko častěji, než je tomu v řízeních před </w:t>
      </w:r>
      <w:r w:rsidR="0020426A">
        <w:t>civilními a trestními</w:t>
      </w:r>
      <w:r w:rsidR="00380349">
        <w:t xml:space="preserve"> soudy.</w:t>
      </w:r>
    </w:p>
    <w:p w:rsidR="0020426A" w:rsidRDefault="00A72E3C" w:rsidP="00882F7C">
      <w:pPr>
        <w:spacing w:after="60"/>
      </w:pPr>
      <w:r>
        <w:t xml:space="preserve">Třetí </w:t>
      </w:r>
      <w:r w:rsidR="00C60A1A">
        <w:t>důvod</w:t>
      </w:r>
      <w:r w:rsidR="00050EB7">
        <w:t xml:space="preserve"> výrazného nepoměru v počtu předběžných otázek položených NS a NSS lze </w:t>
      </w:r>
      <w:r w:rsidR="00C60A1A">
        <w:t xml:space="preserve">spatřovat </w:t>
      </w:r>
      <w:r w:rsidR="009027A6">
        <w:t xml:space="preserve">ve skutečnostech </w:t>
      </w:r>
      <w:r w:rsidR="00050EB7">
        <w:t xml:space="preserve">procesní povahy. Zatímco Nejvyšší správní soud je v rámci správního soudnictví soudem druhé a poslední instance, </w:t>
      </w:r>
      <w:r w:rsidR="009027A6">
        <w:t>Nejvyšší</w:t>
      </w:r>
      <w:r w:rsidR="00C60A1A">
        <w:t xml:space="preserve"> soud je v hierarchii civilní a </w:t>
      </w:r>
      <w:r w:rsidR="009027A6">
        <w:t>trestní justice „až“ třetí</w:t>
      </w:r>
      <w:r w:rsidR="00C62AA6">
        <w:t xml:space="preserve"> (byť rovněž</w:t>
      </w:r>
      <w:r w:rsidR="00FC197A">
        <w:t xml:space="preserve"> poslední) </w:t>
      </w:r>
      <w:r w:rsidR="00C60A1A">
        <w:t>soudní instancí</w:t>
      </w:r>
      <w:r w:rsidR="009027A6">
        <w:t xml:space="preserve">. Z uvedeného vyplývá, že zatímco krajský soud rozhodující ve správním soudnictví </w:t>
      </w:r>
      <w:r w:rsidR="009232B5">
        <w:t>bude</w:t>
      </w:r>
      <w:r w:rsidR="009027A6">
        <w:t xml:space="preserve"> jen zřídka soudem, jehož rozhodnutí nelze napadnout opravným prostředk</w:t>
      </w:r>
      <w:r w:rsidR="005F7333">
        <w:t>em</w:t>
      </w:r>
      <w:r w:rsidR="00FC197A" w:rsidRPr="00FC197A">
        <w:t xml:space="preserve"> </w:t>
      </w:r>
      <w:r w:rsidR="00FC197A">
        <w:t>ve smyslu čl. 267 SFEU</w:t>
      </w:r>
      <w:r w:rsidR="00B11B7D">
        <w:t xml:space="preserve">; </w:t>
      </w:r>
      <w:r w:rsidR="009027A6">
        <w:t xml:space="preserve">v případě </w:t>
      </w:r>
      <w:r w:rsidR="005F7333">
        <w:t xml:space="preserve">civilní justice </w:t>
      </w:r>
      <w:r w:rsidR="00FC197A">
        <w:t>se</w:t>
      </w:r>
      <w:r w:rsidR="00B11B7D">
        <w:t xml:space="preserve"> naopak</w:t>
      </w:r>
      <w:r w:rsidR="00FC197A">
        <w:t xml:space="preserve"> </w:t>
      </w:r>
      <w:r w:rsidR="005F7333">
        <w:t>některé typy případ</w:t>
      </w:r>
      <w:r w:rsidR="006C0C17">
        <w:t xml:space="preserve">ů (např. v </w:t>
      </w:r>
      <w:r w:rsidR="00FC197A">
        <w:t xml:space="preserve">důsledku bagatelní klauzule) </w:t>
      </w:r>
      <w:r w:rsidR="009232B5">
        <w:t>k</w:t>
      </w:r>
      <w:r w:rsidR="00C62AA6">
        <w:t> </w:t>
      </w:r>
      <w:r w:rsidR="00FC197A">
        <w:t>Nejvyšší</w:t>
      </w:r>
      <w:r w:rsidR="009232B5">
        <w:t>mu</w:t>
      </w:r>
      <w:r w:rsidR="00FC197A">
        <w:t xml:space="preserve"> soud</w:t>
      </w:r>
      <w:r w:rsidR="009232B5">
        <w:t>u</w:t>
      </w:r>
      <w:r w:rsidR="00FC197A">
        <w:t xml:space="preserve"> </w:t>
      </w:r>
      <w:r w:rsidR="006C0C17">
        <w:t>ani nedostanou</w:t>
      </w:r>
      <w:r w:rsidR="00C60A1A">
        <w:t>.</w:t>
      </w:r>
      <w:r w:rsidR="00C62AA6">
        <w:rPr>
          <w:rStyle w:val="Znakapoznpodarou"/>
        </w:rPr>
        <w:footnoteReference w:id="119"/>
      </w:r>
      <w:r w:rsidR="00C60A1A">
        <w:t xml:space="preserve"> V</w:t>
      </w:r>
      <w:r w:rsidR="00FC197A">
        <w:t> poslední instanci</w:t>
      </w:r>
      <w:r w:rsidR="00B11B7D">
        <w:t xml:space="preserve"> tak</w:t>
      </w:r>
      <w:r w:rsidR="00FC197A">
        <w:t xml:space="preserve"> o ni</w:t>
      </w:r>
      <w:r w:rsidR="00B11B7D">
        <w:t xml:space="preserve">ch </w:t>
      </w:r>
      <w:r w:rsidR="00BB0113">
        <w:t xml:space="preserve">běžně </w:t>
      </w:r>
      <w:r w:rsidR="00B11B7D">
        <w:t>rozhodují soudy nižších stup</w:t>
      </w:r>
      <w:r w:rsidR="00BB0113">
        <w:t xml:space="preserve">ňů, které mají </w:t>
      </w:r>
      <w:r w:rsidR="00DE6689">
        <w:t>rovněž za splnění podmínek podle čl. 267 SFEU povinnost obrátit se na SDEU s žádostí o rozhodnutí o předběžné otázce.</w:t>
      </w:r>
    </w:p>
    <w:p w:rsidR="007C6A85" w:rsidRDefault="008304A6" w:rsidP="007C6A85">
      <w:pPr>
        <w:spacing w:after="60"/>
      </w:pPr>
      <w:r>
        <w:lastRenderedPageBreak/>
        <w:t>Důvody pro výrazně vyšší počet předběžných otázek Nejvyššího správního soudu ve srovnání s Nejvyšším soudem je však možné spatřovat i v jiných skutečnostech, např. v tom, že se jedná o novější instituci, a proto snad i progresivnější a otevřenější unijnímu právu, než je tomu v případě jejího historicky staršího protějšku. Zda i tato skutečnost má na aktuální počet podaných předběžných otázek nějaký vliv, je však jen stěží ověřitelné.</w:t>
      </w:r>
      <w:r w:rsidR="001227F4">
        <w:t xml:space="preserve"> Skutečností však zůstává, že s obdobnými statistikami o počtech zahájených řízení o předběžné otázce se můžeme setkat i </w:t>
      </w:r>
      <w:r w:rsidR="007C6A85">
        <w:t>v sousedních nových členských státech EU. Například polský Nejvyšší správní soud (</w:t>
      </w:r>
      <w:proofErr w:type="spellStart"/>
      <w:r w:rsidR="007C6A85" w:rsidRPr="001D2E51">
        <w:rPr>
          <w:i/>
        </w:rPr>
        <w:t>Naczelny</w:t>
      </w:r>
      <w:proofErr w:type="spellEnd"/>
      <w:r w:rsidR="007C6A85" w:rsidRPr="001D2E51">
        <w:rPr>
          <w:i/>
        </w:rPr>
        <w:t xml:space="preserve"> </w:t>
      </w:r>
      <w:proofErr w:type="spellStart"/>
      <w:r w:rsidR="007C6A85" w:rsidRPr="001D2E51">
        <w:rPr>
          <w:i/>
        </w:rPr>
        <w:t>Sąd</w:t>
      </w:r>
      <w:proofErr w:type="spellEnd"/>
      <w:r w:rsidR="007C6A85" w:rsidRPr="001D2E51">
        <w:rPr>
          <w:i/>
        </w:rPr>
        <w:t xml:space="preserve"> </w:t>
      </w:r>
      <w:proofErr w:type="spellStart"/>
      <w:r w:rsidR="007C6A85" w:rsidRPr="001D2E51">
        <w:rPr>
          <w:i/>
        </w:rPr>
        <w:t>Administracyjny</w:t>
      </w:r>
      <w:proofErr w:type="spellEnd"/>
      <w:r w:rsidR="007C6A85">
        <w:t>) se k dnešnímu dni obrátil na SDEU již v 28 případech,</w:t>
      </w:r>
      <w:r w:rsidR="007C6A85">
        <w:rPr>
          <w:rStyle w:val="Znakapoznpodarou"/>
        </w:rPr>
        <w:footnoteReference w:id="120"/>
      </w:r>
      <w:r w:rsidR="007C6A85">
        <w:t xml:space="preserve"> zatímco polský Nejvyšší soud (</w:t>
      </w:r>
      <w:proofErr w:type="spellStart"/>
      <w:r w:rsidR="007C6A85" w:rsidRPr="001D2E51">
        <w:rPr>
          <w:i/>
        </w:rPr>
        <w:t>Sąd</w:t>
      </w:r>
      <w:proofErr w:type="spellEnd"/>
      <w:r w:rsidR="007C6A85" w:rsidRPr="001D2E51">
        <w:rPr>
          <w:i/>
        </w:rPr>
        <w:t xml:space="preserve"> </w:t>
      </w:r>
      <w:proofErr w:type="spellStart"/>
      <w:r w:rsidR="007C6A85" w:rsidRPr="001D2E51">
        <w:rPr>
          <w:i/>
        </w:rPr>
        <w:t>Najwyższy</w:t>
      </w:r>
      <w:proofErr w:type="spellEnd"/>
      <w:r w:rsidR="007C6A85">
        <w:t>) tak učinil pouze v 7 případech.</w:t>
      </w:r>
      <w:r w:rsidR="007C6A85">
        <w:rPr>
          <w:rStyle w:val="Znakapoznpodarou"/>
        </w:rPr>
        <w:footnoteReference w:id="121"/>
      </w:r>
      <w:r w:rsidR="007C6A85">
        <w:t xml:space="preserve"> Stejně tak všech 9 předběžných otázek, které dosud podal slovenský Nejvyšší soud (</w:t>
      </w:r>
      <w:proofErr w:type="spellStart"/>
      <w:r w:rsidR="007C6A85" w:rsidRPr="00F037AF">
        <w:rPr>
          <w:i/>
        </w:rPr>
        <w:t>Najvyšší</w:t>
      </w:r>
      <w:proofErr w:type="spellEnd"/>
      <w:r w:rsidR="007C6A85" w:rsidRPr="00F037AF">
        <w:rPr>
          <w:i/>
        </w:rPr>
        <w:t xml:space="preserve"> </w:t>
      </w:r>
      <w:proofErr w:type="spellStart"/>
      <w:r w:rsidR="007C6A85" w:rsidRPr="00F037AF">
        <w:rPr>
          <w:i/>
        </w:rPr>
        <w:t>súd</w:t>
      </w:r>
      <w:proofErr w:type="spellEnd"/>
      <w:r w:rsidR="007C6A85">
        <w:t>), je z oblasti správního práva.</w:t>
      </w:r>
      <w:r w:rsidR="007C6A85">
        <w:rPr>
          <w:rStyle w:val="Znakapoznpodarou"/>
        </w:rPr>
        <w:footnoteReference w:id="122"/>
      </w:r>
      <w:r w:rsidR="007C6A85">
        <w:t xml:space="preserve"> Už s ohledem na tato čísla není třeba výše popsaný nepoměr v počtu podaných otázek mezi českým Nejvyšším soudem a Nejvyšším správním soudem vnímat nijak fatálně. Naopak, jak vyplývá ze statistik o zahájených řízeních o</w:t>
      </w:r>
      <w:r w:rsidR="00E557A4">
        <w:t> </w:t>
      </w:r>
      <w:r w:rsidR="007C6A85">
        <w:t>předběžné otázce v jiných členských státech EU, nejedná se o nic neobvyklého.</w:t>
      </w:r>
    </w:p>
    <w:p w:rsidR="000404B8" w:rsidRPr="000404B8" w:rsidRDefault="000404B8" w:rsidP="000404B8">
      <w:pPr>
        <w:pStyle w:val="Odstavecseseznamem"/>
        <w:ind w:left="360" w:firstLine="0"/>
        <w:rPr>
          <w:rFonts w:cs="Times New Roman"/>
        </w:rPr>
      </w:pPr>
    </w:p>
    <w:p w:rsidR="005F1796" w:rsidRDefault="00367312" w:rsidP="00367312">
      <w:pPr>
        <w:pStyle w:val="Odstavecseseznamem"/>
        <w:numPr>
          <w:ilvl w:val="1"/>
          <w:numId w:val="2"/>
        </w:numPr>
        <w:ind w:left="431" w:hanging="431"/>
        <w:rPr>
          <w:rFonts w:cs="Times New Roman"/>
          <w:b/>
          <w:i/>
        </w:rPr>
      </w:pPr>
      <w:r w:rsidRPr="00367312">
        <w:rPr>
          <w:rFonts w:cs="Times New Roman"/>
          <w:b/>
          <w:i/>
        </w:rPr>
        <w:t>Předložení předběžné otázky</w:t>
      </w:r>
    </w:p>
    <w:p w:rsidR="00E557A4" w:rsidRDefault="00E557A4" w:rsidP="00E557A4">
      <w:pPr>
        <w:pStyle w:val="Odstavecseseznamem"/>
        <w:ind w:left="431" w:firstLine="0"/>
        <w:rPr>
          <w:rFonts w:cs="Times New Roman"/>
          <w:b/>
          <w:i/>
        </w:rPr>
      </w:pPr>
    </w:p>
    <w:p w:rsidR="00E557A4" w:rsidRDefault="00E74C43" w:rsidP="00E74C43">
      <w:pPr>
        <w:ind w:firstLine="431"/>
        <w:rPr>
          <w:rFonts w:cs="Times New Roman"/>
        </w:rPr>
      </w:pPr>
      <w:r w:rsidRPr="00E74C43">
        <w:rPr>
          <w:rFonts w:cs="Times New Roman"/>
        </w:rPr>
        <w:t xml:space="preserve">Jak již </w:t>
      </w:r>
      <w:r w:rsidR="00EF568A" w:rsidRPr="00E74C43">
        <w:rPr>
          <w:rFonts w:cs="Times New Roman"/>
        </w:rPr>
        <w:t xml:space="preserve">bylo </w:t>
      </w:r>
      <w:r w:rsidRPr="00E74C43">
        <w:rPr>
          <w:rFonts w:cs="Times New Roman"/>
        </w:rPr>
        <w:t>výše uvedeno</w:t>
      </w:r>
      <w:r>
        <w:rPr>
          <w:rFonts w:cs="Times New Roman"/>
        </w:rPr>
        <w:t>,</w:t>
      </w:r>
      <w:r w:rsidRPr="00E74C43">
        <w:rPr>
          <w:rFonts w:cs="Times New Roman"/>
        </w:rPr>
        <w:t xml:space="preserve"> Nejvyšší soud se dosud na </w:t>
      </w:r>
      <w:r w:rsidR="00FC20A2">
        <w:rPr>
          <w:rFonts w:cs="Times New Roman"/>
        </w:rPr>
        <w:t>Soudní dvůr</w:t>
      </w:r>
      <w:r w:rsidRPr="00E74C43">
        <w:rPr>
          <w:rFonts w:cs="Times New Roman"/>
        </w:rPr>
        <w:t xml:space="preserve"> </w:t>
      </w:r>
      <w:r w:rsidR="00FC20A2" w:rsidRPr="00E74C43">
        <w:rPr>
          <w:rFonts w:cs="Times New Roman"/>
        </w:rPr>
        <w:t xml:space="preserve">obrátil </w:t>
      </w:r>
      <w:r w:rsidRPr="00E74C43">
        <w:rPr>
          <w:rFonts w:cs="Times New Roman"/>
        </w:rPr>
        <w:t>s</w:t>
      </w:r>
      <w:r>
        <w:rPr>
          <w:rFonts w:cs="Times New Roman"/>
        </w:rPr>
        <w:t xml:space="preserve"> </w:t>
      </w:r>
      <w:r w:rsidRPr="00E74C43">
        <w:rPr>
          <w:rFonts w:cs="Times New Roman"/>
        </w:rPr>
        <w:t>žádostí o</w:t>
      </w:r>
      <w:r>
        <w:rPr>
          <w:rFonts w:cs="Times New Roman"/>
        </w:rPr>
        <w:t> </w:t>
      </w:r>
      <w:r w:rsidRPr="00E74C43">
        <w:rPr>
          <w:rFonts w:cs="Times New Roman"/>
        </w:rPr>
        <w:t xml:space="preserve">rozhodnutí o předběžné otázce </w:t>
      </w:r>
      <w:r w:rsidR="009E2856">
        <w:rPr>
          <w:rFonts w:cs="Times New Roman"/>
        </w:rPr>
        <w:t xml:space="preserve">pouze </w:t>
      </w:r>
      <w:r w:rsidRPr="00E74C43">
        <w:rPr>
          <w:rFonts w:cs="Times New Roman"/>
        </w:rPr>
        <w:t>ve dvou případech</w:t>
      </w:r>
      <w:r w:rsidR="00EF568A">
        <w:rPr>
          <w:rFonts w:cs="Times New Roman"/>
        </w:rPr>
        <w:t>, přičemž řízení o druhé předběžné otázce je zatím nadále v běhu. Na rozdíl od předběžných otázek Nejvyššího správního soudu</w:t>
      </w:r>
      <w:r w:rsidR="009E2856">
        <w:rPr>
          <w:rFonts w:cs="Times New Roman"/>
        </w:rPr>
        <w:t>, které nezřídka čeřily stojaté vody české</w:t>
      </w:r>
      <w:r w:rsidR="00500115">
        <w:rPr>
          <w:rFonts w:cs="Times New Roman"/>
        </w:rPr>
        <w:t>ho</w:t>
      </w:r>
      <w:r w:rsidR="009E2856">
        <w:rPr>
          <w:rFonts w:cs="Times New Roman"/>
        </w:rPr>
        <w:t xml:space="preserve"> i</w:t>
      </w:r>
      <w:r w:rsidR="00FC20A2">
        <w:rPr>
          <w:rFonts w:cs="Times New Roman"/>
        </w:rPr>
        <w:t xml:space="preserve"> unijního právního rybníku</w:t>
      </w:r>
      <w:r w:rsidR="00152F72">
        <w:rPr>
          <w:rFonts w:cs="Times New Roman"/>
        </w:rPr>
        <w:t>,</w:t>
      </w:r>
      <w:r w:rsidR="00FC20A2">
        <w:rPr>
          <w:rStyle w:val="Znakapoznpodarou"/>
          <w:rFonts w:cs="Times New Roman"/>
        </w:rPr>
        <w:footnoteReference w:id="123"/>
      </w:r>
      <w:r w:rsidR="009E2856">
        <w:rPr>
          <w:rFonts w:cs="Times New Roman"/>
        </w:rPr>
        <w:t xml:space="preserve"> </w:t>
      </w:r>
      <w:r w:rsidR="00152F72">
        <w:rPr>
          <w:rFonts w:cs="Times New Roman"/>
        </w:rPr>
        <w:t>předběžné otázky NS (ale</w:t>
      </w:r>
      <w:r w:rsidR="00500115">
        <w:rPr>
          <w:rFonts w:cs="Times New Roman"/>
        </w:rPr>
        <w:t xml:space="preserve"> ani </w:t>
      </w:r>
      <w:r w:rsidR="00152F72">
        <w:rPr>
          <w:rFonts w:cs="Times New Roman"/>
        </w:rPr>
        <w:t>jejich absence) dosud žádnou větší debatu nevyvolaly</w:t>
      </w:r>
      <w:r w:rsidR="00143C35">
        <w:rPr>
          <w:rFonts w:cs="Times New Roman"/>
        </w:rPr>
        <w:t>. Uvedené p</w:t>
      </w:r>
      <w:r w:rsidR="00500115">
        <w:rPr>
          <w:rFonts w:cs="Times New Roman"/>
        </w:rPr>
        <w:t xml:space="preserve">latí rovněž o oné </w:t>
      </w:r>
      <w:r w:rsidR="00A37D71">
        <w:rPr>
          <w:rFonts w:cs="Times New Roman"/>
        </w:rPr>
        <w:t xml:space="preserve">dosud </w:t>
      </w:r>
      <w:r w:rsidR="00500115">
        <w:t>jediné zodpovězené předběžné otázce</w:t>
      </w:r>
      <w:r w:rsidR="00143C35">
        <w:t xml:space="preserve"> </w:t>
      </w:r>
      <w:r w:rsidR="00500115">
        <w:t xml:space="preserve">ve věci </w:t>
      </w:r>
      <w:r w:rsidR="00500115" w:rsidRPr="00DF4C6D">
        <w:rPr>
          <w:i/>
        </w:rPr>
        <w:t>Wolf Naturprodukte</w:t>
      </w:r>
      <w:r w:rsidR="00500115">
        <w:t>,</w:t>
      </w:r>
      <w:r w:rsidR="00500115">
        <w:rPr>
          <w:rStyle w:val="Znakapoznpodarou"/>
        </w:rPr>
        <w:footnoteReference w:id="124"/>
      </w:r>
      <w:r w:rsidR="00500115">
        <w:t xml:space="preserve"> kte</w:t>
      </w:r>
      <w:r w:rsidR="00B53753">
        <w:t>ré v české odborné literatuře (</w:t>
      </w:r>
      <w:r w:rsidR="00500115">
        <w:t xml:space="preserve">snad kromě několika krátkých komentářů v rámci pravidelného </w:t>
      </w:r>
      <w:r w:rsidR="00500115">
        <w:lastRenderedPageBreak/>
        <w:t>monitoringu judikatury SDEU</w:t>
      </w:r>
      <w:r w:rsidR="00A37D71">
        <w:rPr>
          <w:rStyle w:val="Znakapoznpodarou"/>
        </w:rPr>
        <w:footnoteReference w:id="125"/>
      </w:r>
      <w:r w:rsidR="00B53753">
        <w:t>)</w:t>
      </w:r>
      <w:r w:rsidR="00500115">
        <w:t xml:space="preserve"> nebyla věnována nijak zásadní pozornost.</w:t>
      </w:r>
      <w:r w:rsidR="00A37D71">
        <w:rPr>
          <w:rStyle w:val="Znakapoznpodarou"/>
        </w:rPr>
        <w:footnoteReference w:id="126"/>
      </w:r>
      <w:r w:rsidR="005A03EE">
        <w:t xml:space="preserve"> Z hlediska </w:t>
      </w:r>
      <w:r w:rsidR="00086E48">
        <w:t xml:space="preserve">právní </w:t>
      </w:r>
      <w:r w:rsidR="00B56F5C">
        <w:t>materie</w:t>
      </w:r>
      <w:r w:rsidR="005A03EE">
        <w:t>, které se</w:t>
      </w:r>
      <w:r w:rsidR="00B53753">
        <w:t xml:space="preserve"> tato předběžná otázka</w:t>
      </w:r>
      <w:r w:rsidR="005A03EE">
        <w:t xml:space="preserve"> týkala, se však </w:t>
      </w:r>
      <w:r w:rsidR="00086E48">
        <w:t>jednalo</w:t>
      </w:r>
      <w:r w:rsidR="00B56F5C">
        <w:t xml:space="preserve"> o otázku nikoliv bez významu</w:t>
      </w:r>
      <w:r w:rsidR="00B53753">
        <w:t xml:space="preserve">, neboť odpověď  SDEU ovlivnila způsob aplikace Nařízení </w:t>
      </w:r>
      <w:r w:rsidR="00B53753" w:rsidRPr="00091BB3">
        <w:t xml:space="preserve">Rady (ES) č. 44/2001 ze dne 22. </w:t>
      </w:r>
      <w:r w:rsidR="00B53753">
        <w:t>12.</w:t>
      </w:r>
      <w:r w:rsidR="00B53753" w:rsidRPr="00091BB3">
        <w:t xml:space="preserve"> 2000 o příslušnosti a uznávání a výkonu sou</w:t>
      </w:r>
      <w:r w:rsidR="00B53753">
        <w:t>dních rozhodnutí v občanských a </w:t>
      </w:r>
      <w:r w:rsidR="00B53753" w:rsidRPr="00091BB3">
        <w:t>obchodních věcech</w:t>
      </w:r>
      <w:r w:rsidR="00B53753">
        <w:t xml:space="preserve"> (dále jen „nařízení Brusel I“) ve všech nových členských státech EU.</w:t>
      </w:r>
    </w:p>
    <w:p w:rsidR="00E74C43" w:rsidRDefault="00B53753" w:rsidP="00E74C43">
      <w:pPr>
        <w:ind w:firstLine="431"/>
      </w:pPr>
      <w:r>
        <w:rPr>
          <w:rFonts w:cs="Times New Roman"/>
        </w:rPr>
        <w:t xml:space="preserve">Nařízení Brusel I </w:t>
      </w:r>
      <w:r>
        <w:t>je v oblasti civilního práva jedním z vůbec nejčastěji aplikovaných unijních procesních právních předpisů,</w:t>
      </w:r>
      <w:r>
        <w:rPr>
          <w:rStyle w:val="Znakapoznpodarou"/>
        </w:rPr>
        <w:footnoteReference w:id="127"/>
      </w:r>
      <w:r w:rsidR="008D722E">
        <w:t xml:space="preserve"> a totéž platí i pro judikaturu Nejvyššího soudu, která k dnešnímu dni obsahuje již desítky rozhodnutí, v nichž bylo nařízení Brusel I aplikováno. Konstatování, že i první předběžná otázka Nejvyššího soudu se týkala právě tohoto nařízení, konkrétně jeho časové působnosti, tedy nijak nepřekvapí.</w:t>
      </w:r>
    </w:p>
    <w:p w:rsidR="008D722E" w:rsidRDefault="008D722E" w:rsidP="008D722E">
      <w:pPr>
        <w:spacing w:after="60"/>
      </w:pPr>
      <w:r>
        <w:t>Uvedená právní otázka vyvstala ve sporu mezi společností se sídlem v Rakousku (oprávněná) a společností se sídlem v České republice (povinná)</w:t>
      </w:r>
      <w:r w:rsidR="00A4712B">
        <w:t>. Oprávněná společnost se u </w:t>
      </w:r>
      <w:r>
        <w:t xml:space="preserve">Okresního soudu ve Znojmě domáhala v režimu nařízení Brusel I uznání a výkonu rozhodnutí vydaného rakouským soudem dne 15. 4. 2003, konkrétně pak toho, aby na základě uvedeného rozhodnutí byla nařízena exekuce na majetek povinné k vymožení pohledávky oprávněné společnosti. Okresní soud ve Znojmě – stejně jako Krajský soud v Brně, jenž následně rozhodnutí prvostupňového soudu potvrdil – návrh oprávněné zamítl s tím, že v řízení nelze postupovat podle nařízení Brusel I, neboť Česká republika je jím vázána až ode dne 1. 5. 2004, kdy se stala členem Evropské unie a kdy pro ni rovněž nařízení Brusel I vstoupilo v platnost. </w:t>
      </w:r>
    </w:p>
    <w:p w:rsidR="008D722E" w:rsidRDefault="008D722E" w:rsidP="008D722E">
      <w:pPr>
        <w:spacing w:after="60"/>
      </w:pPr>
      <w:r>
        <w:t xml:space="preserve">Z čl. 66 odst. 1 nařízení Brusel I pro účely uznání a výkonu rozhodnutí vyplývá, že se v režimu tohoto nařízení zásadně uznají a vykonají pouze ta rozhodnutí, jež byla vydána v řízeních, zahájených po vstupu nařízení Brusel I v platnost. Čl. 66 odst. 2 nařízení Brusel I však z uvedeného pravidla stanoví několik výjimek. V případě České republiky lze přitom uvažovat pouze o těch, které jsou uvedeny pod písm. b) citovaného ustanovení. Podle čl. 66 odst. 2 písm. b) nařízení Brusel I tak bylo-li řízení zahájeno v členském státě původu přede </w:t>
      </w:r>
      <w:r>
        <w:lastRenderedPageBreak/>
        <w:t>dnem vstupu tohoto nařízení v platnost, rozhodnutí, která byla vydána po tomto dni, se v České republice uznají a vykonají</w:t>
      </w:r>
      <w:r w:rsidRPr="000A1653">
        <w:t xml:space="preserve"> </w:t>
      </w:r>
      <w:r>
        <w:t>v režimu nařízení Brusel I., pokud soud jiného členského státu, jenž dané rozhodnutí vydal, založil svoji příslušnost buď na pravidlech, která se shodují s pravidly obsaženými v kapitole II nařízení Brusel I, nebo na pravidlech obsažených v dohodě, uzavřené mezi Českou republikou a státem soudu, jenž rozhodnutí vydal, a platné v době zahájení tohoto řízení.</w:t>
      </w:r>
    </w:p>
    <w:p w:rsidR="008D722E" w:rsidRDefault="008D722E" w:rsidP="008D722E">
      <w:pPr>
        <w:spacing w:after="60"/>
      </w:pPr>
      <w:r>
        <w:t xml:space="preserve">Nejvyšší soud tak ve věci vedené pod </w:t>
      </w:r>
      <w:proofErr w:type="spellStart"/>
      <w:r>
        <w:t>sp</w:t>
      </w:r>
      <w:proofErr w:type="spellEnd"/>
      <w:r>
        <w:t xml:space="preserve">. zn. 20 </w:t>
      </w:r>
      <w:proofErr w:type="spellStart"/>
      <w:r>
        <w:t>Cdo</w:t>
      </w:r>
      <w:proofErr w:type="spellEnd"/>
      <w:r>
        <w:t xml:space="preserve"> 4468/2008 stál před otázkou, zda může v režimu nařízení Brusel I uznat a vykonat rozhodnutí rakouského soudu, které bylo vydáno po vstupu v platnost tohoto nařízení v Rakousku, tj. po 1. 3. 2002,</w:t>
      </w:r>
      <w:r>
        <w:rPr>
          <w:rStyle w:val="Znakapoznpodarou"/>
        </w:rPr>
        <w:footnoteReference w:id="128"/>
      </w:r>
      <w:r>
        <w:t xml:space="preserve"> avšak před vstupem v platnost nařízení Brusel I v České republice, tj. před 1. 5. 2004. Z dikce čl. 66 odst. 2 nařízení Brusel I totiž nelze jednoznačně určit, zda formulace </w:t>
      </w:r>
      <w:r w:rsidRPr="00495D91">
        <w:rPr>
          <w:i/>
        </w:rPr>
        <w:t>„pokud však bylo řízení zahájeno v členském státě původu přede dnem vstupu tohoto nařízení v platnost, rozhodnutí, která byla vydána po tomto dni</w:t>
      </w:r>
      <w:r>
        <w:rPr>
          <w:i/>
        </w:rPr>
        <w:t xml:space="preserve">, se uznají a vykonají podle kapitoly III, [za </w:t>
      </w:r>
      <w:proofErr w:type="gramStart"/>
      <w:r>
        <w:rPr>
          <w:i/>
        </w:rPr>
        <w:t>předpokladu]...</w:t>
      </w:r>
      <w:r w:rsidRPr="00495D91">
        <w:rPr>
          <w:i/>
        </w:rPr>
        <w:t>“</w:t>
      </w:r>
      <w:r w:rsidR="003640AB">
        <w:t xml:space="preserve"> </w:t>
      </w:r>
      <w:r>
        <w:t>míří</w:t>
      </w:r>
      <w:proofErr w:type="gramEnd"/>
      <w:r>
        <w:t xml:space="preserve"> na platnost nařízení Brusel I v členském státě původu nebo na platnost nařízení Brusel I v členském státě, v němž je požadováno uznání a výkon rozhodnutí.</w:t>
      </w:r>
    </w:p>
    <w:p w:rsidR="003640AB" w:rsidRDefault="003640AB" w:rsidP="003640AB">
      <w:pPr>
        <w:spacing w:after="60"/>
      </w:pPr>
      <w:r>
        <w:t>O tom, že otázka časové působnosti nařízení Brusel I nebyla zanedbatelnou předběžnou otázkou, svědčí jednak skutečnost, že rozhodnutí SDEU předcházelo stanovisko generálního advokáta,</w:t>
      </w:r>
      <w:r>
        <w:rPr>
          <w:rStyle w:val="Znakapoznpodarou"/>
        </w:rPr>
        <w:footnoteReference w:id="129"/>
      </w:r>
      <w:r>
        <w:t xml:space="preserve"> a dále skutečnost, že svá písemná vyjádření v řízení před SDEU předložily nejen Komise, nýbrž rovněž Česká republika, Lotyšsko a Německo. Z uvedeného zájmu o řešení této předběžné otázky lze přitom rovněž usuzovat na skutečnost, že se jednalo o problém, s nímž se v praxi potýkaly i soudy v jiných členských státech.</w:t>
      </w:r>
      <w:r w:rsidRPr="00FF0C61">
        <w:rPr>
          <w:rStyle w:val="Znakapoznpodarou"/>
        </w:rPr>
        <w:t xml:space="preserve"> </w:t>
      </w:r>
      <w:r>
        <w:rPr>
          <w:rStyle w:val="Znakapoznpodarou"/>
        </w:rPr>
        <w:footnoteReference w:id="130"/>
      </w:r>
    </w:p>
    <w:p w:rsidR="008D722E" w:rsidRDefault="003640AB" w:rsidP="00E74C43">
      <w:pPr>
        <w:ind w:firstLine="431"/>
        <w:rPr>
          <w:rFonts w:cs="Times New Roman"/>
        </w:rPr>
      </w:pPr>
      <w:r>
        <w:t xml:space="preserve">SDEU předně poukázal na provázanost ustanovení nařízení Brusel I o příslušnosti soudů a o uznání a výkonu jejich rozhodnutí. Podle SDEU </w:t>
      </w:r>
      <w:r w:rsidRPr="0044482D">
        <w:rPr>
          <w:i/>
        </w:rPr>
        <w:t>„použití zjednodušených pravidel uznávání a výko</w:t>
      </w:r>
      <w:r>
        <w:rPr>
          <w:i/>
        </w:rPr>
        <w:t>nu stanovených nařízením č. </w:t>
      </w:r>
      <w:r w:rsidRPr="0044482D">
        <w:rPr>
          <w:i/>
        </w:rPr>
        <w:t>44/2001, která chrání zejména žalobce, jenž se díky nim může domoci rychlého, jistého a účinného výkonu</w:t>
      </w:r>
      <w:r>
        <w:rPr>
          <w:i/>
        </w:rPr>
        <w:t xml:space="preserve"> soudního rozhodnutí vydaného v </w:t>
      </w:r>
      <w:r w:rsidRPr="0044482D">
        <w:rPr>
          <w:i/>
        </w:rPr>
        <w:t>jeho prospěch v členském státě původu, je odůvodněné jen tehdy, bylo-li rozhodnutí, které má být uznáno nebo vykonáno, přijato v souladu s pravidly o příslušnosti obsaženými v témž nařízení, která chrání zájmy žalovaného, jenž zejména bude moci být žalován v jiném členském státě, než ve kterém má bydliště nebo sídlo, v zá</w:t>
      </w:r>
      <w:r>
        <w:rPr>
          <w:i/>
        </w:rPr>
        <w:t xml:space="preserve">sadě jen v souladu s pravidly </w:t>
      </w:r>
      <w:r>
        <w:rPr>
          <w:i/>
        </w:rPr>
        <w:lastRenderedPageBreak/>
        <w:t>o </w:t>
      </w:r>
      <w:r w:rsidRPr="0044482D">
        <w:rPr>
          <w:i/>
        </w:rPr>
        <w:t>zvláštní příslušnosti stanovenými v článcích 5 až 7 uvedeného nařízení.</w:t>
      </w:r>
      <w:r>
        <w:rPr>
          <w:i/>
        </w:rPr>
        <w:t>“</w:t>
      </w:r>
      <w:r w:rsidRPr="0059116D">
        <w:rPr>
          <w:rStyle w:val="Znakapoznpodarou"/>
        </w:rPr>
        <w:footnoteReference w:id="131"/>
      </w:r>
      <w:r>
        <w:t xml:space="preserve"> Soudní dvůr proto dospěl k závěru, že čl. 66 odst. 2 nařízení Brusel I musí být vykládán tak, ž</w:t>
      </w:r>
      <w:r w:rsidRPr="00EC2E19">
        <w:t>e pro založení působnosti tohoto nařízení pro účely uznání a výkonu soudního rozhodnutí je nezbytné, aby v době vydání tohoto rozhodnutí bylo uvedené nařízení platné jak v členském státě původu, tak i v dožádaném členském státě.</w:t>
      </w:r>
      <w:r>
        <w:t xml:space="preserve"> Nejvyšší soud následně uvedený názor v dalším řízení bez problémů implementoval a dovolání oprávněné společnosti jako nedůvodné zamítl.</w:t>
      </w:r>
      <w:r>
        <w:rPr>
          <w:rStyle w:val="Znakapoznpodarou"/>
        </w:rPr>
        <w:footnoteReference w:id="132"/>
      </w:r>
    </w:p>
    <w:p w:rsidR="00E74C43" w:rsidRDefault="009A184B" w:rsidP="00E74C43">
      <w:pPr>
        <w:ind w:firstLine="431"/>
      </w:pPr>
      <w:r>
        <w:t>Druhá předběžná otázka Nejvyššího soudu</w:t>
      </w:r>
      <w:r>
        <w:rPr>
          <w:rStyle w:val="Znakapoznpodarou"/>
        </w:rPr>
        <w:footnoteReference w:id="133"/>
      </w:r>
      <w:r>
        <w:t xml:space="preserve"> se týká rovněž aplikace přímo použitelného nařízení </w:t>
      </w:r>
      <w:r w:rsidRPr="009A184B">
        <w:t xml:space="preserve">a stejně jako v případě první předběžné otázky se jedná o oblast </w:t>
      </w:r>
      <w:r w:rsidR="00F667BA">
        <w:t xml:space="preserve">justiční spolupráce v občanských a obchodních </w:t>
      </w:r>
      <w:r w:rsidRPr="009A184B">
        <w:t>věcech, konkrétně o výklad čl. 1</w:t>
      </w:r>
      <w:r w:rsidR="00F667BA">
        <w:t>2 odst. 3 nařízení Rady (ES) č. </w:t>
      </w:r>
      <w:r w:rsidRPr="009A184B">
        <w:t>2201/2013 ze dne 27. 11. 2003 o příslušnosti a uznávání a výkonu rozhodnutí ve věcech manželských a ve věcech rodičovské zodpovědnosti a o zru</w:t>
      </w:r>
      <w:r w:rsidR="00F667BA">
        <w:t>šení nařízení (ES) č. 1347/2000 (dále „Nařízení Brusel II bis“).</w:t>
      </w:r>
      <w:r w:rsidR="00816B52">
        <w:t xml:space="preserve"> Předběžná otázka se týká výkladu čl. 12 odst. 3 Nařízení Brusel II bis o určení příslušnosti k řízení o rodičovské zodpovědnosti.</w:t>
      </w:r>
    </w:p>
    <w:p w:rsidR="009A184B" w:rsidRPr="00E74C43" w:rsidRDefault="009A184B" w:rsidP="00E74C43">
      <w:pPr>
        <w:ind w:firstLine="431"/>
        <w:rPr>
          <w:rFonts w:cs="Times New Roman"/>
        </w:rPr>
      </w:pPr>
    </w:p>
    <w:p w:rsidR="00367312" w:rsidRPr="00367312" w:rsidRDefault="009A184B" w:rsidP="00367312">
      <w:pPr>
        <w:pStyle w:val="Odstavecseseznamem"/>
        <w:numPr>
          <w:ilvl w:val="1"/>
          <w:numId w:val="2"/>
        </w:numPr>
        <w:ind w:left="431" w:hanging="431"/>
        <w:rPr>
          <w:rFonts w:cs="Times New Roman"/>
          <w:b/>
          <w:i/>
        </w:rPr>
      </w:pPr>
      <w:r w:rsidRPr="009A184B">
        <w:rPr>
          <w:rFonts w:cs="Times New Roman"/>
          <w:b/>
          <w:i/>
        </w:rPr>
        <w:t xml:space="preserve">Aplikace principů </w:t>
      </w:r>
      <w:proofErr w:type="spellStart"/>
      <w:r w:rsidRPr="009A184B">
        <w:rPr>
          <w:rFonts w:cs="Times New Roman"/>
          <w:b/>
          <w:i/>
        </w:rPr>
        <w:t>acte</w:t>
      </w:r>
      <w:proofErr w:type="spellEnd"/>
      <w:r w:rsidRPr="009A184B">
        <w:rPr>
          <w:rFonts w:cs="Times New Roman"/>
          <w:b/>
          <w:i/>
        </w:rPr>
        <w:t xml:space="preserve"> </w:t>
      </w:r>
      <w:proofErr w:type="spellStart"/>
      <w:r w:rsidRPr="009A184B">
        <w:rPr>
          <w:rFonts w:cs="Times New Roman"/>
          <w:b/>
          <w:i/>
        </w:rPr>
        <w:t>clair</w:t>
      </w:r>
      <w:proofErr w:type="spellEnd"/>
      <w:r w:rsidRPr="009A184B">
        <w:rPr>
          <w:rFonts w:cs="Times New Roman"/>
          <w:b/>
          <w:i/>
        </w:rPr>
        <w:t xml:space="preserve"> a </w:t>
      </w:r>
      <w:proofErr w:type="spellStart"/>
      <w:r w:rsidRPr="009A184B">
        <w:rPr>
          <w:rFonts w:cs="Times New Roman"/>
          <w:b/>
          <w:i/>
        </w:rPr>
        <w:t>acte</w:t>
      </w:r>
      <w:proofErr w:type="spellEnd"/>
      <w:r w:rsidRPr="009A184B">
        <w:rPr>
          <w:rFonts w:cs="Times New Roman"/>
          <w:b/>
          <w:i/>
        </w:rPr>
        <w:t xml:space="preserve"> </w:t>
      </w:r>
      <w:proofErr w:type="spellStart"/>
      <w:r w:rsidRPr="009A184B">
        <w:rPr>
          <w:rFonts w:cs="Times New Roman"/>
          <w:b/>
          <w:i/>
        </w:rPr>
        <w:t>éclairé</w:t>
      </w:r>
      <w:proofErr w:type="spellEnd"/>
      <w:r w:rsidRPr="009A184B">
        <w:rPr>
          <w:rFonts w:cs="Times New Roman"/>
          <w:b/>
          <w:i/>
        </w:rPr>
        <w:t xml:space="preserve"> </w:t>
      </w:r>
    </w:p>
    <w:p w:rsidR="00A25B08" w:rsidRPr="00A25B08" w:rsidRDefault="00A25B08" w:rsidP="00A25B08">
      <w:pPr>
        <w:rPr>
          <w:color w:val="1F497D" w:themeColor="text2"/>
        </w:rPr>
      </w:pPr>
    </w:p>
    <w:p w:rsidR="00A25B08" w:rsidRPr="004319D1" w:rsidRDefault="00A25B08" w:rsidP="00A25B08">
      <w:r w:rsidRPr="004457CC">
        <w:t xml:space="preserve">V rámci dovolacího řízení účastníci poměrně často poukazují na možnost předložení žádosti o rozhodnutí o předběžné otázce k </w:t>
      </w:r>
      <w:r w:rsidR="004457CC" w:rsidRPr="004457CC">
        <w:t>SDEU</w:t>
      </w:r>
      <w:r w:rsidRPr="004457CC">
        <w:t xml:space="preserve">. Nejvyšší soud </w:t>
      </w:r>
      <w:r w:rsidR="004457CC" w:rsidRPr="004457CC">
        <w:t>však v drtivé většině případů dosud konstatoval, že</w:t>
      </w:r>
      <w:r w:rsidRPr="004457CC">
        <w:t xml:space="preserve"> se jedná o </w:t>
      </w:r>
      <w:proofErr w:type="spellStart"/>
      <w:r w:rsidRPr="004457CC">
        <w:rPr>
          <w:i/>
        </w:rPr>
        <w:t>acte</w:t>
      </w:r>
      <w:proofErr w:type="spellEnd"/>
      <w:r w:rsidRPr="004457CC">
        <w:rPr>
          <w:i/>
        </w:rPr>
        <w:t xml:space="preserve"> </w:t>
      </w:r>
      <w:proofErr w:type="spellStart"/>
      <w:r w:rsidRPr="004457CC">
        <w:rPr>
          <w:i/>
        </w:rPr>
        <w:t>clair</w:t>
      </w:r>
      <w:proofErr w:type="spellEnd"/>
      <w:r w:rsidRPr="004457CC">
        <w:t xml:space="preserve"> či </w:t>
      </w:r>
      <w:proofErr w:type="spellStart"/>
      <w:r w:rsidRPr="004457CC">
        <w:rPr>
          <w:i/>
        </w:rPr>
        <w:t>acte</w:t>
      </w:r>
      <w:proofErr w:type="spellEnd"/>
      <w:r w:rsidRPr="004457CC">
        <w:rPr>
          <w:i/>
        </w:rPr>
        <w:t xml:space="preserve"> </w:t>
      </w:r>
      <w:proofErr w:type="spellStart"/>
      <w:r w:rsidRPr="004457CC">
        <w:rPr>
          <w:i/>
        </w:rPr>
        <w:t>éclairé</w:t>
      </w:r>
      <w:proofErr w:type="spellEnd"/>
      <w:r w:rsidRPr="004457CC">
        <w:t>.</w:t>
      </w:r>
      <w:r w:rsidRPr="004457CC">
        <w:rPr>
          <w:rStyle w:val="Znakapoznpodarou"/>
        </w:rPr>
        <w:footnoteReference w:id="134"/>
      </w:r>
      <w:r w:rsidR="004457CC" w:rsidRPr="004457CC">
        <w:t xml:space="preserve"> </w:t>
      </w:r>
      <w:r w:rsidR="004319D1">
        <w:t>N</w:t>
      </w:r>
      <w:r w:rsidR="004457CC" w:rsidRPr="004457CC">
        <w:t>apř. ve věci,</w:t>
      </w:r>
      <w:r w:rsidRPr="004457CC">
        <w:rPr>
          <w:rStyle w:val="Znakapoznpodarou"/>
        </w:rPr>
        <w:footnoteReference w:id="135"/>
      </w:r>
      <w:r w:rsidR="004457CC" w:rsidRPr="004457CC">
        <w:t xml:space="preserve"> v níž</w:t>
      </w:r>
      <w:r w:rsidRPr="004457CC">
        <w:t xml:space="preserve"> se potomek známého šlechtického rodu domáhal cestou žaloby na určení vlastnictví, aby soud určil jeho vlastnické právo k</w:t>
      </w:r>
      <w:r w:rsidR="004319D1">
        <w:t> </w:t>
      </w:r>
      <w:r w:rsidRPr="004457CC">
        <w:t>nemovitostem</w:t>
      </w:r>
      <w:r w:rsidR="004319D1">
        <w:t>,</w:t>
      </w:r>
      <w:r w:rsidRPr="004457CC">
        <w:rPr>
          <w:rStyle w:val="Znakapoznpodarou"/>
        </w:rPr>
        <w:footnoteReference w:id="136"/>
      </w:r>
      <w:r w:rsidRPr="004457CC">
        <w:t xml:space="preserve"> Nejvyššímu soudu </w:t>
      </w:r>
      <w:r w:rsidR="004319D1">
        <w:t xml:space="preserve">zároveň </w:t>
      </w:r>
      <w:r w:rsidR="004457CC" w:rsidRPr="004457CC">
        <w:t>navrhoval</w:t>
      </w:r>
      <w:r w:rsidRPr="004457CC">
        <w:t xml:space="preserve">, aby předložil předběžnou otázku </w:t>
      </w:r>
      <w:r w:rsidR="004457CC" w:rsidRPr="004457CC">
        <w:t>SDEU</w:t>
      </w:r>
      <w:r w:rsidRPr="004457CC">
        <w:t xml:space="preserve"> týkající se výkladu čl. 6 odst. 1 SEU (dnešní čl. 2 SEU).</w:t>
      </w:r>
      <w:r w:rsidRPr="004457CC">
        <w:rPr>
          <w:rStyle w:val="Znakapoznpodarou"/>
        </w:rPr>
        <w:footnoteReference w:id="137"/>
      </w:r>
      <w:r w:rsidRPr="004457CC">
        <w:t xml:space="preserve"> NS uvedl, že </w:t>
      </w:r>
      <w:r w:rsidRPr="004457CC">
        <w:rPr>
          <w:i/>
        </w:rPr>
        <w:t>„[s]</w:t>
      </w:r>
      <w:proofErr w:type="spellStart"/>
      <w:r w:rsidRPr="004457CC">
        <w:rPr>
          <w:i/>
        </w:rPr>
        <w:t>myslem</w:t>
      </w:r>
      <w:proofErr w:type="spellEnd"/>
      <w:r w:rsidRPr="004457CC">
        <w:rPr>
          <w:i/>
        </w:rPr>
        <w:t xml:space="preserve"> a účelem řízení o předběžné otázce je zajistit správný a </w:t>
      </w:r>
      <w:r w:rsidRPr="004457CC">
        <w:rPr>
          <w:i/>
        </w:rPr>
        <w:lastRenderedPageBreak/>
        <w:t xml:space="preserve">jednotný výklad ustanovení práva ES, která jsou relevantní pro výchozí řízení před soudem členského státu. Řízení o předběžné otázce není nástrojem přenesení rozhodovací pravomoci ze soudu členského státu na Soudní dvůr [ES] a také nikoli ze soudu členského státu na soudy jiných členských států. Předložení předběžné otázky soudem členského státu předpokládá situaci, kdy je ve výchozím řízení před soudem členského státu projednávána otázka, která se týká výkladu či platnosti práva ES. Tak tomu však není v případě tohoto dovolání. Dovolatelem namítané skutečnosti postrádají aspekt práva ES. Soudní dvůr [ES] podle své judikatury i odmítá předběžné otázky, které jsou mimo rámec práva ES (…). Stejně tak z judikatury Soudního dvora plyne, že řízení o předběžné otázce je nástrojem spolupráce mezi soudy ES a nikoli prostředkem vznášení hypotetických nebo irelevantních otázek v řízení před soudem členského státu ze strany účastníků řízení. Podání předběžné otázky v takových případech by znamenalo zneužití řízení o předběžné otázce </w:t>
      </w:r>
      <w:r w:rsidR="004457CC" w:rsidRPr="004319D1">
        <w:rPr>
          <w:i/>
        </w:rPr>
        <w:t>s </w:t>
      </w:r>
      <w:r w:rsidRPr="004319D1">
        <w:rPr>
          <w:i/>
        </w:rPr>
        <w:t>následkem nepřípustnosti předložené otázky (…).“</w:t>
      </w:r>
      <w:r w:rsidRPr="004319D1">
        <w:t xml:space="preserve"> Nejvyšší soud se tak při této příležitosti vyslovil ke smyslu a účelu řízení o předběžné otázce a zdůraznil nezbytnost existence evropského prvku ve věci, pokud se má uvažovat o položení předběžné otázky.</w:t>
      </w:r>
    </w:p>
    <w:p w:rsidR="00A25B08" w:rsidRPr="004319D1" w:rsidRDefault="00A25B08" w:rsidP="00A25B08">
      <w:r w:rsidRPr="004319D1">
        <w:t>V</w:t>
      </w:r>
      <w:r w:rsidR="004457CC" w:rsidRPr="004319D1">
        <w:t>e věci týkající se k</w:t>
      </w:r>
      <w:r w:rsidRPr="004319D1">
        <w:t>oupě a prodej</w:t>
      </w:r>
      <w:r w:rsidR="004457CC" w:rsidRPr="004319D1">
        <w:t>e</w:t>
      </w:r>
      <w:r w:rsidRPr="004319D1">
        <w:t xml:space="preserve"> cenných papírů</w:t>
      </w:r>
      <w:r w:rsidRPr="004319D1">
        <w:rPr>
          <w:rStyle w:val="Znakapoznpodarou"/>
        </w:rPr>
        <w:footnoteReference w:id="138"/>
      </w:r>
      <w:r w:rsidRPr="004319D1">
        <w:t xml:space="preserve"> dovolatel namítal, že soudy nižších stupňů nesprávně aplikovaly </w:t>
      </w:r>
      <w:r w:rsidR="004457CC" w:rsidRPr="004319D1">
        <w:t>unijní</w:t>
      </w:r>
      <w:r w:rsidRPr="004319D1">
        <w:t xml:space="preserve"> právo, přičemž </w:t>
      </w:r>
      <w:r w:rsidR="004457CC" w:rsidRPr="004319D1">
        <w:t>Nejvyššímu soudu</w:t>
      </w:r>
      <w:r w:rsidRPr="004319D1">
        <w:t xml:space="preserve"> navrhnul, aby položil předběžnou otázku.</w:t>
      </w:r>
      <w:r w:rsidRPr="004319D1">
        <w:rPr>
          <w:rStyle w:val="Znakapoznpodarou"/>
        </w:rPr>
        <w:footnoteReference w:id="139"/>
      </w:r>
      <w:r w:rsidRPr="004319D1">
        <w:t xml:space="preserve"> </w:t>
      </w:r>
      <w:r w:rsidR="004457CC" w:rsidRPr="004319D1">
        <w:t>NS</w:t>
      </w:r>
      <w:r w:rsidRPr="004319D1">
        <w:t xml:space="preserve"> přitom uvedl, že </w:t>
      </w:r>
      <w:r w:rsidR="004457CC" w:rsidRPr="004319D1">
        <w:t>SDEU</w:t>
      </w:r>
      <w:r w:rsidRPr="004319D1">
        <w:t xml:space="preserve"> </w:t>
      </w:r>
      <w:r w:rsidRPr="004319D1">
        <w:rPr>
          <w:i/>
        </w:rPr>
        <w:t>„nemá v rámci řízení o předběžné otázce pravomoc rozhodovat o souladu vnitrostátního práva členského státu s právem komunitárním, nýbrž pouze pravomoc vykládat komunitární právo.“</w:t>
      </w:r>
      <w:r w:rsidRPr="004319D1">
        <w:t xml:space="preserve"> Ačkoliv je tento poznatek NS správný, dovolatel formuloval svoji předběžnou otázku obecně, nikoliv ve vztahu ke konkrétním ustanovením vnitrostátního práva. Důvodem, proč NS položit předběžnou otázku odmítnul, však byla skutečnost, že v</w:t>
      </w:r>
      <w:r w:rsidR="004319D1" w:rsidRPr="004319D1">
        <w:t xml:space="preserve"> </w:t>
      </w:r>
      <w:r w:rsidRPr="004319D1">
        <w:t xml:space="preserve">projednávaném případě </w:t>
      </w:r>
      <w:proofErr w:type="spellStart"/>
      <w:r w:rsidRPr="004319D1">
        <w:t>nevystala</w:t>
      </w:r>
      <w:proofErr w:type="spellEnd"/>
      <w:r w:rsidRPr="004319D1">
        <w:t xml:space="preserve"> žádná otázka výkladu evropského práva, přičemž s o</w:t>
      </w:r>
      <w:r w:rsidR="004319D1" w:rsidRPr="004319D1">
        <w:t>dkazem na příslušnou judikaturu SDEU</w:t>
      </w:r>
      <w:r w:rsidRPr="004319D1">
        <w:t xml:space="preserve"> uvedl, že Soudní dvůr </w:t>
      </w:r>
      <w:r w:rsidRPr="004319D1">
        <w:rPr>
          <w:i/>
        </w:rPr>
        <w:t>„opakovaně judikoval, že nepodá odpověď na předloženou otázku, pokud je zcela zřejmé, že výklad komunitárního práva, kterého se domáhá národní soud, nemá žádný vztah ke skutkovému stavu či smyslu řízení před národním soudem nebo položená otázka je hypotetická a Evropský soudní dvůr nemá dostatek faktických nebo právních podkladů k zodpovězení otázky.“</w:t>
      </w:r>
      <w:r w:rsidRPr="004319D1">
        <w:t xml:space="preserve"> Pro úplnost Nejvyšší soud poznamenal, že </w:t>
      </w:r>
      <w:r w:rsidRPr="004319D1">
        <w:rPr>
          <w:i/>
        </w:rPr>
        <w:t xml:space="preserve">„směrnice jsou právní akty ES určené členským státům. Jejich plnění předpokládá provedení (implementaci) ve vnitrostátním právu. Členské státy mají povinnost ve stanovené lhůtě přizpůsobit vnitrostátní právo (tzv. </w:t>
      </w:r>
      <w:r w:rsidRPr="004319D1">
        <w:rPr>
          <w:i/>
        </w:rPr>
        <w:lastRenderedPageBreak/>
        <w:t>transpozice), případně zachovat již slučitelný stav. Přímo použitelného pravidla stanoveného směrnicí se může dovolat jednotlivec, jehož právní postavení by řádná implementace zlepšila, pouze proti členskému státu, jež porušil svoji transpoziční povinnost (tzv. vzestupný vertikální účinek neprovedené směrnice).“</w:t>
      </w:r>
    </w:p>
    <w:p w:rsidR="00A25B08" w:rsidRPr="004319D1" w:rsidRDefault="004319D1" w:rsidP="00A25B08">
      <w:r w:rsidRPr="004319D1">
        <w:t xml:space="preserve">Ve sporu </w:t>
      </w:r>
      <w:r w:rsidR="00A25B08" w:rsidRPr="004319D1">
        <w:t>z oblasti úpadkového práva</w:t>
      </w:r>
      <w:r w:rsidR="00A25B08" w:rsidRPr="004319D1">
        <w:rPr>
          <w:rStyle w:val="Znakapoznpodarou"/>
        </w:rPr>
        <w:footnoteReference w:id="140"/>
      </w:r>
      <w:r w:rsidR="00A25B08" w:rsidRPr="004319D1">
        <w:t xml:space="preserve"> se Nejvyšší soud zabýval otázkou, zda v případě konkursního řízení vedeného v ČR se jedná o konkursní řízení hlavní nebo vedlejší. Zásadní problém zde představovala interpretace pojmu „provozovna</w:t>
      </w:r>
      <w:r w:rsidRPr="004319D1">
        <w:t>“ dlužníka ve smyslu nařízení o </w:t>
      </w:r>
      <w:r w:rsidR="00A25B08" w:rsidRPr="004319D1">
        <w:t>úpadkovém řízení,</w:t>
      </w:r>
      <w:r w:rsidR="00A25B08" w:rsidRPr="004319D1">
        <w:rPr>
          <w:rStyle w:val="Znakapoznpodarou"/>
        </w:rPr>
        <w:footnoteReference w:id="141"/>
      </w:r>
      <w:r w:rsidR="00A25B08" w:rsidRPr="004319D1">
        <w:t xml:space="preserve"> neboť její existence je nutnou podmínkou k pro</w:t>
      </w:r>
      <w:r w:rsidRPr="004319D1">
        <w:t>hlášení konkursu v </w:t>
      </w:r>
      <w:r w:rsidR="00A25B08" w:rsidRPr="004319D1">
        <w:t xml:space="preserve">rámci vedlejšího úpadkového řízení. NS přitom uvedl, </w:t>
      </w:r>
      <w:r w:rsidR="00A25B08" w:rsidRPr="004319D1">
        <w:rPr>
          <w:i/>
        </w:rPr>
        <w:t xml:space="preserve">„že jakkoliv nelze beze zbytku vyloučit  (…),  že v další fází řízení budou soudy nižšího stupně znovu postaveny před otázku, zda výkladu (…) nařízení ve smyslu komunitárního práva odpovídá, je-li </w:t>
      </w:r>
      <w:proofErr w:type="gramStart"/>
      <w:r w:rsidR="00A25B08" w:rsidRPr="004319D1">
        <w:rPr>
          <w:i/>
        </w:rPr>
        <w:t>za  «lidské</w:t>
      </w:r>
      <w:proofErr w:type="gramEnd"/>
      <w:r w:rsidR="00A25B08" w:rsidRPr="004319D1">
        <w:rPr>
          <w:i/>
        </w:rPr>
        <w:t xml:space="preserve"> zdroje» ve smyslu označeného článku pokládán pouze dlužník, v rovině zásad plynoucích z případu 283/81 CILFIT (…) neshledal ani v tomto ohledu možným položit předběžnou otázku Evropskému soudnímu dvoru. V situaci, kdy skutkové závěry, z nichž právní posouzení věci odvolacím soudem vychází, zůstaly neúplné, jelikož se nepojí ke všem rozhodným znakům definice «provozovny» obsažené v článku 2 písm. h) nařízení, a </w:t>
      </w:r>
      <w:proofErr w:type="gramStart"/>
      <w:r w:rsidR="00A25B08" w:rsidRPr="004319D1">
        <w:rPr>
          <w:i/>
        </w:rPr>
        <w:t>kdy  byly</w:t>
      </w:r>
      <w:proofErr w:type="gramEnd"/>
      <w:r w:rsidR="00A25B08" w:rsidRPr="004319D1">
        <w:rPr>
          <w:i/>
        </w:rPr>
        <w:t xml:space="preserve"> (…) přijaty za porušení norem procesního práva, což vedlo k porušení dlužníkova práva na spravedlivý proces, chybí pro takový postup předpoklad, aby byly spolehlivě zjištěny skutkové okolnosti případu.“</w:t>
      </w:r>
      <w:r w:rsidR="00A25B08" w:rsidRPr="004319D1">
        <w:t xml:space="preserve"> V tomto případě byl tak </w:t>
      </w:r>
      <w:r w:rsidRPr="004319D1">
        <w:t>Nejvyšší soud poměrně blízko</w:t>
      </w:r>
      <w:r w:rsidR="00A25B08" w:rsidRPr="004319D1">
        <w:t xml:space="preserve"> položení předběžné otázky Soudnímu dvoru. Nedostatečně zjištěný skutkový základ v předcházejících řízeních však Nejvyššímu soudu tento postup neumožnil, neboť v takovém případě by </w:t>
      </w:r>
      <w:r w:rsidRPr="004319D1">
        <w:t>SDEU</w:t>
      </w:r>
      <w:r w:rsidR="00A25B08" w:rsidRPr="004319D1">
        <w:t xml:space="preserve"> postrádal část relevantních informací nezbytných k zodpovězení předběžné otázky.</w:t>
      </w:r>
    </w:p>
    <w:p w:rsidR="004C2111" w:rsidRPr="00A4712B" w:rsidRDefault="004C2111" w:rsidP="004C2111">
      <w:pPr>
        <w:rPr>
          <w:i/>
        </w:rPr>
      </w:pPr>
      <w:r w:rsidRPr="00A4712B">
        <w:t xml:space="preserve">Příkladem argumentace ve prospěch existence </w:t>
      </w:r>
      <w:proofErr w:type="spellStart"/>
      <w:r w:rsidRPr="00A4712B">
        <w:rPr>
          <w:i/>
        </w:rPr>
        <w:t>acte</w:t>
      </w:r>
      <w:proofErr w:type="spellEnd"/>
      <w:r w:rsidRPr="00A4712B">
        <w:rPr>
          <w:i/>
        </w:rPr>
        <w:t xml:space="preserve"> </w:t>
      </w:r>
      <w:proofErr w:type="spellStart"/>
      <w:r w:rsidRPr="00A4712B">
        <w:rPr>
          <w:i/>
        </w:rPr>
        <w:t>clair</w:t>
      </w:r>
      <w:proofErr w:type="spellEnd"/>
      <w:r w:rsidRPr="00A4712B">
        <w:t xml:space="preserve"> je například usnesení ze dne 14. 7. 2010, </w:t>
      </w:r>
      <w:proofErr w:type="spellStart"/>
      <w:r w:rsidRPr="00A4712B">
        <w:t>sp</w:t>
      </w:r>
      <w:proofErr w:type="spellEnd"/>
      <w:r w:rsidRPr="00A4712B">
        <w:t xml:space="preserve">. zn. 31 </w:t>
      </w:r>
      <w:proofErr w:type="spellStart"/>
      <w:r w:rsidRPr="00A4712B">
        <w:t>Cdo</w:t>
      </w:r>
      <w:proofErr w:type="spellEnd"/>
      <w:r w:rsidRPr="00A4712B">
        <w:t xml:space="preserve"> 2325/2008, v němž se velký senát Nejvyššího soudu zabýval otázkou časové působnosti </w:t>
      </w:r>
      <w:r w:rsidR="00A4712B" w:rsidRPr="00A4712B">
        <w:t xml:space="preserve">Nařízení Brusel I. Musel se přitom vypořádat s </w:t>
      </w:r>
      <w:r w:rsidRPr="00A4712B">
        <w:t>odlišnými názory jednotlivých senátů Nejvyššího soudu.</w:t>
      </w:r>
      <w:r w:rsidRPr="00A4712B">
        <w:rPr>
          <w:rStyle w:val="Znakapoznpodarou"/>
        </w:rPr>
        <w:footnoteReference w:id="142"/>
      </w:r>
      <w:r w:rsidRPr="00A4712B">
        <w:t xml:space="preserve"> Jelikož byl Nejvyšší soud v dané věci soudem, jehož rozhodnutí nelze napadnout opravnými prostředky podle vnitrostátního práva, zabýval se nejprve tím, zda není namístě předložit žádost o rozhodnutí o předběžné otázce. V této souvislosti odkázal na výjimky z povinnosti předložit předběžnou otázku Soudnímu dvoru formulované v rozhodnutí </w:t>
      </w:r>
      <w:r w:rsidRPr="00A4712B">
        <w:rPr>
          <w:i/>
        </w:rPr>
        <w:t>CILFIT</w:t>
      </w:r>
      <w:r w:rsidRPr="00A4712B">
        <w:t>. Srovnáním jazykových ve</w:t>
      </w:r>
      <w:r w:rsidR="00A4712B">
        <w:t>rzí jakož i poukazem na smysl a </w:t>
      </w:r>
      <w:r w:rsidRPr="00A4712B">
        <w:t xml:space="preserve">účel předmětného nařízení pak Nejvyšší soud </w:t>
      </w:r>
      <w:r w:rsidRPr="00A4712B">
        <w:rPr>
          <w:i/>
        </w:rPr>
        <w:t xml:space="preserve">„dospěl k závěru, že výklad a správná </w:t>
      </w:r>
      <w:r w:rsidRPr="00A4712B">
        <w:rPr>
          <w:i/>
        </w:rPr>
        <w:lastRenderedPageBreak/>
        <w:t xml:space="preserve">aplikace článku 66 Nařízení jsou naprosto zjevné (jde tedy o tzv. </w:t>
      </w:r>
      <w:proofErr w:type="spellStart"/>
      <w:r w:rsidRPr="00A4712B">
        <w:rPr>
          <w:i/>
        </w:rPr>
        <w:t>acte</w:t>
      </w:r>
      <w:proofErr w:type="spellEnd"/>
      <w:r w:rsidRPr="00A4712B">
        <w:rPr>
          <w:i/>
        </w:rPr>
        <w:t xml:space="preserve"> </w:t>
      </w:r>
      <w:proofErr w:type="spellStart"/>
      <w:r w:rsidRPr="00A4712B">
        <w:rPr>
          <w:i/>
        </w:rPr>
        <w:t>clair</w:t>
      </w:r>
      <w:proofErr w:type="spellEnd"/>
      <w:r w:rsidRPr="00A4712B">
        <w:rPr>
          <w:i/>
        </w:rPr>
        <w:t>) a že názor obsažený v usnesení Nejvyššího soudu ze dne 31. 8. 2006,</w:t>
      </w:r>
      <w:r w:rsidR="00A4712B">
        <w:rPr>
          <w:i/>
        </w:rPr>
        <w:t xml:space="preserve"> </w:t>
      </w:r>
      <w:proofErr w:type="spellStart"/>
      <w:r w:rsidR="00A4712B">
        <w:rPr>
          <w:i/>
        </w:rPr>
        <w:t>sp</w:t>
      </w:r>
      <w:proofErr w:type="spellEnd"/>
      <w:r w:rsidR="00A4712B">
        <w:rPr>
          <w:i/>
        </w:rPr>
        <w:t xml:space="preserve">. zn. 25 </w:t>
      </w:r>
      <w:proofErr w:type="spellStart"/>
      <w:r w:rsidR="00A4712B">
        <w:rPr>
          <w:i/>
        </w:rPr>
        <w:t>Nd</w:t>
      </w:r>
      <w:proofErr w:type="spellEnd"/>
      <w:r w:rsidR="00A4712B">
        <w:rPr>
          <w:i/>
        </w:rPr>
        <w:t xml:space="preserve"> 56/2006, nelze z </w:t>
      </w:r>
      <w:r w:rsidRPr="00A4712B">
        <w:rPr>
          <w:i/>
        </w:rPr>
        <w:t>tohoto článku dovodit, respektive že tento názor je s tímto článkem v rozporu. Z tohoto důvodu věc nepředložil Soudnímu dvoru Evropské unie k rozhodnutí o předběžné otázce.“</w:t>
      </w:r>
    </w:p>
    <w:p w:rsidR="004C2111" w:rsidRPr="00A4712B" w:rsidRDefault="004C2111" w:rsidP="004C2111">
      <w:r w:rsidRPr="00A4712B">
        <w:t xml:space="preserve">Existenci </w:t>
      </w:r>
      <w:proofErr w:type="spellStart"/>
      <w:r w:rsidRPr="00A4712B">
        <w:rPr>
          <w:i/>
        </w:rPr>
        <w:t>acte</w:t>
      </w:r>
      <w:proofErr w:type="spellEnd"/>
      <w:r w:rsidRPr="00A4712B">
        <w:rPr>
          <w:i/>
        </w:rPr>
        <w:t xml:space="preserve"> </w:t>
      </w:r>
      <w:proofErr w:type="spellStart"/>
      <w:r w:rsidRPr="00A4712B">
        <w:rPr>
          <w:i/>
        </w:rPr>
        <w:t>éclairé</w:t>
      </w:r>
      <w:proofErr w:type="spellEnd"/>
      <w:r w:rsidRPr="00A4712B">
        <w:t xml:space="preserve"> Nejvyšší soud shledal například v usnesení ze dne 31. 1. 2008, </w:t>
      </w:r>
      <w:proofErr w:type="spellStart"/>
      <w:r w:rsidRPr="00A4712B">
        <w:t>sp</w:t>
      </w:r>
      <w:proofErr w:type="spellEnd"/>
      <w:r w:rsidRPr="00A4712B">
        <w:t xml:space="preserve">. zn. 29 Odo 164/2006. Nejvyšší soud zde dokonce citoval všechny jazykové varianty předmětného ustanovení nařízení Rady (ES) č. 1346/2000 ze dne 29. 5. 2000, o úpadkovém řízení. K tomu lze poznamenat, že srovnání jednotlivých jazykových verzí evropského předpisu by nemělo být samoúčelné a rozhodně by se nemělo projevovat automatickým překopírováním do odůvodnění rozhodnutí relevantních ustanovení nařízení ve všech jazykových mutacích. Naopak srovnání jednotlivých znění by mělo sloužit především ke zjištění, zda český překlad významově odpovídá překladům </w:t>
      </w:r>
      <w:r w:rsidR="00A4712B">
        <w:t>učiněným do jiných jazyků. Už z </w:t>
      </w:r>
      <w:r w:rsidRPr="00A4712B">
        <w:t>toho důvodu by měl soudce pracovat především s těmi jazykovými verzemi textu, kterým je schopen porozumět a jejich jednotlivé nuance proto i odlišit (</w:t>
      </w:r>
      <w:r w:rsidR="00A4712B">
        <w:t>případně se aspoň být schopen o </w:t>
      </w:r>
      <w:r w:rsidRPr="00A4712B">
        <w:t>těchto nuancích přesvědčit). Navzdory učiněnému přehledu jazykových verzí ve všech oficiálních jazycích Evropské unie, si tak lze sotva představit, že soudci Nejvyššího soudu skutečně „srovnávali“ české znění příslušného ustanovení nařízení s jeho zněním ve švédštině, řečtině či bulharštině.</w:t>
      </w:r>
    </w:p>
    <w:p w:rsidR="004C2111" w:rsidRPr="004C2111" w:rsidRDefault="004C2111" w:rsidP="004C2111">
      <w:pPr>
        <w:ind w:firstLine="0"/>
        <w:rPr>
          <w:rFonts w:cs="Times New Roman"/>
        </w:rPr>
      </w:pPr>
    </w:p>
    <w:p w:rsidR="008510D1" w:rsidRDefault="008510D1" w:rsidP="008510D1">
      <w:pPr>
        <w:pStyle w:val="Odstavecseseznamem"/>
        <w:numPr>
          <w:ilvl w:val="0"/>
          <w:numId w:val="2"/>
        </w:numPr>
        <w:rPr>
          <w:rFonts w:cs="Times New Roman"/>
          <w:b/>
        </w:rPr>
      </w:pPr>
      <w:r>
        <w:rPr>
          <w:rFonts w:cs="Times New Roman"/>
          <w:b/>
        </w:rPr>
        <w:t>Listina základních práv Evropské unie</w:t>
      </w:r>
      <w:r w:rsidR="009C4A9B">
        <w:rPr>
          <w:rStyle w:val="Znakapoznpodarou"/>
          <w:rFonts w:cs="Times New Roman"/>
          <w:b/>
        </w:rPr>
        <w:footnoteReference w:id="143"/>
      </w:r>
    </w:p>
    <w:p w:rsidR="004907B9" w:rsidRDefault="004907B9" w:rsidP="004907B9">
      <w:pPr>
        <w:pStyle w:val="Odstavecseseznamem"/>
        <w:ind w:left="360" w:firstLine="0"/>
        <w:rPr>
          <w:rFonts w:cs="Times New Roman"/>
          <w:b/>
        </w:rPr>
      </w:pPr>
    </w:p>
    <w:p w:rsidR="00623AE5" w:rsidRDefault="00402CCE" w:rsidP="008C0A5A">
      <w:pPr>
        <w:ind w:firstLine="360"/>
        <w:rPr>
          <w:rFonts w:cs="Times New Roman"/>
        </w:rPr>
      </w:pPr>
      <w:r>
        <w:rPr>
          <w:rFonts w:cs="Times New Roman"/>
        </w:rPr>
        <w:t xml:space="preserve">Pro úplnost je </w:t>
      </w:r>
      <w:r w:rsidR="001A6030">
        <w:rPr>
          <w:rFonts w:cs="Times New Roman"/>
        </w:rPr>
        <w:t>třeba</w:t>
      </w:r>
      <w:r>
        <w:rPr>
          <w:rFonts w:cs="Times New Roman"/>
        </w:rPr>
        <w:t xml:space="preserve"> </w:t>
      </w:r>
      <w:r w:rsidR="00207E4B">
        <w:rPr>
          <w:rFonts w:cs="Times New Roman"/>
        </w:rPr>
        <w:t xml:space="preserve">se zmínit </w:t>
      </w:r>
      <w:r w:rsidR="007A7A9F">
        <w:rPr>
          <w:rFonts w:cs="Times New Roman"/>
        </w:rPr>
        <w:t xml:space="preserve">rovněž </w:t>
      </w:r>
      <w:r>
        <w:rPr>
          <w:rFonts w:cs="Times New Roman"/>
        </w:rPr>
        <w:t>o aplikaci Listiny základní práv Evropské unie</w:t>
      </w:r>
      <w:r w:rsidR="00207E4B">
        <w:rPr>
          <w:rFonts w:cs="Times New Roman"/>
        </w:rPr>
        <w:t xml:space="preserve"> (dále </w:t>
      </w:r>
      <w:r w:rsidR="009B60EF">
        <w:rPr>
          <w:rFonts w:cs="Times New Roman"/>
        </w:rPr>
        <w:t>též</w:t>
      </w:r>
      <w:r w:rsidR="00ED391B">
        <w:rPr>
          <w:rFonts w:cs="Times New Roman"/>
        </w:rPr>
        <w:t xml:space="preserve"> </w:t>
      </w:r>
      <w:r w:rsidR="00207E4B">
        <w:rPr>
          <w:rFonts w:cs="Times New Roman"/>
        </w:rPr>
        <w:t>„Listina EU“)</w:t>
      </w:r>
      <w:r>
        <w:rPr>
          <w:rFonts w:cs="Times New Roman"/>
        </w:rPr>
        <w:t xml:space="preserve">, </w:t>
      </w:r>
      <w:r w:rsidR="004264AE">
        <w:rPr>
          <w:rFonts w:cs="Times New Roman"/>
        </w:rPr>
        <w:t>která</w:t>
      </w:r>
      <w:r>
        <w:rPr>
          <w:rFonts w:cs="Times New Roman"/>
        </w:rPr>
        <w:t xml:space="preserve"> se </w:t>
      </w:r>
      <w:r w:rsidR="004264AE">
        <w:rPr>
          <w:rFonts w:cs="Times New Roman"/>
        </w:rPr>
        <w:t>vstupem v</w:t>
      </w:r>
      <w:r w:rsidR="00207E4B">
        <w:rPr>
          <w:rFonts w:cs="Times New Roman"/>
        </w:rPr>
        <w:t xml:space="preserve"> </w:t>
      </w:r>
      <w:r w:rsidR="004264AE">
        <w:rPr>
          <w:rFonts w:cs="Times New Roman"/>
        </w:rPr>
        <w:t>platnost Lisabonské smlouvy stala právně závazným dokumentem a má stejnou právní sílu jako zakládací smlouvy.</w:t>
      </w:r>
      <w:r w:rsidR="004264AE">
        <w:rPr>
          <w:rStyle w:val="Znakapoznpodarou"/>
          <w:rFonts w:cs="Times New Roman"/>
        </w:rPr>
        <w:footnoteReference w:id="144"/>
      </w:r>
      <w:r>
        <w:rPr>
          <w:rFonts w:cs="Times New Roman"/>
        </w:rPr>
        <w:t xml:space="preserve"> </w:t>
      </w:r>
      <w:r w:rsidR="009C4A9B">
        <w:rPr>
          <w:rFonts w:cs="Times New Roman"/>
        </w:rPr>
        <w:t>V souladu s čl. 51 odst. 1 Listiny</w:t>
      </w:r>
      <w:r w:rsidR="00207E4B">
        <w:rPr>
          <w:rFonts w:cs="Times New Roman"/>
        </w:rPr>
        <w:t xml:space="preserve"> EU jsou</w:t>
      </w:r>
      <w:r w:rsidR="001A6030">
        <w:rPr>
          <w:rFonts w:cs="Times New Roman"/>
        </w:rPr>
        <w:t xml:space="preserve"> její</w:t>
      </w:r>
      <w:r w:rsidR="00207E4B">
        <w:rPr>
          <w:rFonts w:cs="Times New Roman"/>
        </w:rPr>
        <w:t xml:space="preserve"> ustanovení </w:t>
      </w:r>
      <w:r w:rsidR="001D5FCC">
        <w:rPr>
          <w:rFonts w:cs="Times New Roman"/>
        </w:rPr>
        <w:t xml:space="preserve">určena členským státům – tj. rovněž soudům těchto členských států – </w:t>
      </w:r>
      <w:r w:rsidR="00207E4B">
        <w:rPr>
          <w:rFonts w:cs="Times New Roman"/>
        </w:rPr>
        <w:t xml:space="preserve">výhradně </w:t>
      </w:r>
      <w:r w:rsidR="00207E4B" w:rsidRPr="007A7A9F">
        <w:rPr>
          <w:rFonts w:cs="Times New Roman"/>
          <w:i/>
        </w:rPr>
        <w:t>pokud uplatňují právo</w:t>
      </w:r>
      <w:r w:rsidR="001D5FCC" w:rsidRPr="007A7A9F">
        <w:rPr>
          <w:rFonts w:cs="Times New Roman"/>
          <w:i/>
        </w:rPr>
        <w:t xml:space="preserve"> EU</w:t>
      </w:r>
      <w:r w:rsidR="00BB5B07">
        <w:rPr>
          <w:rFonts w:cs="Times New Roman"/>
        </w:rPr>
        <w:t xml:space="preserve">, respektive </w:t>
      </w:r>
      <w:r w:rsidR="00BB5B07" w:rsidRPr="007A7A9F">
        <w:rPr>
          <w:rFonts w:cs="Times New Roman"/>
          <w:i/>
        </w:rPr>
        <w:t xml:space="preserve">jednají-li v </w:t>
      </w:r>
      <w:r w:rsidR="001D5FCC" w:rsidRPr="007A7A9F">
        <w:rPr>
          <w:rFonts w:cs="Times New Roman"/>
          <w:i/>
        </w:rPr>
        <w:t>oblasti</w:t>
      </w:r>
      <w:r w:rsidR="00207E4B" w:rsidRPr="007A7A9F">
        <w:rPr>
          <w:rFonts w:cs="Times New Roman"/>
          <w:i/>
        </w:rPr>
        <w:t xml:space="preserve"> působnosti práva EU</w:t>
      </w:r>
      <w:r w:rsidR="001D5FCC">
        <w:rPr>
          <w:rFonts w:cs="Times New Roman"/>
        </w:rPr>
        <w:t>.</w:t>
      </w:r>
      <w:r w:rsidR="001D5FCC">
        <w:rPr>
          <w:rStyle w:val="Znakapoznpodarou"/>
          <w:rFonts w:cs="Times New Roman"/>
        </w:rPr>
        <w:footnoteReference w:id="145"/>
      </w:r>
      <w:r w:rsidR="00ED391B">
        <w:rPr>
          <w:rFonts w:cs="Times New Roman"/>
        </w:rPr>
        <w:t xml:space="preserve"> </w:t>
      </w:r>
      <w:r w:rsidR="00623AE5">
        <w:rPr>
          <w:rFonts w:cs="Times New Roman"/>
        </w:rPr>
        <w:t xml:space="preserve">Navzdory nespočtu rozhodnutí, v nichž bylo Nejvyšším soudem aplikováno unijní právo, </w:t>
      </w:r>
      <w:r w:rsidR="001602C8">
        <w:rPr>
          <w:rFonts w:cs="Times New Roman"/>
        </w:rPr>
        <w:t>argumentace Listinou</w:t>
      </w:r>
      <w:r w:rsidR="00623AE5">
        <w:rPr>
          <w:rFonts w:cs="Times New Roman"/>
        </w:rPr>
        <w:t xml:space="preserve"> </w:t>
      </w:r>
      <w:r w:rsidR="00ED391B">
        <w:rPr>
          <w:rFonts w:cs="Times New Roman"/>
        </w:rPr>
        <w:t xml:space="preserve">EU v odůvodnění </w:t>
      </w:r>
      <w:r w:rsidR="001602C8">
        <w:rPr>
          <w:rFonts w:cs="Times New Roman"/>
        </w:rPr>
        <w:t xml:space="preserve">jeho </w:t>
      </w:r>
      <w:r w:rsidR="00ED391B">
        <w:rPr>
          <w:rFonts w:cs="Times New Roman"/>
        </w:rPr>
        <w:t xml:space="preserve">rozhodnutí se dosud omezuje </w:t>
      </w:r>
      <w:r w:rsidR="00C0715F">
        <w:rPr>
          <w:rFonts w:cs="Times New Roman"/>
        </w:rPr>
        <w:t xml:space="preserve">tak říkajíc </w:t>
      </w:r>
      <w:r w:rsidR="007A7A9F">
        <w:rPr>
          <w:rFonts w:cs="Times New Roman"/>
        </w:rPr>
        <w:t xml:space="preserve">na </w:t>
      </w:r>
      <w:r w:rsidR="00ED391B">
        <w:rPr>
          <w:rFonts w:cs="Times New Roman"/>
        </w:rPr>
        <w:t>čestné odkazy, a to i v</w:t>
      </w:r>
      <w:r w:rsidR="00DC0B4E">
        <w:rPr>
          <w:rFonts w:cs="Times New Roman"/>
        </w:rPr>
        <w:t> </w:t>
      </w:r>
      <w:r w:rsidR="00ED391B">
        <w:rPr>
          <w:rFonts w:cs="Times New Roman"/>
        </w:rPr>
        <w:t>případech</w:t>
      </w:r>
      <w:r w:rsidR="00DC0B4E">
        <w:rPr>
          <w:rFonts w:cs="Times New Roman"/>
        </w:rPr>
        <w:t>,</w:t>
      </w:r>
      <w:r w:rsidR="00ED391B">
        <w:rPr>
          <w:rFonts w:cs="Times New Roman"/>
        </w:rPr>
        <w:t xml:space="preserve"> jež jinak do oblasti působnosti unijního práva</w:t>
      </w:r>
      <w:r w:rsidR="00DC0B4E">
        <w:rPr>
          <w:rFonts w:cs="Times New Roman"/>
        </w:rPr>
        <w:t xml:space="preserve"> nijak</w:t>
      </w:r>
      <w:r w:rsidR="00ED391B">
        <w:rPr>
          <w:rFonts w:cs="Times New Roman"/>
        </w:rPr>
        <w:t xml:space="preserve"> </w:t>
      </w:r>
      <w:r w:rsidR="00ED391B">
        <w:rPr>
          <w:rFonts w:cs="Times New Roman"/>
        </w:rPr>
        <w:lastRenderedPageBreak/>
        <w:t>nespadají</w:t>
      </w:r>
      <w:r w:rsidR="00DC0B4E">
        <w:rPr>
          <w:rFonts w:cs="Times New Roman"/>
        </w:rPr>
        <w:t>,</w:t>
      </w:r>
      <w:r w:rsidR="00DC0B4E">
        <w:rPr>
          <w:rStyle w:val="Znakapoznpodarou"/>
          <w:rFonts w:cs="Times New Roman"/>
        </w:rPr>
        <w:footnoteReference w:id="146"/>
      </w:r>
      <w:r w:rsidR="00C0715F">
        <w:rPr>
          <w:rFonts w:cs="Times New Roman"/>
        </w:rPr>
        <w:t xml:space="preserve"> </w:t>
      </w:r>
      <w:r w:rsidR="008C0A5A">
        <w:rPr>
          <w:rFonts w:cs="Times New Roman"/>
        </w:rPr>
        <w:t>případně</w:t>
      </w:r>
      <w:r w:rsidR="00C0715F">
        <w:rPr>
          <w:rFonts w:cs="Times New Roman"/>
        </w:rPr>
        <w:t xml:space="preserve"> se jedná o méně či více zdařilé odkazy na Listinu EU v argumentaci účastníků řízení.</w:t>
      </w:r>
      <w:r w:rsidR="00C0715F">
        <w:rPr>
          <w:rStyle w:val="Znakapoznpodarou"/>
          <w:rFonts w:cs="Times New Roman"/>
        </w:rPr>
        <w:footnoteReference w:id="147"/>
      </w:r>
      <w:r w:rsidR="00B53368">
        <w:rPr>
          <w:rFonts w:cs="Times New Roman"/>
        </w:rPr>
        <w:t xml:space="preserve"> </w:t>
      </w:r>
      <w:r w:rsidR="00C0715F">
        <w:rPr>
          <w:rFonts w:cs="Times New Roman"/>
        </w:rPr>
        <w:t>Nejvyšší soud</w:t>
      </w:r>
      <w:r w:rsidR="008C0A5A">
        <w:rPr>
          <w:rFonts w:cs="Times New Roman"/>
        </w:rPr>
        <w:t xml:space="preserve"> </w:t>
      </w:r>
      <w:r w:rsidR="00C0715F">
        <w:rPr>
          <w:rFonts w:cs="Times New Roman"/>
        </w:rPr>
        <w:t xml:space="preserve">při </w:t>
      </w:r>
      <w:r w:rsidR="00B53368">
        <w:rPr>
          <w:rFonts w:cs="Times New Roman"/>
        </w:rPr>
        <w:t>dvou</w:t>
      </w:r>
      <w:r w:rsidR="007A7A9F">
        <w:rPr>
          <w:rFonts w:cs="Times New Roman"/>
        </w:rPr>
        <w:t xml:space="preserve"> příležitostech odkázal na čl. </w:t>
      </w:r>
      <w:r w:rsidR="00C0715F">
        <w:rPr>
          <w:rFonts w:cs="Times New Roman"/>
        </w:rPr>
        <w:t xml:space="preserve">24 Listiny EU, </w:t>
      </w:r>
      <w:r w:rsidR="001602C8">
        <w:rPr>
          <w:rFonts w:cs="Times New Roman"/>
        </w:rPr>
        <w:t>jenž</w:t>
      </w:r>
      <w:r w:rsidR="00C0715F">
        <w:rPr>
          <w:rFonts w:cs="Times New Roman"/>
        </w:rPr>
        <w:t xml:space="preserve"> </w:t>
      </w:r>
      <w:r w:rsidR="00941BE0">
        <w:rPr>
          <w:rFonts w:cs="Times New Roman"/>
        </w:rPr>
        <w:t>s</w:t>
      </w:r>
      <w:r w:rsidR="001602C8">
        <w:rPr>
          <w:rFonts w:cs="Times New Roman"/>
        </w:rPr>
        <w:t>tanoví práva dítěte, a to ve formě</w:t>
      </w:r>
      <w:r w:rsidR="00941BE0">
        <w:rPr>
          <w:rFonts w:cs="Times New Roman"/>
        </w:rPr>
        <w:t xml:space="preserve"> podpůrného argume</w:t>
      </w:r>
      <w:r w:rsidR="00B53368">
        <w:rPr>
          <w:rFonts w:cs="Times New Roman"/>
        </w:rPr>
        <w:t>ntu evropským právem v </w:t>
      </w:r>
      <w:r w:rsidR="00E71978">
        <w:rPr>
          <w:rFonts w:cs="Times New Roman"/>
        </w:rPr>
        <w:t>souvislosti se zbavením</w:t>
      </w:r>
      <w:r w:rsidR="00B53368">
        <w:rPr>
          <w:rFonts w:cs="Times New Roman"/>
        </w:rPr>
        <w:t xml:space="preserve"> </w:t>
      </w:r>
      <w:r w:rsidR="00941BE0">
        <w:rPr>
          <w:rFonts w:cs="Times New Roman"/>
        </w:rPr>
        <w:t>rodičovské</w:t>
      </w:r>
      <w:r w:rsidR="00B53368">
        <w:rPr>
          <w:rFonts w:cs="Times New Roman"/>
        </w:rPr>
        <w:t xml:space="preserve"> zodpovědnosti a zákazu styku s </w:t>
      </w:r>
      <w:r w:rsidR="00941BE0">
        <w:rPr>
          <w:rFonts w:cs="Times New Roman"/>
        </w:rPr>
        <w:t>dítětem</w:t>
      </w:r>
      <w:r w:rsidR="001602C8">
        <w:rPr>
          <w:rStyle w:val="Znakapoznpodarou"/>
          <w:rFonts w:cs="Times New Roman"/>
        </w:rPr>
        <w:footnoteReference w:id="148"/>
      </w:r>
      <w:r w:rsidR="00941BE0">
        <w:rPr>
          <w:rFonts w:cs="Times New Roman"/>
        </w:rPr>
        <w:t xml:space="preserve">, </w:t>
      </w:r>
      <w:r w:rsidR="00B53368">
        <w:rPr>
          <w:rFonts w:cs="Times New Roman"/>
        </w:rPr>
        <w:t>a podruhé</w:t>
      </w:r>
      <w:r w:rsidR="00941BE0">
        <w:rPr>
          <w:rFonts w:cs="Times New Roman"/>
        </w:rPr>
        <w:t xml:space="preserve"> v rámci </w:t>
      </w:r>
      <w:r w:rsidR="00E71978">
        <w:rPr>
          <w:rFonts w:cs="Times New Roman"/>
        </w:rPr>
        <w:t xml:space="preserve">řádné </w:t>
      </w:r>
      <w:r w:rsidR="00941BE0">
        <w:rPr>
          <w:rFonts w:cs="Times New Roman"/>
        </w:rPr>
        <w:t>aplikace unijní</w:t>
      </w:r>
      <w:r w:rsidR="001602C8">
        <w:rPr>
          <w:rFonts w:cs="Times New Roman"/>
        </w:rPr>
        <w:t xml:space="preserve">ho práva v souvislosti s </w:t>
      </w:r>
      <w:r w:rsidR="007A7A9F">
        <w:rPr>
          <w:rFonts w:cs="Times New Roman"/>
        </w:rPr>
        <w:t>uznání</w:t>
      </w:r>
      <w:r w:rsidR="00E71978">
        <w:rPr>
          <w:rFonts w:cs="Times New Roman"/>
        </w:rPr>
        <w:t>m</w:t>
      </w:r>
      <w:r w:rsidR="007A7A9F">
        <w:rPr>
          <w:rFonts w:cs="Times New Roman"/>
        </w:rPr>
        <w:t xml:space="preserve"> a</w:t>
      </w:r>
      <w:r w:rsidR="001602C8">
        <w:rPr>
          <w:rFonts w:cs="Times New Roman"/>
        </w:rPr>
        <w:t xml:space="preserve"> výkonem rozhodnutí o </w:t>
      </w:r>
      <w:r w:rsidR="007A7A9F">
        <w:rPr>
          <w:rFonts w:cs="Times New Roman"/>
        </w:rPr>
        <w:t>výživném pro nezletilé dítě</w:t>
      </w:r>
      <w:r w:rsidR="00B53368">
        <w:rPr>
          <w:rFonts w:cs="Times New Roman"/>
        </w:rPr>
        <w:t>.</w:t>
      </w:r>
      <w:r w:rsidR="001602C8">
        <w:rPr>
          <w:rStyle w:val="Znakapoznpodarou"/>
          <w:rFonts w:cs="Times New Roman"/>
        </w:rPr>
        <w:footnoteReference w:id="149"/>
      </w:r>
    </w:p>
    <w:p w:rsidR="00E71978" w:rsidRDefault="00854C7B" w:rsidP="00E71978">
      <w:pPr>
        <w:ind w:firstLine="360"/>
        <w:rPr>
          <w:rFonts w:cs="Times New Roman"/>
        </w:rPr>
      </w:pPr>
      <w:r w:rsidRPr="00854C7B">
        <w:rPr>
          <w:rFonts w:cs="Times New Roman"/>
        </w:rPr>
        <w:t xml:space="preserve">Listinu </w:t>
      </w:r>
      <w:r w:rsidR="00E71978">
        <w:rPr>
          <w:rFonts w:cs="Times New Roman"/>
        </w:rPr>
        <w:t xml:space="preserve">základních práv </w:t>
      </w:r>
      <w:r w:rsidR="00B53368">
        <w:rPr>
          <w:rFonts w:cs="Times New Roman"/>
        </w:rPr>
        <w:t>EU</w:t>
      </w:r>
      <w:r w:rsidR="00E71978">
        <w:rPr>
          <w:rFonts w:cs="Times New Roman"/>
        </w:rPr>
        <w:t xml:space="preserve"> </w:t>
      </w:r>
      <w:r w:rsidR="00E71978" w:rsidRPr="00854C7B">
        <w:rPr>
          <w:rFonts w:cs="Times New Roman"/>
        </w:rPr>
        <w:t>Nejvyšší soud</w:t>
      </w:r>
      <w:r w:rsidR="00E71978">
        <w:rPr>
          <w:rFonts w:cs="Times New Roman"/>
        </w:rPr>
        <w:t xml:space="preserve"> citoval rovněž </w:t>
      </w:r>
      <w:r w:rsidRPr="00854C7B">
        <w:rPr>
          <w:rFonts w:cs="Times New Roman"/>
        </w:rPr>
        <w:t xml:space="preserve">ve svém stanovisku ze dne 23. 4. 2014, </w:t>
      </w:r>
      <w:proofErr w:type="spellStart"/>
      <w:r w:rsidRPr="00854C7B">
        <w:rPr>
          <w:rFonts w:cs="Times New Roman"/>
        </w:rPr>
        <w:t>sp</w:t>
      </w:r>
      <w:proofErr w:type="spellEnd"/>
      <w:r w:rsidRPr="00854C7B">
        <w:rPr>
          <w:rFonts w:cs="Times New Roman"/>
        </w:rPr>
        <w:t xml:space="preserve">. zn. </w:t>
      </w:r>
      <w:proofErr w:type="spellStart"/>
      <w:r w:rsidRPr="00854C7B">
        <w:rPr>
          <w:rFonts w:cs="Times New Roman"/>
        </w:rPr>
        <w:t>Cpjn</w:t>
      </w:r>
      <w:proofErr w:type="spellEnd"/>
      <w:r w:rsidRPr="00854C7B">
        <w:rPr>
          <w:rFonts w:cs="Times New Roman"/>
        </w:rPr>
        <w:t xml:space="preserve"> 202/2013</w:t>
      </w:r>
      <w:r>
        <w:rPr>
          <w:rFonts w:cs="Times New Roman"/>
        </w:rPr>
        <w:t xml:space="preserve">, </w:t>
      </w:r>
      <w:r w:rsidR="00B53368">
        <w:rPr>
          <w:rFonts w:cs="Times New Roman"/>
        </w:rPr>
        <w:t>které</w:t>
      </w:r>
      <w:r>
        <w:rPr>
          <w:rFonts w:cs="Times New Roman"/>
        </w:rPr>
        <w:t xml:space="preserve"> se </w:t>
      </w:r>
      <w:r w:rsidR="00B53368">
        <w:rPr>
          <w:rFonts w:cs="Times New Roman"/>
        </w:rPr>
        <w:t>týká</w:t>
      </w:r>
      <w:r>
        <w:rPr>
          <w:rFonts w:cs="Times New Roman"/>
        </w:rPr>
        <w:t xml:space="preserve"> oprávnění odborové organizace zastupovat </w:t>
      </w:r>
      <w:r w:rsidR="00B53368">
        <w:rPr>
          <w:rFonts w:cs="Times New Roman"/>
        </w:rPr>
        <w:t xml:space="preserve">v občanském soudním řízení </w:t>
      </w:r>
      <w:r w:rsidR="00040BBA">
        <w:rPr>
          <w:rFonts w:cs="Times New Roman"/>
        </w:rPr>
        <w:t>na základě plné moci</w:t>
      </w:r>
      <w:r w:rsidR="00B53368">
        <w:rPr>
          <w:rFonts w:cs="Times New Roman"/>
        </w:rPr>
        <w:t xml:space="preserve"> účastníky řízení, jež jsou jejími</w:t>
      </w:r>
      <w:r w:rsidR="004F5704">
        <w:rPr>
          <w:rFonts w:cs="Times New Roman"/>
        </w:rPr>
        <w:t xml:space="preserve"> členy</w:t>
      </w:r>
      <w:r>
        <w:rPr>
          <w:rFonts w:cs="Times New Roman"/>
        </w:rPr>
        <w:t>.</w:t>
      </w:r>
      <w:r w:rsidR="00AD71A1">
        <w:rPr>
          <w:rFonts w:cs="Times New Roman"/>
        </w:rPr>
        <w:t xml:space="preserve"> </w:t>
      </w:r>
      <w:r w:rsidR="00E71978">
        <w:rPr>
          <w:rFonts w:cs="Times New Roman"/>
        </w:rPr>
        <w:t>NS v tomto případě</w:t>
      </w:r>
      <w:r w:rsidR="00AD71A1">
        <w:rPr>
          <w:rFonts w:cs="Times New Roman"/>
        </w:rPr>
        <w:t xml:space="preserve"> Listinu EU</w:t>
      </w:r>
      <w:r w:rsidR="00E71978">
        <w:rPr>
          <w:rFonts w:cs="Times New Roman"/>
        </w:rPr>
        <w:t xml:space="preserve"> zmínil pouze obecně v souvislosti s </w:t>
      </w:r>
      <w:r w:rsidR="00AD71A1">
        <w:rPr>
          <w:rFonts w:cs="Times New Roman"/>
        </w:rPr>
        <w:t>prameny upravujícími právní postavení odborových organizací, přičemž</w:t>
      </w:r>
      <w:r w:rsidR="004F5704">
        <w:rPr>
          <w:rFonts w:cs="Times New Roman"/>
        </w:rPr>
        <w:t xml:space="preserve"> odkazem na čl. 51 a násl. Listiny EU</w:t>
      </w:r>
      <w:r w:rsidR="00AD71A1">
        <w:rPr>
          <w:rFonts w:cs="Times New Roman"/>
        </w:rPr>
        <w:t xml:space="preserve"> </w:t>
      </w:r>
      <w:r w:rsidR="00E71978">
        <w:rPr>
          <w:rFonts w:cs="Times New Roman"/>
        </w:rPr>
        <w:t xml:space="preserve">zdůraznil, že její relevance v uvedeném výčtu nabírá na významu pouze </w:t>
      </w:r>
      <w:r w:rsidR="004F5704">
        <w:rPr>
          <w:rFonts w:cs="Times New Roman"/>
        </w:rPr>
        <w:t>za předpokladu, že jsou splněny</w:t>
      </w:r>
      <w:r w:rsidR="00E71978">
        <w:rPr>
          <w:rFonts w:cs="Times New Roman"/>
        </w:rPr>
        <w:t xml:space="preserve"> podmínk</w:t>
      </w:r>
      <w:r w:rsidR="004F5704">
        <w:rPr>
          <w:rFonts w:cs="Times New Roman"/>
        </w:rPr>
        <w:t>y</w:t>
      </w:r>
      <w:r w:rsidR="00E71978">
        <w:rPr>
          <w:rFonts w:cs="Times New Roman"/>
        </w:rPr>
        <w:t xml:space="preserve"> pro její použití</w:t>
      </w:r>
      <w:r w:rsidR="004F5704">
        <w:rPr>
          <w:rFonts w:cs="Times New Roman"/>
        </w:rPr>
        <w:t>. Z</w:t>
      </w:r>
      <w:r w:rsidR="00B53368">
        <w:rPr>
          <w:rFonts w:cs="Times New Roman"/>
        </w:rPr>
        <w:t xml:space="preserve"> </w:t>
      </w:r>
      <w:r w:rsidR="004F5704">
        <w:rPr>
          <w:rFonts w:cs="Times New Roman"/>
        </w:rPr>
        <w:t xml:space="preserve">hlediska </w:t>
      </w:r>
      <w:r w:rsidR="00B53368">
        <w:rPr>
          <w:rFonts w:cs="Times New Roman"/>
        </w:rPr>
        <w:t xml:space="preserve">právní otázky, kterou </w:t>
      </w:r>
      <w:r w:rsidR="004F5704">
        <w:rPr>
          <w:rFonts w:cs="Times New Roman"/>
        </w:rPr>
        <w:t>se citované stanovisko zabývalo, byl však odkaz na Listinu EU</w:t>
      </w:r>
      <w:r w:rsidR="00B53368">
        <w:rPr>
          <w:rFonts w:cs="Times New Roman"/>
        </w:rPr>
        <w:t xml:space="preserve"> v </w:t>
      </w:r>
      <w:r w:rsidR="004F5704">
        <w:rPr>
          <w:rFonts w:cs="Times New Roman"/>
        </w:rPr>
        <w:t>podstatě bezpředmětný, neboť se nejednalo o oblast</w:t>
      </w:r>
      <w:r w:rsidR="00133C38">
        <w:rPr>
          <w:rFonts w:cs="Times New Roman"/>
        </w:rPr>
        <w:t>, která by věcně spadala do rozsahu</w:t>
      </w:r>
      <w:r w:rsidR="004F5704">
        <w:rPr>
          <w:rFonts w:cs="Times New Roman"/>
        </w:rPr>
        <w:t xml:space="preserve"> působnosti unijního práva.</w:t>
      </w:r>
      <w:r w:rsidR="004F5704">
        <w:rPr>
          <w:rStyle w:val="Znakapoznpodarou"/>
          <w:rFonts w:cs="Times New Roman"/>
        </w:rPr>
        <w:footnoteReference w:id="150"/>
      </w:r>
    </w:p>
    <w:p w:rsidR="004F5704" w:rsidRPr="00225580" w:rsidRDefault="004F5704" w:rsidP="00225580">
      <w:pPr>
        <w:ind w:firstLine="360"/>
        <w:rPr>
          <w:rFonts w:cs="Times New Roman"/>
        </w:rPr>
      </w:pPr>
      <w:r>
        <w:rPr>
          <w:rFonts w:cs="Times New Roman"/>
        </w:rPr>
        <w:t>Za</w:t>
      </w:r>
      <w:r w:rsidR="00133C38">
        <w:rPr>
          <w:rFonts w:cs="Times New Roman"/>
        </w:rPr>
        <w:t xml:space="preserve"> dosud jediný</w:t>
      </w:r>
      <w:r>
        <w:rPr>
          <w:rFonts w:cs="Times New Roman"/>
        </w:rPr>
        <w:t xml:space="preserve"> </w:t>
      </w:r>
      <w:r w:rsidR="00133C38">
        <w:rPr>
          <w:rFonts w:cs="Times New Roman"/>
        </w:rPr>
        <w:t>plnohodnotný případ aplikace</w:t>
      </w:r>
      <w:r w:rsidR="00A56F95">
        <w:rPr>
          <w:rFonts w:cs="Times New Roman"/>
        </w:rPr>
        <w:t xml:space="preserve"> Listiny základních práv EU</w:t>
      </w:r>
      <w:r w:rsidR="003237B9">
        <w:rPr>
          <w:rFonts w:cs="Times New Roman"/>
        </w:rPr>
        <w:t xml:space="preserve"> </w:t>
      </w:r>
      <w:r w:rsidR="00133C38">
        <w:rPr>
          <w:rFonts w:cs="Times New Roman"/>
        </w:rPr>
        <w:t>Nejvyšším soudem</w:t>
      </w:r>
      <w:r w:rsidR="00A56F95">
        <w:rPr>
          <w:rFonts w:cs="Times New Roman"/>
        </w:rPr>
        <w:t xml:space="preserve"> tak lze </w:t>
      </w:r>
      <w:r w:rsidR="003237B9">
        <w:rPr>
          <w:rFonts w:cs="Times New Roman"/>
        </w:rPr>
        <w:t xml:space="preserve">nejspíš </w:t>
      </w:r>
      <w:r w:rsidR="00A56F95">
        <w:rPr>
          <w:rFonts w:cs="Times New Roman"/>
        </w:rPr>
        <w:t xml:space="preserve">považovat již shora </w:t>
      </w:r>
      <w:r w:rsidR="003F7E67">
        <w:rPr>
          <w:rFonts w:cs="Times New Roman"/>
        </w:rPr>
        <w:t>citované rozhodnutí týkající se náhrady</w:t>
      </w:r>
      <w:r w:rsidR="00A56F95">
        <w:rPr>
          <w:rFonts w:cs="Times New Roman"/>
        </w:rPr>
        <w:t xml:space="preserve"> škod</w:t>
      </w:r>
      <w:r w:rsidR="002F65C6">
        <w:rPr>
          <w:rFonts w:cs="Times New Roman"/>
        </w:rPr>
        <w:t>y</w:t>
      </w:r>
      <w:r w:rsidR="00A56F95">
        <w:rPr>
          <w:rFonts w:cs="Times New Roman"/>
        </w:rPr>
        <w:t xml:space="preserve"> způsobené</w:t>
      </w:r>
      <w:r w:rsidR="003F7E67">
        <w:rPr>
          <w:rFonts w:cs="Times New Roman"/>
        </w:rPr>
        <w:t xml:space="preserve"> společnosti </w:t>
      </w:r>
      <w:proofErr w:type="spellStart"/>
      <w:r w:rsidR="003F7E67">
        <w:rPr>
          <w:rFonts w:cs="Times New Roman"/>
        </w:rPr>
        <w:t>Skoma</w:t>
      </w:r>
      <w:proofErr w:type="spellEnd"/>
      <w:r w:rsidR="003F7E67">
        <w:rPr>
          <w:rFonts w:cs="Times New Roman"/>
        </w:rPr>
        <w:t>-Lux, s. r. o</w:t>
      </w:r>
      <w:r w:rsidR="002F65C6">
        <w:rPr>
          <w:rFonts w:cs="Times New Roman"/>
        </w:rPr>
        <w:t>.</w:t>
      </w:r>
      <w:r w:rsidR="003F7E67">
        <w:rPr>
          <w:rFonts w:cs="Times New Roman"/>
        </w:rPr>
        <w:t xml:space="preserve"> porušením unijního práva. </w:t>
      </w:r>
      <w:r w:rsidR="00551DE4">
        <w:rPr>
          <w:rFonts w:cs="Times New Roman"/>
        </w:rPr>
        <w:t xml:space="preserve">Jelikož </w:t>
      </w:r>
      <w:r w:rsidR="003F7E67">
        <w:rPr>
          <w:rFonts w:cs="Times New Roman"/>
        </w:rPr>
        <w:t xml:space="preserve">SDEU ve věci </w:t>
      </w:r>
      <w:proofErr w:type="spellStart"/>
      <w:r w:rsidR="003F7E67" w:rsidRPr="003F7E67">
        <w:rPr>
          <w:rFonts w:cs="Times New Roman"/>
          <w:i/>
        </w:rPr>
        <w:t>Skoma</w:t>
      </w:r>
      <w:proofErr w:type="spellEnd"/>
      <w:r w:rsidR="003F7E67" w:rsidRPr="003F7E67">
        <w:rPr>
          <w:rFonts w:cs="Times New Roman"/>
          <w:i/>
        </w:rPr>
        <w:t>-Lux I.</w:t>
      </w:r>
      <w:r w:rsidR="003F7E67">
        <w:rPr>
          <w:rFonts w:cs="Times New Roman"/>
        </w:rPr>
        <w:t xml:space="preserve"> podmínil prolomení zásady </w:t>
      </w:r>
      <w:proofErr w:type="spellStart"/>
      <w:r w:rsidR="003F7E67" w:rsidRPr="003F7E67">
        <w:rPr>
          <w:rFonts w:cs="Times New Roman"/>
          <w:i/>
        </w:rPr>
        <w:t>rei</w:t>
      </w:r>
      <w:proofErr w:type="spellEnd"/>
      <w:r w:rsidR="003F7E67" w:rsidRPr="003F7E67">
        <w:rPr>
          <w:rFonts w:cs="Times New Roman"/>
          <w:i/>
        </w:rPr>
        <w:t xml:space="preserve"> </w:t>
      </w:r>
      <w:proofErr w:type="spellStart"/>
      <w:r w:rsidR="003F7E67" w:rsidRPr="003F7E67">
        <w:rPr>
          <w:rFonts w:cs="Times New Roman"/>
          <w:i/>
        </w:rPr>
        <w:t>iudicat</w:t>
      </w:r>
      <w:r w:rsidR="003F7E67">
        <w:rPr>
          <w:rFonts w:cs="Times New Roman"/>
          <w:i/>
        </w:rPr>
        <w:t>a</w:t>
      </w:r>
      <w:r w:rsidR="003F7E67" w:rsidRPr="003F7E67">
        <w:rPr>
          <w:rFonts w:cs="Times New Roman"/>
          <w:i/>
        </w:rPr>
        <w:t>e</w:t>
      </w:r>
      <w:proofErr w:type="spellEnd"/>
      <w:r w:rsidR="003F7E67">
        <w:rPr>
          <w:rFonts w:cs="Times New Roman"/>
        </w:rPr>
        <w:t xml:space="preserve"> </w:t>
      </w:r>
      <w:r w:rsidR="001602C8">
        <w:rPr>
          <w:rFonts w:cs="Times New Roman"/>
        </w:rPr>
        <w:t>existencí výjimečných okolností,</w:t>
      </w:r>
      <w:r w:rsidR="002F65C6">
        <w:rPr>
          <w:rFonts w:cs="Times New Roman"/>
        </w:rPr>
        <w:t xml:space="preserve"> </w:t>
      </w:r>
      <w:r w:rsidR="001602C8">
        <w:rPr>
          <w:rFonts w:cs="Times New Roman"/>
        </w:rPr>
        <w:t>spočívajících</w:t>
      </w:r>
      <w:r w:rsidR="003F7E67">
        <w:rPr>
          <w:rFonts w:cs="Times New Roman"/>
        </w:rPr>
        <w:t xml:space="preserve"> zejména</w:t>
      </w:r>
      <w:r w:rsidR="00040BBA">
        <w:rPr>
          <w:rFonts w:cs="Times New Roman"/>
        </w:rPr>
        <w:t xml:space="preserve"> v </w:t>
      </w:r>
      <w:r w:rsidR="003F7E67">
        <w:rPr>
          <w:rFonts w:cs="Times New Roman"/>
        </w:rPr>
        <w:t>opatření</w:t>
      </w:r>
      <w:r w:rsidR="002F65C6">
        <w:rPr>
          <w:rFonts w:cs="Times New Roman"/>
        </w:rPr>
        <w:t>ch</w:t>
      </w:r>
      <w:r w:rsidR="003F7E67">
        <w:rPr>
          <w:rFonts w:cs="Times New Roman"/>
        </w:rPr>
        <w:t xml:space="preserve"> nebo</w:t>
      </w:r>
      <w:r w:rsidR="002F65C6">
        <w:rPr>
          <w:rFonts w:cs="Times New Roman"/>
        </w:rPr>
        <w:t xml:space="preserve"> </w:t>
      </w:r>
      <w:r w:rsidR="003F7E67">
        <w:rPr>
          <w:rFonts w:cs="Times New Roman"/>
        </w:rPr>
        <w:t>rozhodnutí</w:t>
      </w:r>
      <w:r w:rsidR="002F65C6">
        <w:rPr>
          <w:rFonts w:cs="Times New Roman"/>
        </w:rPr>
        <w:t>ch</w:t>
      </w:r>
      <w:r w:rsidR="003F7E67">
        <w:rPr>
          <w:rFonts w:cs="Times New Roman"/>
        </w:rPr>
        <w:t xml:space="preserve"> represivní povahy, </w:t>
      </w:r>
      <w:r w:rsidR="001602C8">
        <w:rPr>
          <w:rFonts w:cs="Times New Roman"/>
        </w:rPr>
        <w:t>která</w:t>
      </w:r>
      <w:r w:rsidR="003F7E67">
        <w:rPr>
          <w:rFonts w:cs="Times New Roman"/>
        </w:rPr>
        <w:t xml:space="preserve"> by zasahovala do základních práv</w:t>
      </w:r>
      <w:r w:rsidR="00551DE4">
        <w:rPr>
          <w:rFonts w:cs="Times New Roman"/>
        </w:rPr>
        <w:t xml:space="preserve"> jednotlivce, Nejvyšší soud se proto musel vypořádat</w:t>
      </w:r>
      <w:r w:rsidR="00040BBA">
        <w:rPr>
          <w:rFonts w:cs="Times New Roman"/>
        </w:rPr>
        <w:t xml:space="preserve"> s </w:t>
      </w:r>
      <w:r w:rsidR="002F65C6">
        <w:rPr>
          <w:rFonts w:cs="Times New Roman"/>
        </w:rPr>
        <w:t xml:space="preserve">otázkou, zda </w:t>
      </w:r>
      <w:r w:rsidR="00551DE4">
        <w:rPr>
          <w:rFonts w:cs="Times New Roman"/>
        </w:rPr>
        <w:t>se v projednávané</w:t>
      </w:r>
      <w:r w:rsidR="002F65C6">
        <w:rPr>
          <w:rFonts w:cs="Times New Roman"/>
        </w:rPr>
        <w:t xml:space="preserve"> </w:t>
      </w:r>
      <w:r w:rsidR="00551DE4">
        <w:rPr>
          <w:rFonts w:cs="Times New Roman"/>
        </w:rPr>
        <w:t>věci</w:t>
      </w:r>
      <w:r w:rsidR="002F65C6">
        <w:rPr>
          <w:rFonts w:cs="Times New Roman"/>
        </w:rPr>
        <w:t xml:space="preserve"> </w:t>
      </w:r>
      <w:r w:rsidR="00551DE4">
        <w:rPr>
          <w:rFonts w:cs="Times New Roman"/>
        </w:rPr>
        <w:t>o takový případ jedná</w:t>
      </w:r>
      <w:r w:rsidR="002F65C6">
        <w:rPr>
          <w:rFonts w:cs="Times New Roman"/>
        </w:rPr>
        <w:t xml:space="preserve">. </w:t>
      </w:r>
      <w:r w:rsidR="00051B76">
        <w:rPr>
          <w:rFonts w:cs="Times New Roman"/>
        </w:rPr>
        <w:t xml:space="preserve">Dospěl přitom k závěru, že </w:t>
      </w:r>
      <w:r w:rsidR="00051B76" w:rsidRPr="00051B76">
        <w:rPr>
          <w:rFonts w:cs="Times New Roman"/>
          <w:i/>
        </w:rPr>
        <w:t>„[č]</w:t>
      </w:r>
      <w:proofErr w:type="spellStart"/>
      <w:r w:rsidR="00051B76" w:rsidRPr="00051B76">
        <w:rPr>
          <w:rFonts w:cs="Times New Roman"/>
          <w:i/>
        </w:rPr>
        <w:t>ástka</w:t>
      </w:r>
      <w:proofErr w:type="spellEnd"/>
      <w:r w:rsidR="00051B76" w:rsidRPr="00051B76">
        <w:rPr>
          <w:rFonts w:cs="Times New Roman"/>
          <w:i/>
        </w:rPr>
        <w:t>, o níž se jedná, není sice zanedbatelná, ale zároveň nedosahuje mimoř</w:t>
      </w:r>
      <w:r w:rsidR="00040BBA">
        <w:rPr>
          <w:rFonts w:cs="Times New Roman"/>
          <w:i/>
        </w:rPr>
        <w:t>ádné výše. Nepředstavuje tedy z </w:t>
      </w:r>
      <w:r w:rsidR="00051B76" w:rsidRPr="00051B76">
        <w:rPr>
          <w:rFonts w:cs="Times New Roman"/>
          <w:i/>
        </w:rPr>
        <w:t xml:space="preserve">hlediska zásahu do základních práv </w:t>
      </w:r>
      <w:r w:rsidR="00225580">
        <w:rPr>
          <w:rFonts w:cs="Times New Roman"/>
          <w:i/>
        </w:rPr>
        <w:t>žalobce</w:t>
      </w:r>
      <w:r w:rsidR="00051B76" w:rsidRPr="00051B76">
        <w:rPr>
          <w:rFonts w:cs="Times New Roman"/>
          <w:i/>
        </w:rPr>
        <w:t xml:space="preserve"> zatížení takové intenzity, které by bylo porušením (nepřímým) článku 17 Listiny základních práv Evropské unie o právu na vlastnictví</w:t>
      </w:r>
      <w:r w:rsidR="00051B76">
        <w:rPr>
          <w:rFonts w:cs="Times New Roman"/>
          <w:i/>
        </w:rPr>
        <w:t>.“</w:t>
      </w:r>
      <w:r w:rsidR="00051B76">
        <w:rPr>
          <w:rStyle w:val="Znakapoznpodarou"/>
          <w:rFonts w:cs="Times New Roman"/>
        </w:rPr>
        <w:footnoteReference w:id="151"/>
      </w:r>
      <w:r w:rsidR="00225580">
        <w:rPr>
          <w:rFonts w:cs="Times New Roman"/>
        </w:rPr>
        <w:t xml:space="preserve"> V této souvislosti není</w:t>
      </w:r>
      <w:r w:rsidR="00776AB5">
        <w:rPr>
          <w:rFonts w:cs="Times New Roman"/>
        </w:rPr>
        <w:t xml:space="preserve"> zcela</w:t>
      </w:r>
      <w:r w:rsidR="00225580">
        <w:rPr>
          <w:rFonts w:cs="Times New Roman"/>
        </w:rPr>
        <w:t xml:space="preserve"> zřejmé, co </w:t>
      </w:r>
      <w:r w:rsidR="00776AB5">
        <w:rPr>
          <w:rFonts w:cs="Times New Roman"/>
        </w:rPr>
        <w:t>měl Nejvyšší soud na mysli</w:t>
      </w:r>
      <w:r w:rsidR="008334B1">
        <w:rPr>
          <w:rFonts w:cs="Times New Roman"/>
        </w:rPr>
        <w:t xml:space="preserve"> poukazem na „nepřímé“ porušení</w:t>
      </w:r>
      <w:r w:rsidR="001F5E42">
        <w:rPr>
          <w:rFonts w:cs="Times New Roman"/>
        </w:rPr>
        <w:t xml:space="preserve"> Listiny EU, p</w:t>
      </w:r>
      <w:r w:rsidR="00776AB5">
        <w:rPr>
          <w:rFonts w:cs="Times New Roman"/>
        </w:rPr>
        <w:t>ravděpodobně však skutečnost, že nebylo</w:t>
      </w:r>
      <w:r w:rsidR="00225580">
        <w:rPr>
          <w:rFonts w:cs="Times New Roman"/>
        </w:rPr>
        <w:t xml:space="preserve"> </w:t>
      </w:r>
      <w:r w:rsidR="001F5E42">
        <w:rPr>
          <w:rFonts w:cs="Times New Roman"/>
        </w:rPr>
        <w:t xml:space="preserve">úmyslem státu </w:t>
      </w:r>
      <w:r w:rsidR="001F5E42">
        <w:rPr>
          <w:rFonts w:cs="Times New Roman"/>
        </w:rPr>
        <w:lastRenderedPageBreak/>
        <w:t xml:space="preserve">připravit jednotlivce </w:t>
      </w:r>
      <w:r w:rsidR="00776AB5">
        <w:rPr>
          <w:rFonts w:cs="Times New Roman"/>
        </w:rPr>
        <w:t>o jeho základní právo</w:t>
      </w:r>
      <w:r w:rsidR="001F5E42">
        <w:rPr>
          <w:rFonts w:cs="Times New Roman"/>
        </w:rPr>
        <w:t>.</w:t>
      </w:r>
      <w:r w:rsidR="00776AB5">
        <w:rPr>
          <w:rFonts w:cs="Times New Roman"/>
        </w:rPr>
        <w:t xml:space="preserve"> </w:t>
      </w:r>
      <w:r w:rsidR="00225580">
        <w:rPr>
          <w:rFonts w:cs="Times New Roman"/>
        </w:rPr>
        <w:t xml:space="preserve">Nejvyšší soud v každém případě uzavřel, že </w:t>
      </w:r>
      <w:r w:rsidR="001F5E42">
        <w:rPr>
          <w:rFonts w:cs="Times New Roman"/>
        </w:rPr>
        <w:t>zjištěný skutkový stav</w:t>
      </w:r>
      <w:r w:rsidR="00B10069">
        <w:rPr>
          <w:rFonts w:cs="Times New Roman"/>
        </w:rPr>
        <w:t> </w:t>
      </w:r>
      <w:r w:rsidR="00DB6C09" w:rsidRPr="00225580">
        <w:rPr>
          <w:rFonts w:cs="Times New Roman"/>
        </w:rPr>
        <w:t>této věci</w:t>
      </w:r>
      <w:r w:rsidR="00DB6C09">
        <w:rPr>
          <w:rFonts w:cs="Times New Roman"/>
        </w:rPr>
        <w:t xml:space="preserve"> </w:t>
      </w:r>
      <w:r w:rsidR="00225580" w:rsidRPr="00225580">
        <w:rPr>
          <w:rFonts w:cs="Times New Roman"/>
        </w:rPr>
        <w:t xml:space="preserve">nezakládá oprávnění </w:t>
      </w:r>
      <w:r w:rsidR="00225580">
        <w:rPr>
          <w:rFonts w:cs="Times New Roman"/>
        </w:rPr>
        <w:t>shora popsanou</w:t>
      </w:r>
      <w:r w:rsidR="00225580" w:rsidRPr="00225580">
        <w:rPr>
          <w:rFonts w:cs="Times New Roman"/>
        </w:rPr>
        <w:t xml:space="preserve"> výjimku aplikovat</w:t>
      </w:r>
      <w:r w:rsidR="00225580">
        <w:rPr>
          <w:rFonts w:cs="Times New Roman"/>
        </w:rPr>
        <w:t>.</w:t>
      </w:r>
    </w:p>
    <w:p w:rsidR="00E71978" w:rsidRDefault="00E71978" w:rsidP="00E71978">
      <w:pPr>
        <w:ind w:firstLine="360"/>
        <w:rPr>
          <w:rFonts w:cs="Times New Roman"/>
        </w:rPr>
      </w:pPr>
    </w:p>
    <w:p w:rsidR="001B541A" w:rsidRPr="008510D1" w:rsidRDefault="001B541A" w:rsidP="008510D1">
      <w:pPr>
        <w:pStyle w:val="Odstavecseseznamem"/>
        <w:numPr>
          <w:ilvl w:val="0"/>
          <w:numId w:val="2"/>
        </w:numPr>
        <w:rPr>
          <w:rFonts w:cs="Times New Roman"/>
          <w:b/>
        </w:rPr>
      </w:pPr>
      <w:r>
        <w:rPr>
          <w:rFonts w:cs="Times New Roman"/>
          <w:b/>
        </w:rPr>
        <w:t>Závěr</w:t>
      </w:r>
    </w:p>
    <w:p w:rsidR="009C7A5D" w:rsidRDefault="009C7A5D" w:rsidP="008510D1">
      <w:pPr>
        <w:ind w:firstLine="357"/>
        <w:rPr>
          <w:rFonts w:cs="Times New Roman"/>
        </w:rPr>
      </w:pPr>
    </w:p>
    <w:p w:rsidR="002B34F3" w:rsidRDefault="002B34F3" w:rsidP="008510D1">
      <w:pPr>
        <w:ind w:firstLine="357"/>
        <w:rPr>
          <w:rFonts w:cs="Times New Roman"/>
        </w:rPr>
      </w:pPr>
    </w:p>
    <w:p w:rsidR="009264EF" w:rsidRDefault="00290F7E" w:rsidP="008510D1">
      <w:pPr>
        <w:ind w:firstLine="357"/>
        <w:rPr>
          <w:rFonts w:cs="Times New Roman"/>
          <w:b/>
        </w:rPr>
      </w:pPr>
      <w:r>
        <w:rPr>
          <w:rFonts w:cs="Times New Roman"/>
          <w:b/>
        </w:rPr>
        <w:t>Použité z</w:t>
      </w:r>
      <w:r w:rsidR="00C13814" w:rsidRPr="00C13814">
        <w:rPr>
          <w:rFonts w:cs="Times New Roman"/>
          <w:b/>
        </w:rPr>
        <w:t>kratky:</w:t>
      </w:r>
    </w:p>
    <w:p w:rsidR="00290F7E" w:rsidRPr="00C13814" w:rsidRDefault="00290F7E" w:rsidP="008510D1">
      <w:pPr>
        <w:ind w:firstLine="357"/>
        <w:rPr>
          <w:rFonts w:cs="Times New Roman"/>
          <w:b/>
        </w:rPr>
      </w:pPr>
    </w:p>
    <w:p w:rsidR="00C13814" w:rsidRDefault="00C13814" w:rsidP="008510D1">
      <w:pPr>
        <w:ind w:firstLine="357"/>
        <w:rPr>
          <w:rFonts w:cs="Times New Roman"/>
        </w:rPr>
      </w:pPr>
      <w:r>
        <w:rPr>
          <w:rFonts w:cs="Times New Roman"/>
        </w:rPr>
        <w:t xml:space="preserve">NS </w:t>
      </w:r>
      <w:r>
        <w:rPr>
          <w:rFonts w:cs="Times New Roman"/>
        </w:rPr>
        <w:tab/>
      </w:r>
      <w:r>
        <w:rPr>
          <w:rFonts w:cs="Times New Roman"/>
        </w:rPr>
        <w:tab/>
        <w:t>Nejvyšší soud</w:t>
      </w:r>
    </w:p>
    <w:p w:rsidR="00C13814" w:rsidRDefault="00C13814" w:rsidP="008510D1">
      <w:pPr>
        <w:ind w:firstLine="357"/>
        <w:rPr>
          <w:rFonts w:cs="Times New Roman"/>
        </w:rPr>
      </w:pPr>
      <w:r>
        <w:rPr>
          <w:rFonts w:cs="Times New Roman"/>
        </w:rPr>
        <w:t>NSS</w:t>
      </w:r>
      <w:r>
        <w:rPr>
          <w:rFonts w:cs="Times New Roman"/>
        </w:rPr>
        <w:tab/>
      </w:r>
      <w:r>
        <w:rPr>
          <w:rFonts w:cs="Times New Roman"/>
        </w:rPr>
        <w:tab/>
        <w:t>Nejvyšší správní soud</w:t>
      </w:r>
    </w:p>
    <w:p w:rsidR="00C13814" w:rsidRDefault="00C13814" w:rsidP="008510D1">
      <w:pPr>
        <w:ind w:firstLine="357"/>
        <w:rPr>
          <w:rFonts w:cs="Times New Roman"/>
        </w:rPr>
      </w:pPr>
      <w:r>
        <w:rPr>
          <w:rFonts w:cs="Times New Roman"/>
        </w:rPr>
        <w:t>SDEU</w:t>
      </w:r>
      <w:r>
        <w:rPr>
          <w:rFonts w:cs="Times New Roman"/>
        </w:rPr>
        <w:tab/>
      </w:r>
      <w:r>
        <w:rPr>
          <w:rFonts w:cs="Times New Roman"/>
        </w:rPr>
        <w:tab/>
        <w:t>Soudní dvůr Evropské unie</w:t>
      </w:r>
    </w:p>
    <w:p w:rsidR="00C13814" w:rsidRDefault="00C13814" w:rsidP="00DA05B9">
      <w:pPr>
        <w:tabs>
          <w:tab w:val="left" w:pos="708"/>
          <w:tab w:val="left" w:pos="1416"/>
          <w:tab w:val="left" w:pos="2124"/>
          <w:tab w:val="left" w:pos="2832"/>
          <w:tab w:val="left" w:pos="3540"/>
          <w:tab w:val="left" w:pos="4248"/>
          <w:tab w:val="left" w:pos="6720"/>
        </w:tabs>
        <w:ind w:firstLine="357"/>
        <w:rPr>
          <w:rFonts w:cs="Times New Roman"/>
        </w:rPr>
      </w:pPr>
      <w:r>
        <w:rPr>
          <w:rFonts w:cs="Times New Roman"/>
        </w:rPr>
        <w:t>SEU</w:t>
      </w:r>
      <w:r>
        <w:rPr>
          <w:rFonts w:cs="Times New Roman"/>
        </w:rPr>
        <w:tab/>
      </w:r>
      <w:r>
        <w:rPr>
          <w:rFonts w:cs="Times New Roman"/>
        </w:rPr>
        <w:tab/>
        <w:t>Smlouva o Evropské unii</w:t>
      </w:r>
      <w:r w:rsidR="00DA05B9">
        <w:rPr>
          <w:rFonts w:cs="Times New Roman"/>
        </w:rPr>
        <w:tab/>
      </w:r>
    </w:p>
    <w:p w:rsidR="00C13814" w:rsidRDefault="00C13814" w:rsidP="008510D1">
      <w:pPr>
        <w:ind w:firstLine="357"/>
        <w:rPr>
          <w:rFonts w:cs="Times New Roman"/>
        </w:rPr>
      </w:pPr>
      <w:r>
        <w:rPr>
          <w:rFonts w:cs="Times New Roman"/>
        </w:rPr>
        <w:t>SFEU</w:t>
      </w:r>
      <w:r>
        <w:rPr>
          <w:rFonts w:cs="Times New Roman"/>
        </w:rPr>
        <w:tab/>
      </w:r>
      <w:r>
        <w:rPr>
          <w:rFonts w:cs="Times New Roman"/>
        </w:rPr>
        <w:tab/>
        <w:t>Smlouva o fungování Evropské unie</w:t>
      </w:r>
    </w:p>
    <w:p w:rsidR="00EC3A6D" w:rsidRDefault="00EC3A6D" w:rsidP="008510D1">
      <w:pPr>
        <w:ind w:firstLine="357"/>
        <w:rPr>
          <w:rFonts w:cs="Times New Roman"/>
        </w:rPr>
      </w:pPr>
      <w:r>
        <w:t xml:space="preserve">SZIF </w:t>
      </w:r>
      <w:r>
        <w:tab/>
      </w:r>
      <w:r>
        <w:tab/>
        <w:t>Státní</w:t>
      </w:r>
      <w:r w:rsidRPr="000C0FB1">
        <w:t xml:space="preserve"> </w:t>
      </w:r>
      <w:r>
        <w:t>zemědělský intervenční fond</w:t>
      </w:r>
    </w:p>
    <w:p w:rsidR="00C13814" w:rsidRDefault="00C13814" w:rsidP="008510D1">
      <w:pPr>
        <w:ind w:firstLine="357"/>
        <w:rPr>
          <w:rFonts w:cs="Times New Roman"/>
        </w:rPr>
      </w:pPr>
      <w:r w:rsidRPr="00290F7E">
        <w:rPr>
          <w:rFonts w:cs="Times New Roman"/>
        </w:rPr>
        <w:t>ÚS</w:t>
      </w:r>
      <w:r w:rsidRPr="00290F7E">
        <w:rPr>
          <w:rFonts w:cs="Times New Roman"/>
        </w:rPr>
        <w:tab/>
      </w:r>
      <w:r w:rsidRPr="00290F7E">
        <w:rPr>
          <w:rFonts w:cs="Times New Roman"/>
        </w:rPr>
        <w:tab/>
      </w:r>
      <w:r w:rsidRPr="00290F7E">
        <w:rPr>
          <w:rFonts w:cs="Times New Roman"/>
        </w:rPr>
        <w:tab/>
        <w:t>Ústavní soud</w:t>
      </w:r>
    </w:p>
    <w:p w:rsidR="00C13814" w:rsidRDefault="00C13814" w:rsidP="008510D1">
      <w:pPr>
        <w:ind w:firstLine="357"/>
        <w:rPr>
          <w:rFonts w:cs="Times New Roman"/>
        </w:rPr>
      </w:pPr>
    </w:p>
    <w:sectPr w:rsidR="00C13814" w:rsidSect="00AC59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5F" w:rsidRDefault="00106B5F" w:rsidP="00B1019D">
      <w:pPr>
        <w:spacing w:line="240" w:lineRule="auto"/>
      </w:pPr>
      <w:r>
        <w:separator/>
      </w:r>
    </w:p>
  </w:endnote>
  <w:endnote w:type="continuationSeparator" w:id="0">
    <w:p w:rsidR="00106B5F" w:rsidRDefault="00106B5F" w:rsidP="00B10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6509"/>
      <w:docPartObj>
        <w:docPartGallery w:val="Page Numbers (Bottom of Page)"/>
        <w:docPartUnique/>
      </w:docPartObj>
    </w:sdtPr>
    <w:sdtEndPr/>
    <w:sdtContent>
      <w:p w:rsidR="00B53753" w:rsidRDefault="00B53753" w:rsidP="004E74C3">
        <w:pPr>
          <w:pStyle w:val="Zpat"/>
          <w:ind w:firstLine="0"/>
          <w:jc w:val="center"/>
        </w:pPr>
        <w:r w:rsidRPr="00E27878">
          <w:rPr>
            <w:rFonts w:cs="Times New Roman"/>
            <w:sz w:val="20"/>
            <w:szCs w:val="20"/>
          </w:rPr>
          <w:fldChar w:fldCharType="begin"/>
        </w:r>
        <w:r w:rsidRPr="00E27878">
          <w:rPr>
            <w:rFonts w:cs="Times New Roman"/>
            <w:sz w:val="20"/>
            <w:szCs w:val="20"/>
          </w:rPr>
          <w:instrText xml:space="preserve"> PAGE   \* MERGEFORMAT </w:instrText>
        </w:r>
        <w:r w:rsidRPr="00E27878">
          <w:rPr>
            <w:rFonts w:cs="Times New Roman"/>
            <w:sz w:val="20"/>
            <w:szCs w:val="20"/>
          </w:rPr>
          <w:fldChar w:fldCharType="separate"/>
        </w:r>
        <w:r w:rsidR="00895EC5">
          <w:rPr>
            <w:rFonts w:cs="Times New Roman"/>
            <w:noProof/>
            <w:sz w:val="20"/>
            <w:szCs w:val="20"/>
          </w:rPr>
          <w:t>25</w:t>
        </w:r>
        <w:r w:rsidRPr="00E27878">
          <w:rPr>
            <w:rFonts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5F" w:rsidRDefault="00106B5F" w:rsidP="00B1019D">
      <w:pPr>
        <w:spacing w:line="240" w:lineRule="auto"/>
      </w:pPr>
      <w:r>
        <w:separator/>
      </w:r>
    </w:p>
  </w:footnote>
  <w:footnote w:type="continuationSeparator" w:id="0">
    <w:p w:rsidR="00106B5F" w:rsidRDefault="00106B5F" w:rsidP="00B1019D">
      <w:pPr>
        <w:spacing w:line="240" w:lineRule="auto"/>
      </w:pPr>
      <w:r>
        <w:continuationSeparator/>
      </w:r>
    </w:p>
  </w:footnote>
  <w:footnote w:id="1">
    <w:p w:rsidR="00B53753" w:rsidRPr="00195E51" w:rsidRDefault="00B53753" w:rsidP="004E74C3">
      <w:pPr>
        <w:pStyle w:val="Textpoznpodarou"/>
        <w:rPr>
          <w:rFonts w:cs="Times New Roman"/>
        </w:rPr>
      </w:pPr>
      <w:r w:rsidRPr="00195E51">
        <w:rPr>
          <w:rStyle w:val="Znakapoznpodarou"/>
          <w:rFonts w:cs="Times New Roman"/>
        </w:rPr>
        <w:footnoteRef/>
      </w:r>
      <w:r w:rsidRPr="00195E51">
        <w:rPr>
          <w:rFonts w:cs="Times New Roman"/>
        </w:rPr>
        <w:t xml:space="preserve"> Srov. § 14 odst. 1 a násl. zákona č. 6/2002 Sb., o soudech a soudcích.</w:t>
      </w:r>
    </w:p>
  </w:footnote>
  <w:footnote w:id="2">
    <w:p w:rsidR="00B53753" w:rsidRPr="00195E51" w:rsidRDefault="00B53753" w:rsidP="004E74C3">
      <w:pPr>
        <w:pStyle w:val="Textpoznpodarou"/>
        <w:rPr>
          <w:rFonts w:cs="Times New Roman"/>
        </w:rPr>
      </w:pPr>
      <w:r w:rsidRPr="00195E51">
        <w:rPr>
          <w:rStyle w:val="Znakapoznpodarou"/>
          <w:rFonts w:cs="Times New Roman"/>
        </w:rPr>
        <w:footnoteRef/>
      </w:r>
      <w:r w:rsidRPr="00195E51">
        <w:rPr>
          <w:rFonts w:cs="Times New Roman"/>
        </w:rPr>
        <w:t xml:space="preserve"> Srov. čl. 19 odst. 1 Smlouvy o Evropské unii (SEU) a čl. 267 Smlouvy o fungování Evropské unie (SFEU).</w:t>
      </w:r>
    </w:p>
  </w:footnote>
  <w:footnote w:id="3">
    <w:p w:rsidR="00B53753" w:rsidRPr="00195E51" w:rsidRDefault="00B53753" w:rsidP="00EB7BAD">
      <w:pPr>
        <w:pStyle w:val="Textpoznpodarou"/>
        <w:rPr>
          <w:rFonts w:cs="Times New Roman"/>
        </w:rPr>
      </w:pPr>
      <w:r w:rsidRPr="00195E51">
        <w:rPr>
          <w:rStyle w:val="Znakapoznpodarou"/>
          <w:rFonts w:cs="Times New Roman"/>
        </w:rPr>
        <w:footnoteRef/>
      </w:r>
      <w:r w:rsidRPr="00195E51">
        <w:rPr>
          <w:rFonts w:cs="Times New Roman"/>
        </w:rPr>
        <w:t xml:space="preserve"> K významu a roli judikatury v</w:t>
      </w:r>
      <w:r>
        <w:rPr>
          <w:rFonts w:cs="Times New Roman"/>
        </w:rPr>
        <w:t xml:space="preserve"> systémech</w:t>
      </w:r>
      <w:r w:rsidRPr="00195E51">
        <w:rPr>
          <w:rFonts w:cs="Times New Roman"/>
        </w:rPr>
        <w:t xml:space="preserve"> </w:t>
      </w:r>
      <w:proofErr w:type="spellStart"/>
      <w:r w:rsidRPr="00195E51">
        <w:rPr>
          <w:rFonts w:cs="Times New Roman"/>
        </w:rPr>
        <w:t>common</w:t>
      </w:r>
      <w:proofErr w:type="spellEnd"/>
      <w:r w:rsidRPr="00195E51">
        <w:rPr>
          <w:rFonts w:cs="Times New Roman"/>
        </w:rPr>
        <w:t xml:space="preserve"> </w:t>
      </w:r>
      <w:proofErr w:type="spellStart"/>
      <w:r w:rsidRPr="00195E51">
        <w:rPr>
          <w:rFonts w:cs="Times New Roman"/>
        </w:rPr>
        <w:t>law</w:t>
      </w:r>
      <w:proofErr w:type="spellEnd"/>
      <w:r w:rsidRPr="00195E51">
        <w:rPr>
          <w:rFonts w:cs="Times New Roman"/>
        </w:rPr>
        <w:t xml:space="preserve"> a na evropském kontinentu, včetně </w:t>
      </w:r>
      <w:r>
        <w:rPr>
          <w:rFonts w:cs="Times New Roman"/>
        </w:rPr>
        <w:t>České republiky</w:t>
      </w:r>
      <w:r w:rsidRPr="00195E51">
        <w:rPr>
          <w:rFonts w:cs="Times New Roman"/>
        </w:rPr>
        <w:t xml:space="preserve">, srov. Bobek, M., </w:t>
      </w:r>
      <w:proofErr w:type="spellStart"/>
      <w:proofErr w:type="gramStart"/>
      <w:r w:rsidRPr="00195E51">
        <w:rPr>
          <w:rFonts w:cs="Times New Roman"/>
        </w:rPr>
        <w:t>Kühn</w:t>
      </w:r>
      <w:proofErr w:type="spellEnd"/>
      <w:r w:rsidRPr="00195E51">
        <w:rPr>
          <w:rFonts w:cs="Times New Roman"/>
        </w:rPr>
        <w:t>, Z. a kol</w:t>
      </w:r>
      <w:proofErr w:type="gramEnd"/>
      <w:r w:rsidRPr="00195E51">
        <w:rPr>
          <w:rFonts w:cs="Times New Roman"/>
        </w:rPr>
        <w:t xml:space="preserve">. </w:t>
      </w:r>
      <w:r w:rsidRPr="00195E51">
        <w:rPr>
          <w:rFonts w:cs="Times New Roman"/>
          <w:i/>
        </w:rPr>
        <w:t>Judikatura a právní argumentace</w:t>
      </w:r>
      <w:r w:rsidRPr="00195E51">
        <w:rPr>
          <w:rFonts w:cs="Times New Roman"/>
        </w:rPr>
        <w:t>. 2. vyd. Praha: Auditorium</w:t>
      </w:r>
      <w:r>
        <w:rPr>
          <w:rFonts w:cs="Times New Roman"/>
        </w:rPr>
        <w:t>,</w:t>
      </w:r>
      <w:r w:rsidRPr="00195E51">
        <w:rPr>
          <w:rFonts w:cs="Times New Roman"/>
        </w:rPr>
        <w:t xml:space="preserve"> 2013.</w:t>
      </w:r>
    </w:p>
  </w:footnote>
  <w:footnote w:id="4">
    <w:p w:rsidR="00B53753" w:rsidRPr="00195E51" w:rsidRDefault="00B53753" w:rsidP="004E74C3">
      <w:pPr>
        <w:pStyle w:val="Textpoznpodarou"/>
        <w:rPr>
          <w:rFonts w:cs="Times New Roman"/>
        </w:rPr>
      </w:pPr>
      <w:r w:rsidRPr="00195E51">
        <w:rPr>
          <w:rStyle w:val="Znakapoznpodarou"/>
          <w:rFonts w:cs="Times New Roman"/>
        </w:rPr>
        <w:footnoteRef/>
      </w:r>
      <w:r w:rsidRPr="00195E51">
        <w:rPr>
          <w:rFonts w:cs="Times New Roman"/>
        </w:rPr>
        <w:t xml:space="preserve"> Pojmy „unijní právo“ a „evropské právo“ jsou v této kapitole používány jako</w:t>
      </w:r>
      <w:r>
        <w:rPr>
          <w:rFonts w:cs="Times New Roman"/>
        </w:rPr>
        <w:t xml:space="preserve"> významové</w:t>
      </w:r>
      <w:r w:rsidRPr="00195E51">
        <w:rPr>
          <w:rFonts w:cs="Times New Roman"/>
        </w:rPr>
        <w:t xml:space="preserve"> ekvivalenty.</w:t>
      </w:r>
    </w:p>
  </w:footnote>
  <w:footnote w:id="5">
    <w:p w:rsidR="00B53753" w:rsidRPr="00685B98" w:rsidRDefault="00B53753" w:rsidP="00685B98">
      <w:pPr>
        <w:pStyle w:val="Textpoznpodarou"/>
        <w:rPr>
          <w:rFonts w:cs="Times New Roman"/>
        </w:rPr>
      </w:pPr>
      <w:r>
        <w:rPr>
          <w:rStyle w:val="Znakapoznpodarou"/>
        </w:rPr>
        <w:footnoteRef/>
      </w:r>
      <w:r>
        <w:t xml:space="preserve"> Tuto skutečnost výstižně shrnul J. H. H. </w:t>
      </w:r>
      <w:proofErr w:type="spellStart"/>
      <w:r>
        <w:t>Weiler</w:t>
      </w:r>
      <w:proofErr w:type="spellEnd"/>
      <w:r>
        <w:t xml:space="preserve">, když uvedl, že </w:t>
      </w:r>
      <w:r w:rsidRPr="00F24976">
        <w:rPr>
          <w:i/>
        </w:rPr>
        <w:t>„Evropský soudní dvůr může o</w:t>
      </w:r>
      <w:r>
        <w:rPr>
          <w:i/>
        </w:rPr>
        <w:t> </w:t>
      </w:r>
      <w:r w:rsidRPr="00F24976">
        <w:rPr>
          <w:i/>
        </w:rPr>
        <w:t xml:space="preserve">přednosti komunitárního práva nebo o principu </w:t>
      </w:r>
      <w:proofErr w:type="spellStart"/>
      <w:r w:rsidRPr="00F24976">
        <w:rPr>
          <w:i/>
        </w:rPr>
        <w:t>Francovich</w:t>
      </w:r>
      <w:proofErr w:type="spellEnd"/>
      <w:r w:rsidRPr="00F24976">
        <w:rPr>
          <w:i/>
        </w:rPr>
        <w:t xml:space="preserve"> týkajícího se odpovědnosti členského státu, tak říkajíc, </w:t>
      </w:r>
      <w:r>
        <w:rPr>
          <w:i/>
        </w:rPr>
        <w:t>prohlašovat</w:t>
      </w:r>
      <w:r w:rsidRPr="00F24976">
        <w:rPr>
          <w:i/>
        </w:rPr>
        <w:t>, co chce. Tyto doktríny</w:t>
      </w:r>
      <w:r>
        <w:rPr>
          <w:i/>
        </w:rPr>
        <w:t xml:space="preserve"> se však stávají účinnými</w:t>
      </w:r>
      <w:r w:rsidRPr="00F24976">
        <w:rPr>
          <w:i/>
        </w:rPr>
        <w:t xml:space="preserve"> </w:t>
      </w:r>
      <w:r>
        <w:rPr>
          <w:i/>
        </w:rPr>
        <w:t>jedině</w:t>
      </w:r>
      <w:r w:rsidRPr="00F24976">
        <w:rPr>
          <w:i/>
        </w:rPr>
        <w:t xml:space="preserve"> tehdy, </w:t>
      </w:r>
      <w:r>
        <w:rPr>
          <w:i/>
        </w:rPr>
        <w:t>jsou-li</w:t>
      </w:r>
      <w:r w:rsidRPr="00F24976">
        <w:rPr>
          <w:i/>
        </w:rPr>
        <w:t xml:space="preserve"> </w:t>
      </w:r>
      <w:r>
        <w:rPr>
          <w:i/>
        </w:rPr>
        <w:t>akceptovány a </w:t>
      </w:r>
      <w:r w:rsidRPr="00F24976">
        <w:rPr>
          <w:i/>
        </w:rPr>
        <w:t xml:space="preserve">praktikovány vnitrostátními soudy pod vedením nejvyšších soudů </w:t>
      </w:r>
      <w:r>
        <w:rPr>
          <w:i/>
        </w:rPr>
        <w:t>v každém členském státu</w:t>
      </w:r>
      <w:r w:rsidRPr="00F24976">
        <w:rPr>
          <w:i/>
        </w:rPr>
        <w:t>.“</w:t>
      </w:r>
      <w:r>
        <w:t xml:space="preserve"> </w:t>
      </w:r>
      <w:proofErr w:type="spellStart"/>
      <w:r>
        <w:t>Weiler</w:t>
      </w:r>
      <w:proofErr w:type="spellEnd"/>
      <w:r>
        <w:t xml:space="preserve">, J. H. H. </w:t>
      </w:r>
      <w:r w:rsidRPr="00685B98">
        <w:rPr>
          <w:i/>
          <w:lang w:val="en-US"/>
        </w:rPr>
        <w:t xml:space="preserve">The European Union: </w:t>
      </w:r>
      <w:proofErr w:type="gramStart"/>
      <w:r w:rsidRPr="00685B98">
        <w:rPr>
          <w:i/>
          <w:lang w:val="en-US"/>
        </w:rPr>
        <w:t>Enlargement, Constitutionalism and Democracy</w:t>
      </w:r>
      <w:r>
        <w:t>.</w:t>
      </w:r>
      <w:proofErr w:type="gramEnd"/>
      <w:r>
        <w:t xml:space="preserve"> </w:t>
      </w:r>
      <w:r>
        <w:rPr>
          <w:rFonts w:cs="Times New Roman"/>
        </w:rPr>
        <w:t xml:space="preserve">[online] </w:t>
      </w:r>
      <w:proofErr w:type="spellStart"/>
      <w:r>
        <w:t>Vortrag</w:t>
      </w:r>
      <w:proofErr w:type="spellEnd"/>
      <w:r>
        <w:t xml:space="preserve"> </w:t>
      </w:r>
      <w:proofErr w:type="spellStart"/>
      <w:r>
        <w:t>im</w:t>
      </w:r>
      <w:proofErr w:type="spellEnd"/>
      <w:r>
        <w:t xml:space="preserve"> </w:t>
      </w:r>
      <w:proofErr w:type="spellStart"/>
      <w:r>
        <w:t>Rahmen</w:t>
      </w:r>
      <w:proofErr w:type="spellEnd"/>
      <w:r>
        <w:t xml:space="preserve"> des </w:t>
      </w:r>
      <w:proofErr w:type="spellStart"/>
      <w:r>
        <w:t>Forum</w:t>
      </w:r>
      <w:proofErr w:type="spellEnd"/>
      <w:r>
        <w:t xml:space="preserve"> </w:t>
      </w:r>
      <w:proofErr w:type="spellStart"/>
      <w:r>
        <w:t>Constitutionis</w:t>
      </w:r>
      <w:proofErr w:type="spellEnd"/>
      <w:r>
        <w:t xml:space="preserve"> </w:t>
      </w:r>
      <w:proofErr w:type="spellStart"/>
      <w:r>
        <w:t>Europae</w:t>
      </w:r>
      <w:proofErr w:type="spellEnd"/>
      <w:r>
        <w:t xml:space="preserve"> (FCE 7/99), odst. 49. Dostupný z: </w:t>
      </w:r>
      <w:hyperlink r:id="rId1" w:history="1">
        <w:r w:rsidRPr="00484349">
          <w:rPr>
            <w:rStyle w:val="Hypertextovodkaz"/>
            <w:rFonts w:cs="Times New Roman"/>
          </w:rPr>
          <w:t>http://www.whi-berlin.eu/documents/weiler.pdf</w:t>
        </w:r>
      </w:hyperlink>
      <w:r>
        <w:rPr>
          <w:rFonts w:cs="Times New Roman"/>
        </w:rPr>
        <w:t>.</w:t>
      </w:r>
    </w:p>
  </w:footnote>
  <w:footnote w:id="6">
    <w:p w:rsidR="00B53753" w:rsidRDefault="00B53753">
      <w:pPr>
        <w:pStyle w:val="Textpoznpodarou"/>
      </w:pPr>
      <w:r>
        <w:rPr>
          <w:rStyle w:val="Znakapoznpodarou"/>
        </w:rPr>
        <w:footnoteRef/>
      </w:r>
      <w:r>
        <w:t xml:space="preserve"> Srov. např. </w:t>
      </w:r>
      <w:proofErr w:type="spellStart"/>
      <w:r w:rsidRPr="000F6875">
        <w:t>H</w:t>
      </w:r>
      <w:r>
        <w:t>amuľák</w:t>
      </w:r>
      <w:proofErr w:type="spellEnd"/>
      <w:r>
        <w:t>,</w:t>
      </w:r>
      <w:r w:rsidRPr="000F6875">
        <w:t xml:space="preserve"> O. </w:t>
      </w:r>
      <w:r w:rsidRPr="000F6875">
        <w:rPr>
          <w:i/>
        </w:rPr>
        <w:t>Právo Evropské unie v judikatuře Ústavního soudu České republiky</w:t>
      </w:r>
      <w:r w:rsidRPr="000F6875">
        <w:t xml:space="preserve">. Praha: </w:t>
      </w:r>
      <w:proofErr w:type="spellStart"/>
      <w:r w:rsidRPr="000F6875">
        <w:t>Leges</w:t>
      </w:r>
      <w:proofErr w:type="spellEnd"/>
      <w:r w:rsidRPr="000F6875">
        <w:t>, 2010</w:t>
      </w:r>
      <w:r>
        <w:t xml:space="preserve">; </w:t>
      </w:r>
      <w:proofErr w:type="spellStart"/>
      <w:r>
        <w:rPr>
          <w:rFonts w:cs="Times New Roman"/>
        </w:rPr>
        <w:t>Bončková</w:t>
      </w:r>
      <w:proofErr w:type="spellEnd"/>
      <w:r>
        <w:rPr>
          <w:rFonts w:cs="Times New Roman"/>
        </w:rPr>
        <w:t xml:space="preserve">, H. </w:t>
      </w:r>
      <w:r w:rsidRPr="000F6875">
        <w:rPr>
          <w:rFonts w:cs="Times New Roman"/>
          <w:i/>
        </w:rPr>
        <w:t>Recepce primátu práva Evropské unie/Evropského společenství českými vysokými soudy</w:t>
      </w:r>
      <w:r>
        <w:rPr>
          <w:rFonts w:cs="Times New Roman"/>
        </w:rPr>
        <w:t>. Diplomová práce. Brno: Právnická fakulta MU, 2010.</w:t>
      </w:r>
    </w:p>
  </w:footnote>
  <w:footnote w:id="7">
    <w:p w:rsidR="00B53753" w:rsidRPr="00195E51" w:rsidRDefault="00B53753" w:rsidP="00D43657">
      <w:pPr>
        <w:pStyle w:val="Textpoznpodarou"/>
        <w:rPr>
          <w:rFonts w:cs="Times New Roman"/>
        </w:rPr>
      </w:pPr>
      <w:r w:rsidRPr="00195E51">
        <w:rPr>
          <w:rStyle w:val="Znakapoznpodarou"/>
          <w:rFonts w:cs="Times New Roman"/>
        </w:rPr>
        <w:footnoteRef/>
      </w:r>
      <w:r w:rsidRPr="00195E51">
        <w:rPr>
          <w:rFonts w:cs="Times New Roman"/>
        </w:rPr>
        <w:t xml:space="preserve"> Dosavadní odborná reflexe aplikace </w:t>
      </w:r>
      <w:r>
        <w:rPr>
          <w:rFonts w:cs="Times New Roman"/>
        </w:rPr>
        <w:t xml:space="preserve">unijního </w:t>
      </w:r>
      <w:r w:rsidRPr="00195E51">
        <w:rPr>
          <w:rFonts w:cs="Times New Roman"/>
        </w:rPr>
        <w:t>práva</w:t>
      </w:r>
      <w:r>
        <w:rPr>
          <w:rFonts w:cs="Times New Roman"/>
        </w:rPr>
        <w:t xml:space="preserve"> Nejvyšším soudem</w:t>
      </w:r>
      <w:r w:rsidRPr="00195E51">
        <w:rPr>
          <w:rFonts w:cs="Times New Roman"/>
        </w:rPr>
        <w:t xml:space="preserve"> je až na výjimky součástí statí se širším tematickým záběrem. Významnou práci v tomto ohledu odvádí zejména zahraniční oddělení </w:t>
      </w:r>
      <w:r>
        <w:rPr>
          <w:rFonts w:cs="Times New Roman"/>
        </w:rPr>
        <w:t>NS</w:t>
      </w:r>
      <w:r w:rsidRPr="00195E51">
        <w:rPr>
          <w:rFonts w:cs="Times New Roman"/>
        </w:rPr>
        <w:t>, které kromě soustavného s</w:t>
      </w:r>
      <w:r>
        <w:rPr>
          <w:rFonts w:cs="Times New Roman"/>
        </w:rPr>
        <w:t xml:space="preserve">běru rozhodnutí českých soudů s </w:t>
      </w:r>
      <w:r w:rsidRPr="00195E51">
        <w:rPr>
          <w:rFonts w:cs="Times New Roman"/>
        </w:rPr>
        <w:t>tzv. evropským prvkem (</w:t>
      </w:r>
      <w:r>
        <w:rPr>
          <w:rFonts w:cs="Times New Roman"/>
        </w:rPr>
        <w:t>v této souvislosti srov. níže citované publikace</w:t>
      </w:r>
      <w:r w:rsidRPr="00195E51">
        <w:rPr>
          <w:rFonts w:cs="Times New Roman"/>
        </w:rPr>
        <w:t xml:space="preserve">) rovněž ve svém </w:t>
      </w:r>
      <w:r w:rsidRPr="00195E51">
        <w:rPr>
          <w:rFonts w:cs="Times New Roman"/>
          <w:i/>
        </w:rPr>
        <w:t>Bulletinu zahraničního oddělení</w:t>
      </w:r>
      <w:r>
        <w:rPr>
          <w:rFonts w:cs="Times New Roman"/>
        </w:rPr>
        <w:t>, jenž je volně dostupný</w:t>
      </w:r>
      <w:r w:rsidRPr="00195E51">
        <w:rPr>
          <w:rFonts w:cs="Times New Roman"/>
        </w:rPr>
        <w:t xml:space="preserve"> na webových stránkách </w:t>
      </w:r>
      <w:hyperlink r:id="rId2" w:history="1">
        <w:r w:rsidRPr="00195E51">
          <w:rPr>
            <w:rStyle w:val="Hypertextovodkaz"/>
            <w:rFonts w:cs="Times New Roman"/>
          </w:rPr>
          <w:t>www.nsoud.cz</w:t>
        </w:r>
      </w:hyperlink>
      <w:r>
        <w:rPr>
          <w:rFonts w:cs="Times New Roman"/>
        </w:rPr>
        <w:t>,</w:t>
      </w:r>
      <w:r w:rsidRPr="00195E51">
        <w:rPr>
          <w:rFonts w:cs="Times New Roman"/>
        </w:rPr>
        <w:t xml:space="preserve"> pravidelně </w:t>
      </w:r>
      <w:r>
        <w:rPr>
          <w:rFonts w:cs="Times New Roman"/>
        </w:rPr>
        <w:t>informuje</w:t>
      </w:r>
      <w:r w:rsidRPr="00195E51">
        <w:rPr>
          <w:rFonts w:cs="Times New Roman"/>
        </w:rPr>
        <w:t xml:space="preserve"> o aktuálních rozhodnutích </w:t>
      </w:r>
      <w:r>
        <w:rPr>
          <w:rFonts w:cs="Times New Roman"/>
        </w:rPr>
        <w:t>NS</w:t>
      </w:r>
      <w:r w:rsidRPr="00195E51">
        <w:rPr>
          <w:rFonts w:cs="Times New Roman"/>
        </w:rPr>
        <w:t>, v nichž by</w:t>
      </w:r>
      <w:r>
        <w:rPr>
          <w:rFonts w:cs="Times New Roman"/>
        </w:rPr>
        <w:t>lo aplikováno evropské právo. Z literatury na uvedené téma</w:t>
      </w:r>
      <w:r w:rsidRPr="00195E51">
        <w:rPr>
          <w:rFonts w:cs="Times New Roman"/>
        </w:rPr>
        <w:t xml:space="preserve"> </w:t>
      </w:r>
      <w:r>
        <w:rPr>
          <w:rFonts w:cs="Times New Roman"/>
        </w:rPr>
        <w:t xml:space="preserve">dále srov. </w:t>
      </w:r>
      <w:proofErr w:type="spellStart"/>
      <w:r>
        <w:rPr>
          <w:rFonts w:cs="Times New Roman"/>
        </w:rPr>
        <w:t>Žondra</w:t>
      </w:r>
      <w:proofErr w:type="spellEnd"/>
      <w:r>
        <w:rPr>
          <w:rFonts w:cs="Times New Roman"/>
        </w:rPr>
        <w:t>, M.</w:t>
      </w:r>
      <w:r w:rsidRPr="00195E51">
        <w:rPr>
          <w:rFonts w:cs="Times New Roman"/>
        </w:rPr>
        <w:t xml:space="preserve"> </w:t>
      </w:r>
      <w:r w:rsidRPr="00195E51">
        <w:rPr>
          <w:rFonts w:cs="Times New Roman"/>
          <w:i/>
        </w:rPr>
        <w:t>Aplikace komunitárního práva Nejvyšším soudem</w:t>
      </w:r>
      <w:r>
        <w:rPr>
          <w:rFonts w:cs="Times New Roman"/>
        </w:rPr>
        <w:t>. In: Malíř, J. a kol.</w:t>
      </w:r>
      <w:r w:rsidRPr="00195E51">
        <w:rPr>
          <w:rFonts w:cs="Times New Roman"/>
        </w:rPr>
        <w:t xml:space="preserve"> </w:t>
      </w:r>
      <w:r w:rsidRPr="00195E51">
        <w:rPr>
          <w:rFonts w:cs="Times New Roman"/>
          <w:i/>
        </w:rPr>
        <w:t>Česká republika v Evropské unii (2004-2009). Institucionální a právní aspekty členství</w:t>
      </w:r>
      <w:r w:rsidRPr="00195E51">
        <w:rPr>
          <w:rFonts w:cs="Times New Roman"/>
        </w:rPr>
        <w:t xml:space="preserve">. Praha: Ústav státu a práva AV ČR a Aleš Čeněk, 2009, str. 153-161; </w:t>
      </w:r>
      <w:r w:rsidRPr="00060C27">
        <w:rPr>
          <w:rFonts w:cs="Times New Roman"/>
        </w:rPr>
        <w:t>Brožová, I.</w:t>
      </w:r>
      <w:r>
        <w:rPr>
          <w:rFonts w:cs="Times New Roman"/>
        </w:rPr>
        <w:t xml:space="preserve"> </w:t>
      </w:r>
      <w:r w:rsidRPr="002E73DF">
        <w:rPr>
          <w:rFonts w:cs="Times New Roman"/>
          <w:i/>
        </w:rPr>
        <w:t>Nejvyšší soud České republiky a „Nový svět“: pokus o shrnutí téměř desetileté zkušenosti s aplikací unijního práva</w:t>
      </w:r>
      <w:r>
        <w:rPr>
          <w:rFonts w:cs="Times New Roman"/>
        </w:rPr>
        <w:t>. In: Sborník příspěvků z 11. setkání předsedů Nejvyšších soudů Stálé konference při příležitosti 20. výročí založení Nejvyššího soudu v Brně, 10. září 2013. Brno: Nejvyšší soud, 2013, str. 17-23</w:t>
      </w:r>
      <w:r w:rsidRPr="00060C27">
        <w:rPr>
          <w:rFonts w:cs="Times New Roman"/>
        </w:rPr>
        <w:t>;</w:t>
      </w:r>
      <w:r>
        <w:rPr>
          <w:rFonts w:cs="Times New Roman"/>
        </w:rPr>
        <w:t xml:space="preserve"> </w:t>
      </w:r>
      <w:proofErr w:type="spellStart"/>
      <w:r>
        <w:rPr>
          <w:rFonts w:cs="Times New Roman"/>
        </w:rPr>
        <w:t>Bončková</w:t>
      </w:r>
      <w:proofErr w:type="spellEnd"/>
      <w:r>
        <w:rPr>
          <w:rFonts w:cs="Times New Roman"/>
        </w:rPr>
        <w:t xml:space="preserve">, H., </w:t>
      </w:r>
      <w:proofErr w:type="spellStart"/>
      <w:r>
        <w:rPr>
          <w:rFonts w:cs="Times New Roman"/>
        </w:rPr>
        <w:t>Žondra</w:t>
      </w:r>
      <w:proofErr w:type="spellEnd"/>
      <w:r>
        <w:rPr>
          <w:rFonts w:cs="Times New Roman"/>
        </w:rPr>
        <w:t>, M.</w:t>
      </w:r>
      <w:r w:rsidRPr="00195E51">
        <w:rPr>
          <w:rFonts w:cs="Times New Roman"/>
        </w:rPr>
        <w:t xml:space="preserve"> </w:t>
      </w:r>
      <w:r w:rsidRPr="00195E51">
        <w:rPr>
          <w:rFonts w:cs="Times New Roman"/>
          <w:i/>
        </w:rPr>
        <w:t>Souhrnná zpráva o rozhodovací praxi českých civilních soudů v případech s evropským prvkem (2004-2008)</w:t>
      </w:r>
      <w:r>
        <w:rPr>
          <w:rFonts w:cs="Times New Roman"/>
        </w:rPr>
        <w:t>. Brno: Nejvyšší soud</w:t>
      </w:r>
      <w:r w:rsidRPr="00195E51">
        <w:rPr>
          <w:rFonts w:cs="Times New Roman"/>
        </w:rPr>
        <w:t>, 2010 (</w:t>
      </w:r>
      <w:r>
        <w:rPr>
          <w:rFonts w:cs="Times New Roman"/>
        </w:rPr>
        <w:t>v časopisecké podobě publikováno</w:t>
      </w:r>
      <w:r w:rsidRPr="00195E51">
        <w:rPr>
          <w:rFonts w:cs="Times New Roman"/>
        </w:rPr>
        <w:t xml:space="preserve"> rovněž v Právním fóru č. 2, 3 a 4/2011); Pavel, A., </w:t>
      </w:r>
      <w:proofErr w:type="spellStart"/>
      <w:r w:rsidRPr="00195E51">
        <w:rPr>
          <w:rFonts w:cs="Times New Roman"/>
        </w:rPr>
        <w:t>Kondelová</w:t>
      </w:r>
      <w:proofErr w:type="spellEnd"/>
      <w:r>
        <w:rPr>
          <w:rFonts w:cs="Times New Roman"/>
        </w:rPr>
        <w:t xml:space="preserve">, A., </w:t>
      </w:r>
      <w:proofErr w:type="spellStart"/>
      <w:r>
        <w:rPr>
          <w:rFonts w:cs="Times New Roman"/>
        </w:rPr>
        <w:t>Šipulová</w:t>
      </w:r>
      <w:proofErr w:type="spellEnd"/>
      <w:r>
        <w:rPr>
          <w:rFonts w:cs="Times New Roman"/>
        </w:rPr>
        <w:t>, K., Havelka, L.</w:t>
      </w:r>
      <w:r w:rsidRPr="00195E51">
        <w:rPr>
          <w:rFonts w:cs="Times New Roman"/>
        </w:rPr>
        <w:t xml:space="preserve"> </w:t>
      </w:r>
      <w:r w:rsidRPr="00195E51">
        <w:rPr>
          <w:rFonts w:cs="Times New Roman"/>
          <w:i/>
        </w:rPr>
        <w:t>Aplikace unijního práva českými civilními soudy 2009-2011</w:t>
      </w:r>
      <w:r>
        <w:rPr>
          <w:rFonts w:cs="Times New Roman"/>
        </w:rPr>
        <w:t>. Brno: Nejvyšší soud, 2013 (v </w:t>
      </w:r>
      <w:r w:rsidRPr="00195E51">
        <w:rPr>
          <w:rFonts w:cs="Times New Roman"/>
        </w:rPr>
        <w:t xml:space="preserve">časopisecké podobě publikováno </w:t>
      </w:r>
      <w:r>
        <w:rPr>
          <w:rFonts w:cs="Times New Roman"/>
        </w:rPr>
        <w:t>rovněž v Právních rozhledech č. 6, 8 a 10/2014).</w:t>
      </w:r>
    </w:p>
  </w:footnote>
  <w:footnote w:id="8">
    <w:p w:rsidR="00B53753" w:rsidRDefault="00B53753">
      <w:pPr>
        <w:pStyle w:val="Textpoznpodarou"/>
      </w:pPr>
      <w:r>
        <w:rPr>
          <w:rStyle w:val="Znakapoznpodarou"/>
        </w:rPr>
        <w:footnoteRef/>
      </w:r>
      <w:r>
        <w:t xml:space="preserve"> Vyčerpávající přehled literatury lze nalézt např. v publikaci </w:t>
      </w:r>
      <w:r>
        <w:rPr>
          <w:rFonts w:cs="Times New Roman"/>
        </w:rPr>
        <w:t xml:space="preserve">Bobek, M., Bříza, P., Komárek, J. </w:t>
      </w:r>
      <w:r w:rsidRPr="00A50739">
        <w:rPr>
          <w:rFonts w:cs="Times New Roman"/>
          <w:i/>
        </w:rPr>
        <w:t>Vnitrostátní aplikace práva Evropské unie</w:t>
      </w:r>
      <w:r>
        <w:rPr>
          <w:rFonts w:cs="Times New Roman"/>
        </w:rPr>
        <w:t xml:space="preserve">. Praha: C. H. Beck, 2011. Srov. rovněž kapitolu </w:t>
      </w:r>
      <w:r w:rsidRPr="00D66EF4">
        <w:rPr>
          <w:rFonts w:cs="Times New Roman"/>
          <w:highlight w:val="yellow"/>
        </w:rPr>
        <w:t>(</w:t>
      </w:r>
      <w:r w:rsidRPr="00D66EF4">
        <w:rPr>
          <w:rFonts w:cs="Times New Roman"/>
          <w:i/>
          <w:highlight w:val="yellow"/>
        </w:rPr>
        <w:t>doplnit číslo Ondrovy kapitoly</w:t>
      </w:r>
      <w:r w:rsidRPr="00D66EF4">
        <w:rPr>
          <w:rFonts w:cs="Times New Roman"/>
          <w:highlight w:val="yellow"/>
        </w:rPr>
        <w:t>)</w:t>
      </w:r>
      <w:r>
        <w:rPr>
          <w:rFonts w:cs="Times New Roman"/>
        </w:rPr>
        <w:t>.</w:t>
      </w:r>
    </w:p>
  </w:footnote>
  <w:footnote w:id="9">
    <w:p w:rsidR="00B53753" w:rsidRDefault="00B53753">
      <w:pPr>
        <w:pStyle w:val="Textpoznpodarou"/>
      </w:pPr>
      <w:r>
        <w:rPr>
          <w:rStyle w:val="Znakapoznpodarou"/>
        </w:rPr>
        <w:footnoteRef/>
      </w:r>
      <w:r>
        <w:t xml:space="preserve"> Ke kritice zachování úzké specializace senátů NS v souvislosti s rekodifikací soukromého práva srov. např. Richter, T. </w:t>
      </w:r>
      <w:r w:rsidRPr="009125ED">
        <w:rPr>
          <w:i/>
        </w:rPr>
        <w:t>Myšlenkové monopoly na vrcholných soudech</w:t>
      </w:r>
      <w:r>
        <w:t xml:space="preserve">. </w:t>
      </w:r>
      <w:r w:rsidRPr="009125ED">
        <w:t>Lidové noviny</w:t>
      </w:r>
      <w:r>
        <w:t>. 23. června 2014, str. 15.</w:t>
      </w:r>
    </w:p>
  </w:footnote>
  <w:footnote w:id="10">
    <w:p w:rsidR="00B53753" w:rsidRDefault="00B53753" w:rsidP="00B925AF">
      <w:pPr>
        <w:pStyle w:val="Textpoznpodarou"/>
      </w:pPr>
      <w:r>
        <w:rPr>
          <w:rStyle w:val="Znakapoznpodarou"/>
        </w:rPr>
        <w:footnoteRef/>
      </w:r>
      <w:r>
        <w:t xml:space="preserve"> Tato kritika zazněla např. v příspěvku Z. </w:t>
      </w:r>
      <w:proofErr w:type="spellStart"/>
      <w:r>
        <w:t>Kühna</w:t>
      </w:r>
      <w:proofErr w:type="spellEnd"/>
      <w:r>
        <w:t xml:space="preserve"> </w:t>
      </w:r>
      <w:r w:rsidRPr="00D933F3">
        <w:rPr>
          <w:i/>
        </w:rPr>
        <w:t>„Post-komunistický soudce a právo EU: raný popis pacienta“</w:t>
      </w:r>
      <w:r>
        <w:rPr>
          <w:rFonts w:cs="Times New Roman"/>
        </w:rPr>
        <w:t xml:space="preserve"> na</w:t>
      </w:r>
      <w:r>
        <w:t xml:space="preserve"> konferenci </w:t>
      </w:r>
      <w:r w:rsidRPr="00195E51">
        <w:rPr>
          <w:rFonts w:cs="Times New Roman"/>
          <w:i/>
        </w:rPr>
        <w:t>„České právo deset let po přistou</w:t>
      </w:r>
      <w:r>
        <w:rPr>
          <w:rFonts w:cs="Times New Roman"/>
          <w:i/>
        </w:rPr>
        <w:t>pení k EU: existuje europeizace?</w:t>
      </w:r>
      <w:r w:rsidRPr="00195E51">
        <w:rPr>
          <w:rFonts w:cs="Times New Roman"/>
          <w:i/>
        </w:rPr>
        <w:t>“</w:t>
      </w:r>
      <w:r>
        <w:rPr>
          <w:rFonts w:cs="Times New Roman"/>
        </w:rPr>
        <w:t xml:space="preserve"> pořádané</w:t>
      </w:r>
      <w:r w:rsidRPr="00195E51">
        <w:rPr>
          <w:rFonts w:cs="Times New Roman"/>
        </w:rPr>
        <w:t xml:space="preserve"> </w:t>
      </w:r>
      <w:r>
        <w:rPr>
          <w:rFonts w:cs="Times New Roman"/>
        </w:rPr>
        <w:t xml:space="preserve">v květnu 2014 </w:t>
      </w:r>
      <w:r w:rsidRPr="00195E51">
        <w:rPr>
          <w:rFonts w:cs="Times New Roman"/>
        </w:rPr>
        <w:t>Českou společností pro evropské a srovnávací právo a Ministerstvem zahraničních věcí ČR</w:t>
      </w:r>
      <w:r>
        <w:rPr>
          <w:rFonts w:cs="Times New Roman"/>
        </w:rPr>
        <w:t>.</w:t>
      </w:r>
    </w:p>
  </w:footnote>
  <w:footnote w:id="11">
    <w:p w:rsidR="00B53753" w:rsidRDefault="00B53753">
      <w:pPr>
        <w:pStyle w:val="Textpoznpodarou"/>
      </w:pPr>
      <w:r>
        <w:rPr>
          <w:rStyle w:val="Znakapoznpodarou"/>
        </w:rPr>
        <w:footnoteRef/>
      </w:r>
      <w:r>
        <w:t xml:space="preserve"> Jak však na shora uvedené konferenci rovněž zaznělo, tento </w:t>
      </w:r>
      <w:r w:rsidRPr="00F453ED">
        <w:rPr>
          <w:i/>
        </w:rPr>
        <w:t>kognitivní</w:t>
      </w:r>
      <w:r>
        <w:t xml:space="preserve"> způsob argumentace sám o sobě nelze považovat za negativní, stejně jako </w:t>
      </w:r>
      <w:r w:rsidRPr="0059400F">
        <w:rPr>
          <w:rFonts w:cs="Times New Roman"/>
          <w:i/>
        </w:rPr>
        <w:t>diskurzivní</w:t>
      </w:r>
      <w:r>
        <w:t xml:space="preserve"> přístup k odůvodňování rozhodnutí nelze za všech okolností hodnotit pozitivně.</w:t>
      </w:r>
    </w:p>
  </w:footnote>
  <w:footnote w:id="12">
    <w:p w:rsidR="00B53753" w:rsidRDefault="00B53753" w:rsidP="0034469B">
      <w:pPr>
        <w:pStyle w:val="Textpoznpodarou"/>
      </w:pPr>
      <w:r>
        <w:rPr>
          <w:rStyle w:val="Znakapoznpodarou"/>
        </w:rPr>
        <w:footnoteRef/>
      </w:r>
      <w:r>
        <w:t xml:space="preserve"> Srov. kapitolu </w:t>
      </w:r>
      <w:r w:rsidRPr="006461DB">
        <w:rPr>
          <w:highlight w:val="yellow"/>
        </w:rPr>
        <w:t>(</w:t>
      </w:r>
      <w:r w:rsidRPr="006461DB">
        <w:rPr>
          <w:i/>
          <w:highlight w:val="yellow"/>
        </w:rPr>
        <w:t>doplnit číslo</w:t>
      </w:r>
      <w:r>
        <w:rPr>
          <w:i/>
          <w:highlight w:val="yellow"/>
        </w:rPr>
        <w:t xml:space="preserve"> Honzovy</w:t>
      </w:r>
      <w:r w:rsidRPr="006461DB">
        <w:rPr>
          <w:i/>
          <w:highlight w:val="yellow"/>
        </w:rPr>
        <w:t xml:space="preserve"> kapitoly</w:t>
      </w:r>
      <w:r>
        <w:rPr>
          <w:i/>
          <w:highlight w:val="yellow"/>
        </w:rPr>
        <w:t xml:space="preserve">, konkrétně bod I. – </w:t>
      </w:r>
      <w:proofErr w:type="spellStart"/>
      <w:r>
        <w:rPr>
          <w:i/>
          <w:highlight w:val="yellow"/>
        </w:rPr>
        <w:t>Neaplikace</w:t>
      </w:r>
      <w:proofErr w:type="spellEnd"/>
      <w:r>
        <w:rPr>
          <w:i/>
          <w:highlight w:val="yellow"/>
        </w:rPr>
        <w:t xml:space="preserve"> práva EU</w:t>
      </w:r>
      <w:r w:rsidRPr="006461DB">
        <w:rPr>
          <w:highlight w:val="yellow"/>
        </w:rPr>
        <w:t>)</w:t>
      </w:r>
      <w:r>
        <w:t>.</w:t>
      </w:r>
    </w:p>
  </w:footnote>
  <w:footnote w:id="13">
    <w:p w:rsidR="00B53753" w:rsidRDefault="00B53753">
      <w:pPr>
        <w:pStyle w:val="Textpoznpodarou"/>
      </w:pPr>
      <w:r>
        <w:rPr>
          <w:rStyle w:val="Znakapoznpodarou"/>
        </w:rPr>
        <w:footnoteRef/>
      </w:r>
      <w:r>
        <w:t xml:space="preserve"> K problematice věcného aplikačního rámce evropského práva srov. Bobek, M. </w:t>
      </w:r>
      <w:r w:rsidRPr="008E5308">
        <w:rPr>
          <w:i/>
        </w:rPr>
        <w:t>Kam až sahá právo EU? K věcnému aplikačnímu rámci unijního práva v členských státech.</w:t>
      </w:r>
      <w:r>
        <w:t xml:space="preserve"> Právní rozhledy. 2013, č. 18, str. 611 a násl.</w:t>
      </w:r>
    </w:p>
  </w:footnote>
  <w:footnote w:id="14">
    <w:p w:rsidR="00B53753" w:rsidRDefault="00B53753" w:rsidP="00CB6C35">
      <w:pPr>
        <w:pStyle w:val="Textpoznpodarou"/>
      </w:pPr>
      <w:r>
        <w:rPr>
          <w:rStyle w:val="Znakapoznpodarou"/>
        </w:rPr>
        <w:footnoteRef/>
      </w:r>
      <w:r>
        <w:t xml:space="preserve"> Pro podrobný výklad k tomuto tématu srov. např. Bříza, P., Švarc, M. </w:t>
      </w:r>
      <w:proofErr w:type="spellStart"/>
      <w:r w:rsidRPr="001807A4">
        <w:rPr>
          <w:i/>
        </w:rPr>
        <w:t>Komunitarizace</w:t>
      </w:r>
      <w:proofErr w:type="spellEnd"/>
      <w:r w:rsidRPr="001807A4">
        <w:rPr>
          <w:i/>
        </w:rPr>
        <w:t xml:space="preserve"> trestního práva v Lisabonské smlouvě a její (případná) reflexe v právním řádu České republiky</w:t>
      </w:r>
      <w:r>
        <w:t>. Trestněprávní revue. 2009, č. 6, str. 161 a násl.</w:t>
      </w:r>
    </w:p>
  </w:footnote>
  <w:footnote w:id="15">
    <w:p w:rsidR="00B53753" w:rsidRDefault="00B53753">
      <w:pPr>
        <w:pStyle w:val="Textpoznpodarou"/>
      </w:pPr>
      <w:r>
        <w:rPr>
          <w:rStyle w:val="Znakapoznpodarou"/>
        </w:rPr>
        <w:footnoteRef/>
      </w:r>
      <w:r>
        <w:t xml:space="preserve"> </w:t>
      </w:r>
    </w:p>
  </w:footnote>
  <w:footnote w:id="16">
    <w:p w:rsidR="00B53753" w:rsidRDefault="00B53753">
      <w:pPr>
        <w:pStyle w:val="Textpoznpodarou"/>
      </w:pPr>
      <w:r>
        <w:rPr>
          <w:rStyle w:val="Znakapoznpodarou"/>
        </w:rPr>
        <w:footnoteRef/>
      </w:r>
      <w:r>
        <w:t xml:space="preserve"> </w:t>
      </w:r>
    </w:p>
  </w:footnote>
  <w:footnote w:id="17">
    <w:p w:rsidR="00B53753" w:rsidRDefault="00B53753" w:rsidP="00EA6D42">
      <w:pPr>
        <w:pStyle w:val="Textpoznpodarou"/>
      </w:pPr>
      <w:r>
        <w:rPr>
          <w:rStyle w:val="Znakapoznpodarou"/>
        </w:rPr>
        <w:footnoteRef/>
      </w:r>
      <w:r>
        <w:t xml:space="preserve"> V databázi rozhodnutí Nejvyššího soudu dostupné na webových stránkách </w:t>
      </w:r>
      <w:hyperlink r:id="rId3" w:history="1">
        <w:r w:rsidRPr="00C6384D">
          <w:rPr>
            <w:rStyle w:val="Hypertextovodkaz"/>
          </w:rPr>
          <w:t>www.nsoud.cz</w:t>
        </w:r>
      </w:hyperlink>
      <w:r>
        <w:t xml:space="preserve"> lze rozhodnutí s evropským prvkem dohledat poměrně snadno prostřednictvím zaškrtnutí políčka „EU“ ve vyhledávacím formuláři. Nutno nicméně upozornit, že ne všechna rozhodnutí NS, v nichž bylo aplikováno nebo zmíněno evropské právo, jsou v databázi takto označena. Záleží totiž na tom, zda příslušný soudce nebo asistent při vyplňování závěrečného referátu své rozhodnutí takto označí. Navzdory průběžné zpětné kontrole a opravám chybně (ne)označených rozhodnutí ze strany zahraničního oddělení, případně oddělení evidence judikatury, lze v databázi i nadále nalézt řadu rozhodnutí, kterým bylo toto označení – ať už v důsledku přehlédnutí či odlišného chápání funkce kolonky „EU“ – odepřeno.</w:t>
      </w:r>
    </w:p>
  </w:footnote>
  <w:footnote w:id="18">
    <w:p w:rsidR="00B53753" w:rsidRDefault="00B53753">
      <w:pPr>
        <w:pStyle w:val="Textpoznpodarou"/>
      </w:pPr>
      <w:r>
        <w:rPr>
          <w:rStyle w:val="Znakapoznpodarou"/>
        </w:rPr>
        <w:footnoteRef/>
      </w:r>
      <w:r>
        <w:t xml:space="preserve"> </w:t>
      </w:r>
    </w:p>
  </w:footnote>
  <w:footnote w:id="19">
    <w:p w:rsidR="00B53753" w:rsidRDefault="00B53753">
      <w:pPr>
        <w:pStyle w:val="Textpoznpodarou"/>
      </w:pPr>
      <w:r>
        <w:rPr>
          <w:rStyle w:val="Znakapoznpodarou"/>
        </w:rPr>
        <w:footnoteRef/>
      </w:r>
      <w:r>
        <w:t xml:space="preserve"> </w:t>
      </w:r>
    </w:p>
  </w:footnote>
  <w:footnote w:id="20">
    <w:p w:rsidR="00B53753" w:rsidRDefault="00B53753">
      <w:pPr>
        <w:pStyle w:val="Textpoznpodarou"/>
      </w:pPr>
      <w:r>
        <w:rPr>
          <w:rStyle w:val="Znakapoznpodarou"/>
        </w:rPr>
        <w:footnoteRef/>
      </w:r>
      <w:r>
        <w:t xml:space="preserve"> </w:t>
      </w:r>
    </w:p>
  </w:footnote>
  <w:footnote w:id="21">
    <w:p w:rsidR="00B53753" w:rsidRDefault="00B53753">
      <w:pPr>
        <w:pStyle w:val="Textpoznpodarou"/>
      </w:pPr>
      <w:r>
        <w:rPr>
          <w:rStyle w:val="Znakapoznpodarou"/>
        </w:rPr>
        <w:footnoteRef/>
      </w:r>
      <w:r>
        <w:t xml:space="preserve"> </w:t>
      </w:r>
    </w:p>
  </w:footnote>
  <w:footnote w:id="22">
    <w:p w:rsidR="00B53753" w:rsidRDefault="00B53753">
      <w:pPr>
        <w:pStyle w:val="Textpoznpodarou"/>
      </w:pPr>
      <w:r>
        <w:rPr>
          <w:rStyle w:val="Znakapoznpodarou"/>
        </w:rPr>
        <w:footnoteRef/>
      </w:r>
      <w:r>
        <w:t xml:space="preserve"> </w:t>
      </w:r>
    </w:p>
  </w:footnote>
  <w:footnote w:id="23">
    <w:p w:rsidR="00B53753" w:rsidRDefault="00B53753">
      <w:pPr>
        <w:pStyle w:val="Textpoznpodarou"/>
      </w:pPr>
      <w:r>
        <w:rPr>
          <w:rStyle w:val="Znakapoznpodarou"/>
        </w:rPr>
        <w:footnoteRef/>
      </w:r>
      <w:r>
        <w:t xml:space="preserve"> </w:t>
      </w:r>
    </w:p>
  </w:footnote>
  <w:footnote w:id="24">
    <w:p w:rsidR="00B53753" w:rsidRDefault="00B53753">
      <w:pPr>
        <w:pStyle w:val="Textpoznpodarou"/>
      </w:pPr>
      <w:r>
        <w:rPr>
          <w:rStyle w:val="Znakapoznpodarou"/>
        </w:rPr>
        <w:footnoteRef/>
      </w:r>
      <w:r>
        <w:t xml:space="preserve"> </w:t>
      </w:r>
    </w:p>
  </w:footnote>
  <w:footnote w:id="25">
    <w:p w:rsidR="00B53753" w:rsidRDefault="00B53753">
      <w:pPr>
        <w:pStyle w:val="Textpoznpodarou"/>
      </w:pPr>
      <w:r>
        <w:rPr>
          <w:rStyle w:val="Znakapoznpodarou"/>
        </w:rPr>
        <w:footnoteRef/>
      </w:r>
      <w:r>
        <w:t xml:space="preserve"> </w:t>
      </w:r>
    </w:p>
  </w:footnote>
  <w:footnote w:id="26">
    <w:p w:rsidR="00B53753" w:rsidRDefault="00B53753">
      <w:pPr>
        <w:pStyle w:val="Textpoznpodarou"/>
      </w:pPr>
      <w:r>
        <w:rPr>
          <w:rStyle w:val="Znakapoznpodarou"/>
        </w:rPr>
        <w:footnoteRef/>
      </w:r>
      <w:r>
        <w:t xml:space="preserve"> </w:t>
      </w:r>
    </w:p>
  </w:footnote>
  <w:footnote w:id="27">
    <w:p w:rsidR="00B53753" w:rsidRDefault="00B53753">
      <w:pPr>
        <w:pStyle w:val="Textpoznpodarou"/>
      </w:pPr>
      <w:r>
        <w:rPr>
          <w:rStyle w:val="Znakapoznpodarou"/>
        </w:rPr>
        <w:footnoteRef/>
      </w:r>
      <w:r>
        <w:t xml:space="preserve"> </w:t>
      </w:r>
    </w:p>
  </w:footnote>
  <w:footnote w:id="28">
    <w:p w:rsidR="00B53753" w:rsidRDefault="00B53753">
      <w:pPr>
        <w:pStyle w:val="Textpoznpodarou"/>
      </w:pPr>
      <w:r>
        <w:rPr>
          <w:rStyle w:val="Znakapoznpodarou"/>
        </w:rPr>
        <w:footnoteRef/>
      </w:r>
      <w:r>
        <w:t xml:space="preserve"> </w:t>
      </w:r>
    </w:p>
  </w:footnote>
  <w:footnote w:id="29">
    <w:p w:rsidR="00B53753" w:rsidRDefault="00B53753" w:rsidP="006A7588">
      <w:pPr>
        <w:pStyle w:val="Textpoznpodarou"/>
      </w:pPr>
      <w:r>
        <w:rPr>
          <w:rStyle w:val="Znakapoznpodarou"/>
        </w:rPr>
        <w:footnoteRef/>
      </w:r>
      <w:r>
        <w:t xml:space="preserve"> Srov. kapitolu </w:t>
      </w:r>
      <w:r w:rsidRPr="006461DB">
        <w:rPr>
          <w:highlight w:val="yellow"/>
        </w:rPr>
        <w:t>(</w:t>
      </w:r>
      <w:r w:rsidRPr="006461DB">
        <w:rPr>
          <w:i/>
          <w:highlight w:val="yellow"/>
        </w:rPr>
        <w:t>doplnit číslo</w:t>
      </w:r>
      <w:r>
        <w:rPr>
          <w:i/>
          <w:highlight w:val="yellow"/>
        </w:rPr>
        <w:t xml:space="preserve"> Honzovy</w:t>
      </w:r>
      <w:r w:rsidRPr="006461DB">
        <w:rPr>
          <w:i/>
          <w:highlight w:val="yellow"/>
        </w:rPr>
        <w:t xml:space="preserve"> kapitoly</w:t>
      </w:r>
      <w:r>
        <w:rPr>
          <w:i/>
          <w:highlight w:val="yellow"/>
        </w:rPr>
        <w:t xml:space="preserve">, konkrétně </w:t>
      </w:r>
      <w:proofErr w:type="gramStart"/>
      <w:r>
        <w:rPr>
          <w:i/>
          <w:highlight w:val="yellow"/>
        </w:rPr>
        <w:t>bod I.2 – Čistě</w:t>
      </w:r>
      <w:proofErr w:type="gramEnd"/>
      <w:r>
        <w:rPr>
          <w:i/>
          <w:highlight w:val="yellow"/>
        </w:rPr>
        <w:t xml:space="preserve"> vnitrostátní situace</w:t>
      </w:r>
      <w:r w:rsidRPr="006461DB">
        <w:rPr>
          <w:highlight w:val="yellow"/>
        </w:rPr>
        <w:t>)</w:t>
      </w:r>
      <w:r>
        <w:t>.</w:t>
      </w:r>
    </w:p>
  </w:footnote>
  <w:footnote w:id="30">
    <w:p w:rsidR="00B53753" w:rsidRDefault="00B53753">
      <w:pPr>
        <w:pStyle w:val="Textpoznpodarou"/>
      </w:pPr>
      <w:r>
        <w:rPr>
          <w:rStyle w:val="Znakapoznpodarou"/>
        </w:rPr>
        <w:footnoteRef/>
      </w:r>
      <w:r>
        <w:t xml:space="preserve"> </w:t>
      </w:r>
    </w:p>
  </w:footnote>
  <w:footnote w:id="31">
    <w:p w:rsidR="00B53753" w:rsidRDefault="00B53753">
      <w:pPr>
        <w:pStyle w:val="Textpoznpodarou"/>
      </w:pPr>
      <w:r>
        <w:rPr>
          <w:rStyle w:val="Znakapoznpodarou"/>
        </w:rPr>
        <w:footnoteRef/>
      </w:r>
      <w:r>
        <w:t xml:space="preserve"> </w:t>
      </w:r>
    </w:p>
  </w:footnote>
  <w:footnote w:id="32">
    <w:p w:rsidR="00B53753" w:rsidRDefault="00B53753">
      <w:pPr>
        <w:pStyle w:val="Textpoznpodarou"/>
      </w:pPr>
      <w:r>
        <w:rPr>
          <w:rStyle w:val="Znakapoznpodarou"/>
        </w:rPr>
        <w:footnoteRef/>
      </w:r>
      <w:r>
        <w:t xml:space="preserve"> Rozsudek Soudního dvora ze dne 10. 1. 2006, </w:t>
      </w:r>
      <w:proofErr w:type="spellStart"/>
      <w:r w:rsidRPr="00274473">
        <w:rPr>
          <w:i/>
        </w:rPr>
        <w:t>Ynos</w:t>
      </w:r>
      <w:proofErr w:type="spellEnd"/>
      <w:r>
        <w:t xml:space="preserve">, C-302/04, Sb. </w:t>
      </w:r>
      <w:proofErr w:type="spellStart"/>
      <w:r>
        <w:t>rozh</w:t>
      </w:r>
      <w:proofErr w:type="spellEnd"/>
      <w:r>
        <w:t>. str. I-371, body 35-37.</w:t>
      </w:r>
    </w:p>
  </w:footnote>
  <w:footnote w:id="33">
    <w:p w:rsidR="00B53753" w:rsidRDefault="00B53753">
      <w:pPr>
        <w:pStyle w:val="Textpoznpodarou"/>
      </w:pPr>
      <w:r>
        <w:rPr>
          <w:rStyle w:val="Znakapoznpodarou"/>
        </w:rPr>
        <w:footnoteRef/>
      </w:r>
      <w:r>
        <w:t xml:space="preserve"> </w:t>
      </w:r>
      <w:r>
        <w:rPr>
          <w:rFonts w:cs="Times New Roman"/>
        </w:rPr>
        <w:t xml:space="preserve">Bobek, M., Bříza, P., Komárek, J. </w:t>
      </w:r>
      <w:r w:rsidRPr="00A50739">
        <w:rPr>
          <w:rFonts w:cs="Times New Roman"/>
          <w:i/>
        </w:rPr>
        <w:t>Vnitrostátní aplikace práva Evropské unie</w:t>
      </w:r>
      <w:r>
        <w:rPr>
          <w:rFonts w:cs="Times New Roman"/>
        </w:rPr>
        <w:t>. Praha: C. H. Beck, 2011, str. 564-566. K této problematice srov. rovněž bod 6.3 této kapitoly.</w:t>
      </w:r>
    </w:p>
  </w:footnote>
  <w:footnote w:id="34">
    <w:p w:rsidR="00B53753" w:rsidRDefault="00B53753">
      <w:pPr>
        <w:pStyle w:val="Textpoznpodarou"/>
      </w:pPr>
      <w:r>
        <w:rPr>
          <w:rStyle w:val="Znakapoznpodarou"/>
        </w:rPr>
        <w:footnoteRef/>
      </w:r>
      <w:r>
        <w:t xml:space="preserve"> Srov. kapitolu </w:t>
      </w:r>
      <w:r w:rsidRPr="006461DB">
        <w:rPr>
          <w:highlight w:val="yellow"/>
        </w:rPr>
        <w:t>(</w:t>
      </w:r>
      <w:r w:rsidRPr="006461DB">
        <w:rPr>
          <w:i/>
          <w:highlight w:val="yellow"/>
        </w:rPr>
        <w:t>doplnit číslo</w:t>
      </w:r>
      <w:r>
        <w:rPr>
          <w:i/>
          <w:highlight w:val="yellow"/>
        </w:rPr>
        <w:t xml:space="preserve"> Honzovy</w:t>
      </w:r>
      <w:r w:rsidRPr="006461DB">
        <w:rPr>
          <w:i/>
          <w:highlight w:val="yellow"/>
        </w:rPr>
        <w:t xml:space="preserve"> kapitoly</w:t>
      </w:r>
      <w:r>
        <w:rPr>
          <w:i/>
          <w:highlight w:val="yellow"/>
        </w:rPr>
        <w:t xml:space="preserve">, konkrétně </w:t>
      </w:r>
      <w:proofErr w:type="gramStart"/>
      <w:r>
        <w:rPr>
          <w:i/>
          <w:highlight w:val="yellow"/>
        </w:rPr>
        <w:t>bod I.3 – Temporální</w:t>
      </w:r>
      <w:proofErr w:type="gramEnd"/>
      <w:r>
        <w:rPr>
          <w:i/>
          <w:highlight w:val="yellow"/>
        </w:rPr>
        <w:t xml:space="preserve"> otázky</w:t>
      </w:r>
      <w:r w:rsidRPr="006461DB">
        <w:rPr>
          <w:highlight w:val="yellow"/>
        </w:rPr>
        <w:t>)</w:t>
      </w:r>
      <w:r>
        <w:t>.</w:t>
      </w:r>
    </w:p>
  </w:footnote>
  <w:footnote w:id="35">
    <w:p w:rsidR="00B53753" w:rsidRDefault="00B53753" w:rsidP="00934D8B">
      <w:pPr>
        <w:pStyle w:val="Textpoznpodarou"/>
      </w:pPr>
      <w:r>
        <w:rPr>
          <w:rStyle w:val="Znakapoznpodarou"/>
        </w:rPr>
        <w:footnoteRef/>
      </w:r>
      <w:r>
        <w:t xml:space="preserve"> Usnesení Nejvyššího soudu ze dne 12. 12. 2000, </w:t>
      </w:r>
      <w:proofErr w:type="spellStart"/>
      <w:r>
        <w:t>sp</w:t>
      </w:r>
      <w:proofErr w:type="spellEnd"/>
      <w:r>
        <w:t xml:space="preserve">. zn. 25 </w:t>
      </w:r>
      <w:proofErr w:type="spellStart"/>
      <w:r>
        <w:t>Cdo</w:t>
      </w:r>
      <w:proofErr w:type="spellEnd"/>
      <w:r>
        <w:t xml:space="preserve"> 314/99.</w:t>
      </w:r>
    </w:p>
  </w:footnote>
  <w:footnote w:id="36">
    <w:p w:rsidR="00B53753" w:rsidRDefault="00B53753" w:rsidP="007B4398">
      <w:pPr>
        <w:pStyle w:val="Textpoznpodarou"/>
      </w:pPr>
      <w:r>
        <w:rPr>
          <w:rStyle w:val="Znakapoznpodarou"/>
        </w:rPr>
        <w:footnoteRef/>
      </w:r>
      <w:r>
        <w:t xml:space="preserve"> Zákon č. 40/1964 Sb., občanský zákoník, ve znění pozdějších předpisů.</w:t>
      </w:r>
    </w:p>
  </w:footnote>
  <w:footnote w:id="37">
    <w:p w:rsidR="00B53753" w:rsidRDefault="00B53753" w:rsidP="007B4398">
      <w:pPr>
        <w:spacing w:line="240" w:lineRule="auto"/>
        <w:rPr>
          <w:sz w:val="20"/>
        </w:rPr>
      </w:pPr>
      <w:r>
        <w:rPr>
          <w:rStyle w:val="Znakapoznpodarou"/>
          <w:sz w:val="20"/>
        </w:rPr>
        <w:footnoteRef/>
      </w:r>
      <w:r>
        <w:rPr>
          <w:sz w:val="20"/>
        </w:rPr>
        <w:t xml:space="preserve"> </w:t>
      </w:r>
      <w:r>
        <w:rPr>
          <w:sz w:val="20"/>
          <w:szCs w:val="20"/>
        </w:rPr>
        <w:t>Jedná se o směrnici Rady ze dne 20. prosince 1985 o ochraně spotřebitele v případě smluv uzavřených mimo obchodní prostory (85/577/EHS) a směrnici Rady 93/13/EHS ze dne 5. dubna 1993 o nepřiměřených podmínkách ve spotřebitelských smlouvách.</w:t>
      </w:r>
    </w:p>
  </w:footnote>
  <w:footnote w:id="38">
    <w:p w:rsidR="00B53753" w:rsidRDefault="00B53753" w:rsidP="007B4398">
      <w:pPr>
        <w:pStyle w:val="Textpoznpodarou"/>
      </w:pPr>
      <w:r>
        <w:rPr>
          <w:rStyle w:val="Znakapoznpodarou"/>
        </w:rPr>
        <w:footnoteRef/>
      </w:r>
      <w:r>
        <w:t xml:space="preserve"> Ke stejnému závěru NS dospěl rovněž v rozsudku ze dne 26. 2. 2002, </w:t>
      </w:r>
      <w:proofErr w:type="spellStart"/>
      <w:r>
        <w:t>sp</w:t>
      </w:r>
      <w:proofErr w:type="spellEnd"/>
      <w:r>
        <w:t xml:space="preserve">. zn. 25 </w:t>
      </w:r>
      <w:proofErr w:type="spellStart"/>
      <w:r>
        <w:t>Cdo</w:t>
      </w:r>
      <w:proofErr w:type="spellEnd"/>
      <w:r>
        <w:t xml:space="preserve"> 1957/2000.</w:t>
      </w:r>
    </w:p>
  </w:footnote>
  <w:footnote w:id="39">
    <w:p w:rsidR="00B53753" w:rsidRDefault="00B53753" w:rsidP="007B4398">
      <w:pPr>
        <w:pStyle w:val="Textpoznpodarou"/>
      </w:pPr>
      <w:r>
        <w:rPr>
          <w:rStyle w:val="Znakapoznpodarou"/>
        </w:rPr>
        <w:footnoteRef/>
      </w:r>
      <w:r>
        <w:t xml:space="preserve"> Srov. nález Ústavního soudu ze dne 6. 11. 2007, </w:t>
      </w:r>
      <w:proofErr w:type="spellStart"/>
      <w:r>
        <w:t>sp</w:t>
      </w:r>
      <w:proofErr w:type="spellEnd"/>
      <w:r>
        <w:t>. zn. II. ÚS 3/06.</w:t>
      </w:r>
    </w:p>
  </w:footnote>
  <w:footnote w:id="40">
    <w:p w:rsidR="00B53753" w:rsidRDefault="00B53753" w:rsidP="007B4398">
      <w:pPr>
        <w:pStyle w:val="Textpoznpodarou"/>
      </w:pPr>
      <w:r>
        <w:rPr>
          <w:rStyle w:val="Znakapoznpodarou"/>
        </w:rPr>
        <w:footnoteRef/>
      </w:r>
      <w:r>
        <w:t xml:space="preserve"> </w:t>
      </w:r>
      <w:proofErr w:type="spellStart"/>
      <w:r>
        <w:t>Kühn</w:t>
      </w:r>
      <w:proofErr w:type="spellEnd"/>
      <w:r>
        <w:t xml:space="preserve">, Z. </w:t>
      </w:r>
      <w:r w:rsidRPr="00C5241A">
        <w:rPr>
          <w:i/>
        </w:rPr>
        <w:t>Teoretické problémy aplikace komunitárního práva v nových členských státech</w:t>
      </w:r>
      <w:r>
        <w:t xml:space="preserve">. </w:t>
      </w:r>
      <w:r w:rsidRPr="00C5241A">
        <w:t>Právní fórum.</w:t>
      </w:r>
      <w:r>
        <w:t xml:space="preserve"> 2005, č. 9, s. 339.</w:t>
      </w:r>
    </w:p>
  </w:footnote>
  <w:footnote w:id="41">
    <w:p w:rsidR="00B53753" w:rsidRDefault="00B53753" w:rsidP="007B4398">
      <w:pPr>
        <w:pStyle w:val="Textpoznpodarou"/>
      </w:pPr>
      <w:r>
        <w:rPr>
          <w:rStyle w:val="Znakapoznpodarou"/>
        </w:rPr>
        <w:footnoteRef/>
      </w:r>
      <w:r>
        <w:t xml:space="preserve"> Rozsudek Nejvyššího soudu ze dne 8. 4. 2003, </w:t>
      </w:r>
      <w:proofErr w:type="spellStart"/>
      <w:r>
        <w:t>sp</w:t>
      </w:r>
      <w:proofErr w:type="spellEnd"/>
      <w:r>
        <w:t xml:space="preserve">. zn. 21 </w:t>
      </w:r>
      <w:proofErr w:type="spellStart"/>
      <w:r>
        <w:t>Cdo</w:t>
      </w:r>
      <w:proofErr w:type="spellEnd"/>
      <w:r>
        <w:t xml:space="preserve"> 2078/2002.</w:t>
      </w:r>
    </w:p>
  </w:footnote>
  <w:footnote w:id="42">
    <w:p w:rsidR="00B53753" w:rsidRDefault="00B53753" w:rsidP="007B4398">
      <w:pPr>
        <w:pStyle w:val="Textpoznpodarou"/>
      </w:pPr>
      <w:r>
        <w:rPr>
          <w:rStyle w:val="Znakapoznpodarou"/>
        </w:rPr>
        <w:footnoteRef/>
      </w:r>
      <w:r>
        <w:t xml:space="preserve"> Zákon č. 65/1965 Sb., zákoník práce, ve znění pozdějších předpisů.</w:t>
      </w:r>
    </w:p>
  </w:footnote>
  <w:footnote w:id="43">
    <w:p w:rsidR="00B53753" w:rsidRDefault="00B53753" w:rsidP="007B4398">
      <w:pPr>
        <w:pStyle w:val="Textpoznpodarou"/>
      </w:pPr>
      <w:r>
        <w:rPr>
          <w:rStyle w:val="Znakapoznpodarou"/>
        </w:rPr>
        <w:footnoteRef/>
      </w:r>
      <w:r>
        <w:t xml:space="preserve"> Jedná se o směrnici Rady 96/34/ES ze dne 3. června 1996, o rámcové dohodě o rodičovské dovolené uzavřené mezi organizacemi UNICE, CEEP a EKOS, a směrnici Rady ze dne 9. února 1976 o zavedení zásady rovného zacházení pro muže a ženy, pokud jde o přístup k zaměstnání, odbornému vzdělávání a postupu v zaměstnání a o pracovní podmínky (76/207/EHS).</w:t>
      </w:r>
    </w:p>
  </w:footnote>
  <w:footnote w:id="44">
    <w:p w:rsidR="00B53753" w:rsidRDefault="00B53753" w:rsidP="007B4398">
      <w:pPr>
        <w:pStyle w:val="Textpoznpodarou"/>
      </w:pPr>
      <w:r>
        <w:rPr>
          <w:rStyle w:val="Znakapoznpodarou"/>
        </w:rPr>
        <w:footnoteRef/>
      </w:r>
      <w:r>
        <w:t xml:space="preserve"> K podrobné analýze předmětného rozhodnutí srov. </w:t>
      </w:r>
      <w:proofErr w:type="spellStart"/>
      <w:r>
        <w:t>Kühn</w:t>
      </w:r>
      <w:proofErr w:type="spellEnd"/>
      <w:r>
        <w:t xml:space="preserve">, Z. </w:t>
      </w:r>
      <w:r w:rsidRPr="00721D84">
        <w:rPr>
          <w:i/>
        </w:rPr>
        <w:t>Teoretické problémy aplikace komunitárního práva v nových členských státech</w:t>
      </w:r>
      <w:r>
        <w:t xml:space="preserve">. </w:t>
      </w:r>
      <w:r w:rsidRPr="00721D84">
        <w:t>Právní fórum.</w:t>
      </w:r>
      <w:r>
        <w:t xml:space="preserve"> 2005, č. 9, s. 337-339.</w:t>
      </w:r>
    </w:p>
  </w:footnote>
  <w:footnote w:id="45">
    <w:p w:rsidR="00B53753" w:rsidRDefault="00B53753" w:rsidP="007B4398">
      <w:pPr>
        <w:pStyle w:val="Textpoznpodarou"/>
      </w:pPr>
      <w:r>
        <w:rPr>
          <w:rStyle w:val="Znakapoznpodarou"/>
        </w:rPr>
        <w:footnoteRef/>
      </w:r>
      <w:r>
        <w:t xml:space="preserve"> Rozsudek Nejvyššího soudu ze dne 30. 8. 2006, </w:t>
      </w:r>
      <w:proofErr w:type="spellStart"/>
      <w:r>
        <w:t>sp</w:t>
      </w:r>
      <w:proofErr w:type="spellEnd"/>
      <w:r>
        <w:t>. zn. 29 Odo 242/2006.</w:t>
      </w:r>
    </w:p>
  </w:footnote>
  <w:footnote w:id="46">
    <w:p w:rsidR="00B53753" w:rsidRDefault="00B53753" w:rsidP="007B4398">
      <w:pPr>
        <w:pStyle w:val="Textpoznpodarou"/>
      </w:pPr>
      <w:r>
        <w:rPr>
          <w:rStyle w:val="Znakapoznpodarou"/>
        </w:rPr>
        <w:footnoteRef/>
      </w:r>
      <w:r>
        <w:t xml:space="preserve"> Zákon č. 591/1992 Sb., zákon o cenných papírech, ve znění pozdějších předpisů. Konkrétně se jednalo o ustanovení § 81a a násl. tohoto zákona.</w:t>
      </w:r>
    </w:p>
  </w:footnote>
  <w:footnote w:id="47">
    <w:p w:rsidR="00B53753" w:rsidRDefault="00B53753" w:rsidP="007B4398">
      <w:pPr>
        <w:pStyle w:val="Textpoznpodarou"/>
      </w:pPr>
      <w:r>
        <w:rPr>
          <w:rStyle w:val="Znakapoznpodarou"/>
        </w:rPr>
        <w:footnoteRef/>
      </w:r>
      <w:r>
        <w:t xml:space="preserve"> Směrnice Evropského parlamentu a Rady 97/9/ES ze dne 3. března 1997 o systémech pro odškodnění investorů.</w:t>
      </w:r>
    </w:p>
  </w:footnote>
  <w:footnote w:id="48">
    <w:p w:rsidR="00B53753" w:rsidRDefault="00B53753" w:rsidP="007B4398">
      <w:pPr>
        <w:pStyle w:val="Textpoznpodarou"/>
      </w:pPr>
      <w:r>
        <w:rPr>
          <w:rStyle w:val="Znakapoznpodarou"/>
        </w:rPr>
        <w:footnoteRef/>
      </w:r>
      <w:r>
        <w:t xml:space="preserve"> Usnesení Nejvyššího soudu ze dne 26. 6. 2007, </w:t>
      </w:r>
      <w:proofErr w:type="spellStart"/>
      <w:r>
        <w:t>sp</w:t>
      </w:r>
      <w:proofErr w:type="spellEnd"/>
      <w:r>
        <w:t>. zn. 29 Odo 984/2005.</w:t>
      </w:r>
    </w:p>
  </w:footnote>
  <w:footnote w:id="49">
    <w:p w:rsidR="00B53753" w:rsidRDefault="00B53753" w:rsidP="007C4EBE">
      <w:pPr>
        <w:pStyle w:val="Textpoznpodarou"/>
      </w:pPr>
      <w:r>
        <w:rPr>
          <w:rStyle w:val="Znakapoznpodarou"/>
        </w:rPr>
        <w:footnoteRef/>
      </w:r>
      <w:r>
        <w:t xml:space="preserve"> Rozsudek Nejvyššího soudu ze dne 8. 1. 2008, </w:t>
      </w:r>
      <w:proofErr w:type="spellStart"/>
      <w:r>
        <w:t>sp</w:t>
      </w:r>
      <w:proofErr w:type="spellEnd"/>
      <w:r>
        <w:t>. zn. 29 Odo 160/2006.</w:t>
      </w:r>
    </w:p>
  </w:footnote>
  <w:footnote w:id="50">
    <w:p w:rsidR="00B53753" w:rsidRDefault="00B53753" w:rsidP="007B4398">
      <w:pPr>
        <w:pStyle w:val="Textpoznpodarou"/>
      </w:pPr>
      <w:r>
        <w:rPr>
          <w:rStyle w:val="Znakapoznpodarou"/>
        </w:rPr>
        <w:footnoteRef/>
      </w:r>
      <w:r>
        <w:t xml:space="preserve"> Zákon č. 513/1991 Sb., obchodní zákoník, ve znění pozdějších předpisů.</w:t>
      </w:r>
    </w:p>
  </w:footnote>
  <w:footnote w:id="51">
    <w:p w:rsidR="00B53753" w:rsidRDefault="00B53753">
      <w:pPr>
        <w:pStyle w:val="Textpoznpodarou"/>
      </w:pPr>
      <w:r>
        <w:rPr>
          <w:rStyle w:val="Znakapoznpodarou"/>
        </w:rPr>
        <w:footnoteRef/>
      </w:r>
      <w:r>
        <w:t xml:space="preserve"> K této předběžné otázce srov. </w:t>
      </w:r>
      <w:r w:rsidRPr="006A0E34">
        <w:rPr>
          <w:highlight w:val="yellow"/>
        </w:rPr>
        <w:t>bod 6.2 této kapitoly</w:t>
      </w:r>
      <w:r>
        <w:t>.</w:t>
      </w:r>
    </w:p>
  </w:footnote>
  <w:footnote w:id="52">
    <w:p w:rsidR="00B53753" w:rsidRDefault="00B53753">
      <w:pPr>
        <w:pStyle w:val="Textpoznpodarou"/>
      </w:pPr>
      <w:r>
        <w:rPr>
          <w:rStyle w:val="Znakapoznpodarou"/>
        </w:rPr>
        <w:footnoteRef/>
      </w:r>
      <w:r>
        <w:t xml:space="preserve"> K této problematice srov. rovněž </w:t>
      </w:r>
      <w:r w:rsidRPr="006A0E34">
        <w:rPr>
          <w:highlight w:val="yellow"/>
        </w:rPr>
        <w:t>bod 6.1 této kapitoly</w:t>
      </w:r>
      <w:r>
        <w:t>.</w:t>
      </w:r>
    </w:p>
  </w:footnote>
  <w:footnote w:id="53">
    <w:p w:rsidR="00B53753" w:rsidRDefault="00B53753" w:rsidP="006A0E34">
      <w:pPr>
        <w:pStyle w:val="Textpoznpodarou"/>
        <w:rPr>
          <w:rFonts w:ascii="Cambria" w:hAnsi="Cambria"/>
        </w:rPr>
      </w:pPr>
      <w:r>
        <w:rPr>
          <w:rStyle w:val="Znakapoznpodarou"/>
        </w:rPr>
        <w:footnoteRef/>
      </w:r>
      <w:r>
        <w:t xml:space="preserve"> Rozsudek Nejvyššího soudu ze dne 28. 7. 2009, </w:t>
      </w:r>
      <w:proofErr w:type="spellStart"/>
      <w:r>
        <w:t>sp</w:t>
      </w:r>
      <w:proofErr w:type="spellEnd"/>
      <w:r>
        <w:t xml:space="preserve">. zn. 25 </w:t>
      </w:r>
      <w:proofErr w:type="spellStart"/>
      <w:r>
        <w:t>Cdo</w:t>
      </w:r>
      <w:proofErr w:type="spellEnd"/>
      <w:r>
        <w:t xml:space="preserve"> 1394/2007.</w:t>
      </w:r>
    </w:p>
  </w:footnote>
  <w:footnote w:id="54">
    <w:p w:rsidR="00B53753" w:rsidRDefault="00B53753" w:rsidP="00E6523F">
      <w:pPr>
        <w:pStyle w:val="Textpoznpodarou"/>
      </w:pPr>
      <w:r>
        <w:rPr>
          <w:rStyle w:val="Znakapoznpodarou"/>
        </w:rPr>
        <w:footnoteRef/>
      </w:r>
      <w:r>
        <w:t xml:space="preserve"> Zákon č. 159/1999 Sb., o některých podmínkách podnikání a o výkonu některých činností v oblasti cestovního ruchu a o změně zákona č. 40/1964 Sb., občanský zákoník, ve znění pozdějších předpisů, a zákona č. 455/1991 Sb., o živnostenském podnikání (živnostenský zákon), ve znění pozdějších předpisů (dále jen „zákon o výkonu činností v cestovním ruchu“). V jeho § 10 odst. 1 písm. i) se přitom stanoví, že </w:t>
      </w:r>
      <w:r>
        <w:rPr>
          <w:i/>
        </w:rPr>
        <w:t>„cestovní kancelář je povinna před uzavřením cestovní smlouvy v katalogu, případně jinou prokazatelnou formou (…) pravdivě, srozumitelně, úplně a řádně informovat o všech skutečnostech, které jsou jí známy a které mohou mít vliv na rozhodnutí zájemce o koupi zájezdu, zejména o pasových a vízových požadavcích pro občany České republiky a zdravotních formalitách, které jsou nutné pro cestu a pobyt, a o obvyklých cenách a lhůtách pro jejich vyřízení.“</w:t>
      </w:r>
    </w:p>
  </w:footnote>
  <w:footnote w:id="55">
    <w:p w:rsidR="00B53753" w:rsidRDefault="00B53753" w:rsidP="00E6523F">
      <w:pPr>
        <w:pStyle w:val="Textpoznpodarou"/>
      </w:pPr>
      <w:r>
        <w:rPr>
          <w:rStyle w:val="Znakapoznpodarou"/>
        </w:rPr>
        <w:footnoteRef/>
      </w:r>
      <w:r>
        <w:t xml:space="preserve"> V čl. 4 odst. 1 písm. a) směrnice Rady ze dne 13. června 1990 o souborných službách pro cesty, pobyty a zájezdy, se stanoví, že </w:t>
      </w:r>
      <w:r>
        <w:rPr>
          <w:i/>
        </w:rPr>
        <w:t>„organizátor nebo prodejce poskytnou před uzavřením smlouvy spotřebiteli písemně nebo jinou vhodnou formou obecné informace o pasových a vízových požadavcích pro příslušníky daného členského státu nebo států, zejména o lhůtách pro jejich vyřízení, jakož i informace o zdravotních dokladech požadovaných pro cestu a pobyt.“</w:t>
      </w:r>
    </w:p>
  </w:footnote>
  <w:footnote w:id="56">
    <w:p w:rsidR="00B53753" w:rsidRDefault="00B53753">
      <w:pPr>
        <w:pStyle w:val="Textpoznpodarou"/>
      </w:pPr>
      <w:r>
        <w:rPr>
          <w:rStyle w:val="Znakapoznpodarou"/>
        </w:rPr>
        <w:footnoteRef/>
      </w:r>
      <w:r>
        <w:t xml:space="preserve"> K této problematice srov. rovněž </w:t>
      </w:r>
      <w:r w:rsidRPr="0007728D">
        <w:rPr>
          <w:highlight w:val="yellow"/>
        </w:rPr>
        <w:t>bod 6.3 této kapitoly</w:t>
      </w:r>
      <w:r>
        <w:t>.</w:t>
      </w:r>
    </w:p>
  </w:footnote>
  <w:footnote w:id="57">
    <w:p w:rsidR="00B53753" w:rsidRDefault="00B53753">
      <w:pPr>
        <w:pStyle w:val="Textpoznpodarou"/>
      </w:pPr>
      <w:r>
        <w:rPr>
          <w:rStyle w:val="Znakapoznpodarou"/>
        </w:rPr>
        <w:footnoteRef/>
      </w:r>
      <w:r>
        <w:t xml:space="preserve"> Srov. např. rozsudek Nejvyššího soudu ze dne 28. 3. 2007, </w:t>
      </w:r>
      <w:proofErr w:type="spellStart"/>
      <w:r>
        <w:t>sp</w:t>
      </w:r>
      <w:proofErr w:type="spellEnd"/>
      <w:r>
        <w:t xml:space="preserve">. zn. 26 </w:t>
      </w:r>
      <w:proofErr w:type="spellStart"/>
      <w:r>
        <w:t>Cdo</w:t>
      </w:r>
      <w:proofErr w:type="spellEnd"/>
      <w:r>
        <w:t xml:space="preserve"> 447/2005 nebo rozsudek ze dne 27. 2. 2007, </w:t>
      </w:r>
      <w:proofErr w:type="spellStart"/>
      <w:r>
        <w:t>sp</w:t>
      </w:r>
      <w:proofErr w:type="spellEnd"/>
      <w:r>
        <w:t xml:space="preserve">. zn. 29 Odo 780/2006 </w:t>
      </w:r>
      <w:r w:rsidRPr="000F6B47">
        <w:rPr>
          <w:highlight w:val="yellow"/>
        </w:rPr>
        <w:t>…</w:t>
      </w:r>
    </w:p>
  </w:footnote>
  <w:footnote w:id="58">
    <w:p w:rsidR="00B53753" w:rsidRDefault="00B53753" w:rsidP="005F1796">
      <w:pPr>
        <w:pStyle w:val="Textpoznpodarou"/>
      </w:pPr>
      <w:r>
        <w:rPr>
          <w:rStyle w:val="Znakapoznpodarou"/>
        </w:rPr>
        <w:footnoteRef/>
      </w:r>
      <w:r>
        <w:t xml:space="preserve"> Zákon č. 99/1963 Sb., občanský soudní řád, ve znění pozdějších předpisů.</w:t>
      </w:r>
    </w:p>
  </w:footnote>
  <w:footnote w:id="59">
    <w:p w:rsidR="00B53753" w:rsidRDefault="00B53753" w:rsidP="005F1796">
      <w:pPr>
        <w:pStyle w:val="Textpoznpodarou"/>
      </w:pPr>
      <w:r>
        <w:rPr>
          <w:rStyle w:val="Znakapoznpodarou"/>
        </w:rPr>
        <w:footnoteRef/>
      </w:r>
      <w:r>
        <w:t xml:space="preserve"> Obdobný postup je však možný i v případě, kdy se jedná o nepřímou aplikaci evropského práva prostřednictvím transpozičních vnitrostátních předpisů. Srov. rozsudek Nejvyššího soudu ze dne 27. 8. 2009, </w:t>
      </w:r>
      <w:proofErr w:type="spellStart"/>
      <w:r>
        <w:t>sp</w:t>
      </w:r>
      <w:proofErr w:type="spellEnd"/>
      <w:r>
        <w:t xml:space="preserve">. zn. 29 </w:t>
      </w:r>
      <w:proofErr w:type="spellStart"/>
      <w:r>
        <w:t>Cdo</w:t>
      </w:r>
      <w:proofErr w:type="spellEnd"/>
      <w:r>
        <w:t xml:space="preserve"> 2467/2007, v němž NS zrušil napadené rozhodnutí odvolacího soudu, neboť shledal, že se v něm nijak nevypořádal s argumentací žalovaného unijními směrnicemi. K tomuto závěru Nejvyšší soud dospěl navzdory skutečnosti, že žalovaný argumentoval nesprávnou směrnicí.</w:t>
      </w:r>
    </w:p>
  </w:footnote>
  <w:footnote w:id="60">
    <w:p w:rsidR="00B53753" w:rsidRDefault="00B53753" w:rsidP="005F1796">
      <w:pPr>
        <w:pStyle w:val="Textpoznpodarou"/>
      </w:pPr>
      <w:r>
        <w:rPr>
          <w:rStyle w:val="Znakapoznpodarou"/>
        </w:rPr>
        <w:footnoteRef/>
      </w:r>
      <w:r>
        <w:t xml:space="preserve"> Usnesení Nejvyššího soudu ze dne 27. 11. 2008, </w:t>
      </w:r>
      <w:proofErr w:type="spellStart"/>
      <w:r>
        <w:t>sp</w:t>
      </w:r>
      <w:proofErr w:type="spellEnd"/>
      <w:r>
        <w:t xml:space="preserve">. zn. 32 </w:t>
      </w:r>
      <w:proofErr w:type="spellStart"/>
      <w:r>
        <w:t>Cdo</w:t>
      </w:r>
      <w:proofErr w:type="spellEnd"/>
      <w:r>
        <w:t xml:space="preserve"> 1185/2007.</w:t>
      </w:r>
    </w:p>
  </w:footnote>
  <w:footnote w:id="61">
    <w:p w:rsidR="00B53753" w:rsidRDefault="00B53753" w:rsidP="005F1796">
      <w:pPr>
        <w:pStyle w:val="Textpoznpodarou"/>
      </w:pPr>
      <w:r>
        <w:rPr>
          <w:rStyle w:val="Znakapoznpodarou"/>
        </w:rPr>
        <w:footnoteRef/>
      </w:r>
      <w:r>
        <w:t xml:space="preserve"> Nařízení Rady (ES) č. 44/2001 ze dne 22. prosince 2000 o příslušnosti a uznávání a výkonu soudních rozhodnutí v občanských a obchodních věcech.</w:t>
      </w:r>
    </w:p>
  </w:footnote>
  <w:footnote w:id="62">
    <w:p w:rsidR="00B53753" w:rsidRDefault="00B53753" w:rsidP="005F1796">
      <w:pPr>
        <w:pStyle w:val="Textpoznpodarou"/>
      </w:pPr>
      <w:r>
        <w:rPr>
          <w:rStyle w:val="Znakapoznpodarou"/>
        </w:rPr>
        <w:footnoteRef/>
      </w:r>
      <w:r>
        <w:t xml:space="preserve"> Srov. rovněž usnesení Nejvyššího soudu ze dne 18. 4. 2007, </w:t>
      </w:r>
      <w:proofErr w:type="spellStart"/>
      <w:r>
        <w:t>sp</w:t>
      </w:r>
      <w:proofErr w:type="spellEnd"/>
      <w:r>
        <w:t xml:space="preserve">. zn. 20 </w:t>
      </w:r>
      <w:proofErr w:type="spellStart"/>
      <w:r>
        <w:t>Cdo</w:t>
      </w:r>
      <w:proofErr w:type="spellEnd"/>
      <w:r>
        <w:t xml:space="preserve"> 710/2006, usnesení ze dne 20. 2. 2008, </w:t>
      </w:r>
      <w:proofErr w:type="spellStart"/>
      <w:r>
        <w:t>sp</w:t>
      </w:r>
      <w:proofErr w:type="spellEnd"/>
      <w:r>
        <w:t xml:space="preserve">. zn. 33 Odo 392/2006 nebo usnesení ze dne 23. 9. 2008, </w:t>
      </w:r>
      <w:proofErr w:type="spellStart"/>
      <w:r>
        <w:t>sp</w:t>
      </w:r>
      <w:proofErr w:type="spellEnd"/>
      <w:r>
        <w:t xml:space="preserve">. zn. 29 </w:t>
      </w:r>
      <w:proofErr w:type="spellStart"/>
      <w:r>
        <w:t>Nd</w:t>
      </w:r>
      <w:proofErr w:type="spellEnd"/>
      <w:r>
        <w:t xml:space="preserve"> 336/2007. </w:t>
      </w:r>
    </w:p>
  </w:footnote>
  <w:footnote w:id="63">
    <w:p w:rsidR="00B53753" w:rsidRDefault="00B53753" w:rsidP="005F1796">
      <w:pPr>
        <w:pStyle w:val="Textpoznpodarou"/>
      </w:pPr>
      <w:r>
        <w:rPr>
          <w:rStyle w:val="Znakapoznpodarou"/>
        </w:rPr>
        <w:footnoteRef/>
      </w:r>
      <w:r>
        <w:t xml:space="preserve"> Usnesení Nejvyššího soudu ze dne 31. 3. 2009, </w:t>
      </w:r>
      <w:proofErr w:type="spellStart"/>
      <w:r>
        <w:t>sp</w:t>
      </w:r>
      <w:proofErr w:type="spellEnd"/>
      <w:r>
        <w:t xml:space="preserve">. zn. 33 </w:t>
      </w:r>
      <w:proofErr w:type="spellStart"/>
      <w:r>
        <w:t>Cdo</w:t>
      </w:r>
      <w:proofErr w:type="spellEnd"/>
      <w:r>
        <w:t xml:space="preserve"> 2894/2008.</w:t>
      </w:r>
    </w:p>
  </w:footnote>
  <w:footnote w:id="64">
    <w:p w:rsidR="00B53753" w:rsidRDefault="00B53753" w:rsidP="005F1796">
      <w:pPr>
        <w:pStyle w:val="Textpoznpodarou"/>
      </w:pPr>
      <w:r>
        <w:rPr>
          <w:rStyle w:val="Znakapoznpodarou"/>
        </w:rPr>
        <w:footnoteRef/>
      </w:r>
      <w:r>
        <w:t xml:space="preserve"> Srov. ustanovení § 129 odst. 1 věty první zákona č. 127/2005 Sb., o elektronických komunikacích, ve znění pozdějších předpisů (</w:t>
      </w:r>
      <w:r>
        <w:rPr>
          <w:i/>
        </w:rPr>
        <w:t>„Úřad rozhoduje spory mezi osobou vykonávající komunikační činnost (§ 7) na straně jedné, a účastníkem, popřípadě uživatelem na straně druhé, na základě návrhu kterékoliv ze stran sporu, pokud se spor týká povinností uložených tímto zákonem nebo na jeho základě.“</w:t>
      </w:r>
      <w:r>
        <w:t>).</w:t>
      </w:r>
    </w:p>
  </w:footnote>
  <w:footnote w:id="65">
    <w:p w:rsidR="00B53753" w:rsidRDefault="00B53753" w:rsidP="005F1796">
      <w:pPr>
        <w:pStyle w:val="Textpoznpodarou"/>
      </w:pPr>
      <w:r>
        <w:rPr>
          <w:rStyle w:val="Znakapoznpodarou"/>
        </w:rPr>
        <w:footnoteRef/>
      </w:r>
      <w:r>
        <w:t xml:space="preserve"> Srov. čl. 8 odst. 4 písm. b) směrnice Evropského parlamentu a Rady 2002/21/ES ze dne 7. března 2002 o společném předpisovém rámci pro sítě a služby elektronických komunikací (rámcová směrnice), jež stanoví, že </w:t>
      </w:r>
      <w:r>
        <w:rPr>
          <w:i/>
        </w:rPr>
        <w:t>„vnitrostátní regulační orgány prosazují zájmy občanů Evropské unie mimo jiné tím, že zajišťují vysokou úroveň ochrany spotřebitelů při obchodních jednáních s dodavateli, zejména zajišťováním dostupnosti jednoduchých a nenákladných postupů pro řešení sporů, které provádí subjekt nezávislý na zúčastněných stranách.“</w:t>
      </w:r>
    </w:p>
  </w:footnote>
  <w:footnote w:id="66">
    <w:p w:rsidR="00B53753" w:rsidRDefault="00B53753" w:rsidP="005F1796">
      <w:pPr>
        <w:pStyle w:val="Textpoznpodarou"/>
      </w:pPr>
      <w:r>
        <w:rPr>
          <w:rStyle w:val="Znakapoznpodarou"/>
        </w:rPr>
        <w:footnoteRef/>
      </w:r>
      <w:r>
        <w:t xml:space="preserve"> Stanovisko pléna Ústavního soudu ze dne 21. 5. 1996, </w:t>
      </w:r>
      <w:proofErr w:type="spellStart"/>
      <w:r>
        <w:t>sp</w:t>
      </w:r>
      <w:proofErr w:type="spellEnd"/>
      <w:r>
        <w:t xml:space="preserve">. zn. </w:t>
      </w:r>
      <w:proofErr w:type="spellStart"/>
      <w:r>
        <w:t>Pl</w:t>
      </w:r>
      <w:proofErr w:type="spellEnd"/>
      <w:r>
        <w:t xml:space="preserve">. ÚS-st 1/96. Srov. pasáž stanoviska v bodě IV: </w:t>
      </w:r>
      <w:r>
        <w:rPr>
          <w:i/>
        </w:rPr>
        <w:t xml:space="preserve">„V případě konfliktu mezi doslovným zněním zákona a jeho smyslem a účelem je důležité stanovit podmínky priority výkladu e </w:t>
      </w:r>
      <w:proofErr w:type="spellStart"/>
      <w:r>
        <w:rPr>
          <w:i/>
        </w:rPr>
        <w:t>ratione</w:t>
      </w:r>
      <w:proofErr w:type="spellEnd"/>
      <w:r>
        <w:rPr>
          <w:i/>
        </w:rPr>
        <w:t xml:space="preserve"> </w:t>
      </w:r>
      <w:proofErr w:type="spellStart"/>
      <w:r>
        <w:rPr>
          <w:i/>
        </w:rPr>
        <w:t>legis</w:t>
      </w:r>
      <w:proofErr w:type="spellEnd"/>
      <w:r>
        <w:rPr>
          <w:i/>
        </w:rPr>
        <w:t xml:space="preserve"> před výkladem jazykovým, podmínky, jež by měly představovat bariéru možné libovůle při aplikaci práva.“</w:t>
      </w:r>
    </w:p>
  </w:footnote>
  <w:footnote w:id="67">
    <w:p w:rsidR="00B53753" w:rsidRDefault="00B53753">
      <w:pPr>
        <w:pStyle w:val="Textpoznpodarou"/>
      </w:pPr>
      <w:r>
        <w:rPr>
          <w:rStyle w:val="Znakapoznpodarou"/>
        </w:rPr>
        <w:footnoteRef/>
      </w:r>
      <w:r>
        <w:t xml:space="preserve"> Rozsudek Nejvyššího soudu ze dne 20. 8. 2012, </w:t>
      </w:r>
      <w:proofErr w:type="spellStart"/>
      <w:r>
        <w:t>sp</w:t>
      </w:r>
      <w:proofErr w:type="spellEnd"/>
      <w:r>
        <w:t xml:space="preserve">. zn. 28 </w:t>
      </w:r>
      <w:proofErr w:type="spellStart"/>
      <w:r>
        <w:t>Cdo</w:t>
      </w:r>
      <w:proofErr w:type="spellEnd"/>
      <w:r>
        <w:t xml:space="preserve"> 2927/2010. K rozboru tohoto rozhodnutí srov. rovněž bod 5.2 této kapitoly.</w:t>
      </w:r>
    </w:p>
  </w:footnote>
  <w:footnote w:id="68">
    <w:p w:rsidR="00B53753" w:rsidRDefault="00B53753" w:rsidP="00185961">
      <w:pPr>
        <w:pStyle w:val="Textpoznpodarou"/>
      </w:pPr>
      <w:r>
        <w:rPr>
          <w:rStyle w:val="Znakapoznpodarou"/>
        </w:rPr>
        <w:footnoteRef/>
      </w:r>
      <w:r>
        <w:t xml:space="preserve"> Král</w:t>
      </w:r>
      <w:r w:rsidRPr="00516B08">
        <w:t xml:space="preserve">, R. </w:t>
      </w:r>
      <w:r w:rsidRPr="00516B08">
        <w:rPr>
          <w:i/>
        </w:rPr>
        <w:t>Zásady aplikace komunitárního práva národními soudy</w:t>
      </w:r>
      <w:r w:rsidRPr="00516B08">
        <w:t>. Praha: C. H. Beck, 2003</w:t>
      </w:r>
      <w:r>
        <w:t>, str. 39-40.</w:t>
      </w:r>
    </w:p>
  </w:footnote>
  <w:footnote w:id="69">
    <w:p w:rsidR="00B53753" w:rsidRDefault="00B53753">
      <w:pPr>
        <w:pStyle w:val="Textpoznpodarou"/>
      </w:pPr>
      <w:r>
        <w:rPr>
          <w:rStyle w:val="Znakapoznpodarou"/>
        </w:rPr>
        <w:footnoteRef/>
      </w:r>
      <w:r>
        <w:t xml:space="preserve"> Bobek</w:t>
      </w:r>
      <w:r w:rsidRPr="00AB610A">
        <w:t xml:space="preserve">, M. </w:t>
      </w:r>
      <w:r w:rsidRPr="000F6B47">
        <w:rPr>
          <w:i/>
        </w:rPr>
        <w:t>Evropské právo v aplikační praxi správních orgánů a soudů – přílivová vlna anebo postupný průsak?</w:t>
      </w:r>
      <w:r w:rsidRPr="00AB610A">
        <w:t xml:space="preserve"> </w:t>
      </w:r>
      <w:r w:rsidRPr="000F6B47">
        <w:t>Soudní rozhledy.</w:t>
      </w:r>
      <w:r w:rsidRPr="00AB610A">
        <w:t xml:space="preserve"> </w:t>
      </w:r>
      <w:r>
        <w:t>2008, č. 10, str. 373.</w:t>
      </w:r>
    </w:p>
  </w:footnote>
  <w:footnote w:id="70">
    <w:p w:rsidR="00B53753" w:rsidRDefault="00B53753" w:rsidP="000F6B47">
      <w:pPr>
        <w:pStyle w:val="Textpoznpodarou"/>
      </w:pPr>
      <w:r>
        <w:rPr>
          <w:rStyle w:val="Znakapoznpodarou"/>
        </w:rPr>
        <w:footnoteRef/>
      </w:r>
      <w:r>
        <w:t xml:space="preserve"> Rozsudek Nejvyššího soudu ze dne 5. 8. 2008, </w:t>
      </w:r>
      <w:proofErr w:type="spellStart"/>
      <w:r>
        <w:t>sp</w:t>
      </w:r>
      <w:proofErr w:type="spellEnd"/>
      <w:r>
        <w:t xml:space="preserve">. zn. 28 </w:t>
      </w:r>
      <w:proofErr w:type="spellStart"/>
      <w:r>
        <w:t>Cdo</w:t>
      </w:r>
      <w:proofErr w:type="spellEnd"/>
      <w:r>
        <w:t xml:space="preserve"> 864/2008.</w:t>
      </w:r>
    </w:p>
  </w:footnote>
  <w:footnote w:id="71">
    <w:p w:rsidR="00B53753" w:rsidRDefault="00B53753" w:rsidP="00A25B08">
      <w:pPr>
        <w:pStyle w:val="Textpoznpodarou"/>
      </w:pPr>
      <w:r>
        <w:rPr>
          <w:rStyle w:val="Znakapoznpodarou"/>
        </w:rPr>
        <w:footnoteRef/>
      </w:r>
      <w:r>
        <w:t xml:space="preserve"> Směrnice Rady 93/13/EHS ze dne 5. dubna 1993 o nepřiměřených podmínkách ve spotřebitelských smlouvách. NS přitom odkázal na její čl. 5 větu druhou (</w:t>
      </w:r>
      <w:r>
        <w:rPr>
          <w:i/>
        </w:rPr>
        <w:t>„Při pochybnosti o významu některé podmínky má převahu výklad, který je pro spotřebitele nejpříznivější.“</w:t>
      </w:r>
      <w:r>
        <w:t>), přičemž srovnal jeho různé jazykové mutace.</w:t>
      </w:r>
    </w:p>
  </w:footnote>
  <w:footnote w:id="72">
    <w:p w:rsidR="00B53753" w:rsidRDefault="00B53753" w:rsidP="000F6B47">
      <w:pPr>
        <w:pStyle w:val="Textpoznpodarou"/>
      </w:pPr>
      <w:r>
        <w:rPr>
          <w:rStyle w:val="Znakapoznpodarou"/>
        </w:rPr>
        <w:footnoteRef/>
      </w:r>
      <w:r>
        <w:t xml:space="preserve"> Bobek</w:t>
      </w:r>
      <w:r w:rsidRPr="00AB610A">
        <w:t xml:space="preserve">, M. </w:t>
      </w:r>
      <w:r w:rsidRPr="000F6B47">
        <w:rPr>
          <w:i/>
        </w:rPr>
        <w:t>Evropské právo v aplikační praxi správních orgánů a soudů – přílivová vlna anebo postupný průsak?</w:t>
      </w:r>
      <w:r w:rsidRPr="00AB610A">
        <w:t xml:space="preserve"> </w:t>
      </w:r>
      <w:r w:rsidRPr="000F6B47">
        <w:t>Soudní rozhledy.</w:t>
      </w:r>
      <w:r w:rsidRPr="00AB610A">
        <w:t xml:space="preserve"> </w:t>
      </w:r>
      <w:r>
        <w:t>2008, č. 10, str. 373.</w:t>
      </w:r>
    </w:p>
  </w:footnote>
  <w:footnote w:id="73">
    <w:p w:rsidR="00B53753" w:rsidRDefault="00B53753" w:rsidP="00A25B08">
      <w:pPr>
        <w:pStyle w:val="Textpoznpodarou"/>
      </w:pPr>
      <w:r>
        <w:rPr>
          <w:rStyle w:val="Znakapoznpodarou"/>
        </w:rPr>
        <w:footnoteRef/>
      </w:r>
      <w:r>
        <w:t xml:space="preserve"> Usnesení Nejvyššího soudu ze dne 19. 9. 2007, </w:t>
      </w:r>
      <w:proofErr w:type="spellStart"/>
      <w:r>
        <w:t>sp</w:t>
      </w:r>
      <w:proofErr w:type="spellEnd"/>
      <w:r>
        <w:t>. zn. 29 Odo 1162/2005.</w:t>
      </w:r>
    </w:p>
  </w:footnote>
  <w:footnote w:id="74">
    <w:p w:rsidR="00B53753" w:rsidRDefault="00B53753" w:rsidP="00A25B08">
      <w:pPr>
        <w:pStyle w:val="Textpoznpodarou"/>
      </w:pPr>
      <w:r>
        <w:rPr>
          <w:rStyle w:val="Znakapoznpodarou"/>
        </w:rPr>
        <w:footnoteRef/>
      </w:r>
      <w:r>
        <w:t xml:space="preserve"> Směrnice Evropského parlamentu a Rady 2001/34/ES ze dne 28. května 2001 o přijetí cenných papírů ke kotování na burze cenných papírů a o informacích, které k nim mají být zveřejněny.</w:t>
      </w:r>
    </w:p>
  </w:footnote>
  <w:footnote w:id="75">
    <w:p w:rsidR="00B53753" w:rsidRDefault="00B53753" w:rsidP="00430E9F">
      <w:pPr>
        <w:pStyle w:val="Textpoznpodarou"/>
      </w:pPr>
      <w:r>
        <w:rPr>
          <w:rStyle w:val="Znakapoznpodarou"/>
        </w:rPr>
        <w:footnoteRef/>
      </w:r>
      <w:r>
        <w:t xml:space="preserve"> Bobek</w:t>
      </w:r>
      <w:r w:rsidRPr="00AB610A">
        <w:t xml:space="preserve">, M. </w:t>
      </w:r>
      <w:r w:rsidRPr="000F6B47">
        <w:rPr>
          <w:i/>
        </w:rPr>
        <w:t>Evropské právo v aplikační praxi správních orgánů a soudů – přílivová vlna anebo postupný průsak?</w:t>
      </w:r>
      <w:r w:rsidRPr="00AB610A">
        <w:t xml:space="preserve"> </w:t>
      </w:r>
      <w:r w:rsidRPr="000F6B47">
        <w:t>Soudní rozhledy.</w:t>
      </w:r>
      <w:r w:rsidRPr="00AB610A">
        <w:t xml:space="preserve"> </w:t>
      </w:r>
      <w:r>
        <w:t>2008, č. 10, str. 373.</w:t>
      </w:r>
    </w:p>
  </w:footnote>
  <w:footnote w:id="76">
    <w:p w:rsidR="00B53753" w:rsidRDefault="00B53753">
      <w:pPr>
        <w:pStyle w:val="Textpoznpodarou"/>
      </w:pPr>
      <w:r>
        <w:rPr>
          <w:rStyle w:val="Znakapoznpodarou"/>
        </w:rPr>
        <w:footnoteRef/>
      </w:r>
      <w:r>
        <w:t xml:space="preserve"> Usnesení Nejvyššího soudu ze dne 31. 3. 2009, </w:t>
      </w:r>
      <w:proofErr w:type="spellStart"/>
      <w:r>
        <w:t>sp</w:t>
      </w:r>
      <w:proofErr w:type="spellEnd"/>
      <w:r>
        <w:t xml:space="preserve">. zn. 33 </w:t>
      </w:r>
      <w:proofErr w:type="spellStart"/>
      <w:r>
        <w:t>Cdo</w:t>
      </w:r>
      <w:proofErr w:type="spellEnd"/>
      <w:r>
        <w:t xml:space="preserve"> 2894/2008. Srov. rovněž výklad k tomuto rozhodnutí </w:t>
      </w:r>
      <w:r w:rsidRPr="00430E9F">
        <w:rPr>
          <w:highlight w:val="yellow"/>
        </w:rPr>
        <w:t>v bodu 3.2 této kapitoly</w:t>
      </w:r>
      <w:r>
        <w:t>.</w:t>
      </w:r>
    </w:p>
  </w:footnote>
  <w:footnote w:id="77">
    <w:p w:rsidR="00B53753" w:rsidRDefault="00B53753" w:rsidP="00433A90">
      <w:pPr>
        <w:pStyle w:val="Textpoznpodarou"/>
      </w:pPr>
      <w:r>
        <w:rPr>
          <w:rStyle w:val="Znakapoznpodarou"/>
        </w:rPr>
        <w:footnoteRef/>
      </w:r>
      <w:r>
        <w:t xml:space="preserve"> Říčka, R. </w:t>
      </w:r>
      <w:r w:rsidRPr="00750E10">
        <w:rPr>
          <w:i/>
        </w:rPr>
        <w:t xml:space="preserve">Odpovědnost typu </w:t>
      </w:r>
      <w:proofErr w:type="spellStart"/>
      <w:r w:rsidRPr="00750E10">
        <w:rPr>
          <w:i/>
        </w:rPr>
        <w:t>Francovich</w:t>
      </w:r>
      <w:proofErr w:type="spellEnd"/>
      <w:r w:rsidRPr="00750E10">
        <w:rPr>
          <w:i/>
        </w:rPr>
        <w:t xml:space="preserve"> a české soudy: současnost</w:t>
      </w:r>
      <w:r>
        <w:t xml:space="preserve">. Právník. 2013, č. 4, str. 381. V uvedeném článku se autor velmi kriticky staví k judikatuře Nejvyššího soudu týkající se odpovědnosti státu za porušení práva EU, konkrétně k rozhodnutím ze dne 24. 2. 2010, </w:t>
      </w:r>
      <w:proofErr w:type="spellStart"/>
      <w:r>
        <w:t>sp</w:t>
      </w:r>
      <w:proofErr w:type="spellEnd"/>
      <w:r>
        <w:t xml:space="preserve">. zn. 25 </w:t>
      </w:r>
      <w:proofErr w:type="spellStart"/>
      <w:r>
        <w:t>Cdo</w:t>
      </w:r>
      <w:proofErr w:type="spellEnd"/>
      <w:r>
        <w:t xml:space="preserve"> 3556/2007, a ze dne 30. 3. 2010, </w:t>
      </w:r>
      <w:proofErr w:type="spellStart"/>
      <w:r>
        <w:t>sp</w:t>
      </w:r>
      <w:proofErr w:type="spellEnd"/>
      <w:r>
        <w:t xml:space="preserve">. zn. </w:t>
      </w:r>
      <w:r w:rsidRPr="00022831">
        <w:t xml:space="preserve">25 </w:t>
      </w:r>
      <w:proofErr w:type="spellStart"/>
      <w:r w:rsidRPr="00022831">
        <w:t>Cdo</w:t>
      </w:r>
      <w:proofErr w:type="spellEnd"/>
      <w:r w:rsidRPr="00022831">
        <w:t xml:space="preserve"> </w:t>
      </w:r>
      <w:r>
        <w:t xml:space="preserve">1715/2008, jež byla následně zrušena Ústavním soudem. Jakkoliv se lze s touto kritikou ztotožnit (viz dále), autor nicméně přehlíží pozdější (byť v době publikace článku již veřejnosti dostupnou) judikaturu NS, zejména rozsudek ze dne 20. 8. 2012, </w:t>
      </w:r>
      <w:proofErr w:type="spellStart"/>
      <w:r>
        <w:t>sp</w:t>
      </w:r>
      <w:proofErr w:type="spellEnd"/>
      <w:r>
        <w:t xml:space="preserve">. zn. 28 </w:t>
      </w:r>
      <w:proofErr w:type="spellStart"/>
      <w:r>
        <w:t>Cdo</w:t>
      </w:r>
      <w:proofErr w:type="spellEnd"/>
      <w:r>
        <w:t xml:space="preserve"> 2927/2010.</w:t>
      </w:r>
    </w:p>
  </w:footnote>
  <w:footnote w:id="78">
    <w:p w:rsidR="00B53753" w:rsidRDefault="00B53753" w:rsidP="009709EB">
      <w:pPr>
        <w:pStyle w:val="Textpoznpodarou"/>
      </w:pPr>
      <w:r>
        <w:rPr>
          <w:rStyle w:val="Znakapoznpodarou"/>
        </w:rPr>
        <w:footnoteRef/>
      </w:r>
      <w:r>
        <w:t xml:space="preserve"> Rozsudek Soudního dvora ze dne 19. 11. 1991, </w:t>
      </w:r>
      <w:proofErr w:type="spellStart"/>
      <w:r w:rsidRPr="003710D5">
        <w:rPr>
          <w:i/>
        </w:rPr>
        <w:t>Francovich</w:t>
      </w:r>
      <w:proofErr w:type="spellEnd"/>
      <w:r w:rsidRPr="003710D5">
        <w:rPr>
          <w:i/>
        </w:rPr>
        <w:t xml:space="preserve"> a další</w:t>
      </w:r>
      <w:r>
        <w:t xml:space="preserve">, C-6/90 a C-9/90, </w:t>
      </w:r>
      <w:proofErr w:type="spellStart"/>
      <w:r w:rsidRPr="005E67AE">
        <w:t>Recueil</w:t>
      </w:r>
      <w:proofErr w:type="spellEnd"/>
      <w:r>
        <w:t>, str. I-5357.</w:t>
      </w:r>
    </w:p>
  </w:footnote>
  <w:footnote w:id="79">
    <w:p w:rsidR="00B53753" w:rsidRDefault="00B53753" w:rsidP="00627426">
      <w:pPr>
        <w:pStyle w:val="Textpoznpodarou"/>
      </w:pPr>
      <w:r>
        <w:rPr>
          <w:rStyle w:val="Znakapoznpodarou"/>
        </w:rPr>
        <w:footnoteRef/>
      </w:r>
      <w:r>
        <w:t xml:space="preserve"> Rozsudek Soudního dvora ze dne 5. 3. 1996, </w:t>
      </w:r>
      <w:proofErr w:type="spellStart"/>
      <w:r w:rsidRPr="00E4526A">
        <w:rPr>
          <w:i/>
        </w:rPr>
        <w:t>Brasserie</w:t>
      </w:r>
      <w:proofErr w:type="spellEnd"/>
      <w:r w:rsidRPr="00E4526A">
        <w:rPr>
          <w:i/>
        </w:rPr>
        <w:t xml:space="preserve"> </w:t>
      </w:r>
      <w:proofErr w:type="spellStart"/>
      <w:r w:rsidRPr="00E4526A">
        <w:rPr>
          <w:i/>
        </w:rPr>
        <w:t>du</w:t>
      </w:r>
      <w:proofErr w:type="spellEnd"/>
      <w:r w:rsidRPr="00E4526A">
        <w:rPr>
          <w:i/>
        </w:rPr>
        <w:t xml:space="preserve"> </w:t>
      </w:r>
      <w:proofErr w:type="spellStart"/>
      <w:r w:rsidRPr="00E4526A">
        <w:rPr>
          <w:i/>
        </w:rPr>
        <w:t>Pêcheur</w:t>
      </w:r>
      <w:proofErr w:type="spellEnd"/>
      <w:r>
        <w:t xml:space="preserve">, C-46/93 a C-48/93, </w:t>
      </w:r>
      <w:proofErr w:type="spellStart"/>
      <w:r>
        <w:t>Recueil</w:t>
      </w:r>
      <w:proofErr w:type="spellEnd"/>
      <w:r>
        <w:t>, str. I-1029.</w:t>
      </w:r>
    </w:p>
  </w:footnote>
  <w:footnote w:id="80">
    <w:p w:rsidR="00B53753" w:rsidRDefault="00B53753">
      <w:pPr>
        <w:pStyle w:val="Textpoznpodarou"/>
      </w:pPr>
      <w:r>
        <w:rPr>
          <w:rStyle w:val="Znakapoznpodarou"/>
        </w:rPr>
        <w:footnoteRef/>
      </w:r>
      <w:r>
        <w:t xml:space="preserve"> V podrobnostech srov. </w:t>
      </w:r>
      <w:r>
        <w:rPr>
          <w:rFonts w:cs="Times New Roman"/>
        </w:rPr>
        <w:t xml:space="preserve">Bobek, M., Bříza, P., Komárek, J. </w:t>
      </w:r>
      <w:r w:rsidRPr="00A50739">
        <w:rPr>
          <w:rFonts w:cs="Times New Roman"/>
          <w:i/>
        </w:rPr>
        <w:t>Vnitrostátní aplikace práva Evropské unie</w:t>
      </w:r>
      <w:r>
        <w:rPr>
          <w:rFonts w:cs="Times New Roman"/>
        </w:rPr>
        <w:t>. Praha: C. H. Beck, 2011, str. 326-329.</w:t>
      </w:r>
    </w:p>
  </w:footnote>
  <w:footnote w:id="81">
    <w:p w:rsidR="00B53753" w:rsidRDefault="00B53753">
      <w:pPr>
        <w:pStyle w:val="Textpoznpodarou"/>
      </w:pPr>
      <w:r>
        <w:rPr>
          <w:rStyle w:val="Znakapoznpodarou"/>
        </w:rPr>
        <w:footnoteRef/>
      </w:r>
      <w:r>
        <w:t xml:space="preserve"> Srov. Neubauer, J. </w:t>
      </w:r>
      <w:r w:rsidRPr="00803E70">
        <w:rPr>
          <w:i/>
        </w:rPr>
        <w:t>Vnitrostátní realizace komunitární zásady odpovědnosti zákonodárce za škodu</w:t>
      </w:r>
      <w:r>
        <w:t>. Právní fórum. 2009, č. 12, str. 544 a násl.</w:t>
      </w:r>
    </w:p>
  </w:footnote>
  <w:footnote w:id="82">
    <w:p w:rsidR="00B53753" w:rsidRDefault="00B53753" w:rsidP="00F8693A">
      <w:pPr>
        <w:pStyle w:val="Textpoznpodarou"/>
      </w:pPr>
      <w:r>
        <w:rPr>
          <w:rStyle w:val="Znakapoznpodarou"/>
        </w:rPr>
        <w:footnoteRef/>
      </w:r>
      <w:r>
        <w:t xml:space="preserve"> Tvrzený restriktivní přístup lze ilustrovat např. na rozsudku Nejvyššího soudu ze dne 29. 4. 2008, </w:t>
      </w:r>
      <w:proofErr w:type="spellStart"/>
      <w:r>
        <w:t>sp</w:t>
      </w:r>
      <w:proofErr w:type="spellEnd"/>
      <w:r>
        <w:t xml:space="preserve">. zn. 25 </w:t>
      </w:r>
      <w:proofErr w:type="spellStart"/>
      <w:r>
        <w:t>Cdo</w:t>
      </w:r>
      <w:proofErr w:type="spellEnd"/>
      <w:r>
        <w:t xml:space="preserve"> 2598/2006, jenž byl následně zrušen nálezem Ústavního soudu ze dne 9. 7. 2009, </w:t>
      </w:r>
      <w:proofErr w:type="spellStart"/>
      <w:r>
        <w:t>sp</w:t>
      </w:r>
      <w:proofErr w:type="spellEnd"/>
      <w:r>
        <w:t xml:space="preserve">. zn. II. ÚS 1774/08. ÚS přitom uvedl, že je </w:t>
      </w:r>
      <w:r w:rsidRPr="00714E8E">
        <w:rPr>
          <w:i/>
          <w:color w:val="000000"/>
        </w:rPr>
        <w:t xml:space="preserve">„nepřijatelné aby obecné soudy na jedné straně – čistě na základě vlastního (byť dlouhodobě zastávaného) výkladu – vyloučily </w:t>
      </w:r>
      <w:proofErr w:type="spellStart"/>
      <w:r w:rsidRPr="00714E8E">
        <w:rPr>
          <w:i/>
          <w:color w:val="000000"/>
        </w:rPr>
        <w:t>podřaditelnost</w:t>
      </w:r>
      <w:proofErr w:type="spellEnd"/>
      <w:r w:rsidRPr="00714E8E">
        <w:rPr>
          <w:i/>
          <w:color w:val="000000"/>
        </w:rPr>
        <w:t xml:space="preserve"> tvrzených pochybení pod legislativní označení "nesprávný úřední postup" z důvodu, že tento postup </w:t>
      </w:r>
      <w:r>
        <w:rPr>
          <w:i/>
          <w:color w:val="000000"/>
        </w:rPr>
        <w:t>směřoval k vydání rozhodnutí, a </w:t>
      </w:r>
      <w:r w:rsidRPr="00714E8E">
        <w:rPr>
          <w:i/>
          <w:color w:val="000000"/>
        </w:rPr>
        <w:t>současně na straně druhé konstatovaly, že o nezákonné rozhodnutí jít nemůže, neboť nebylo – formálně – zrušeno ani změněno.“</w:t>
      </w:r>
    </w:p>
  </w:footnote>
  <w:footnote w:id="83">
    <w:p w:rsidR="00B53753" w:rsidRPr="00787283" w:rsidRDefault="00B53753" w:rsidP="00231EFD">
      <w:pPr>
        <w:pStyle w:val="Textpoznpodarou"/>
      </w:pPr>
      <w:r>
        <w:rPr>
          <w:rStyle w:val="Znakapoznpodarou"/>
        </w:rPr>
        <w:footnoteRef/>
      </w:r>
      <w:r>
        <w:t xml:space="preserve"> Podle citovaného ustanovení má každý </w:t>
      </w:r>
      <w:r w:rsidRPr="00787283">
        <w:rPr>
          <w:i/>
        </w:rPr>
        <w:t>„právo na náhradu škody způsobené mu nezákonným rozhodnutím soudu, jiného státního orgánu či orgánu veřejné správy nebo nesprávným úředním postupem.</w:t>
      </w:r>
      <w:r>
        <w:rPr>
          <w:i/>
        </w:rPr>
        <w:t>“</w:t>
      </w:r>
    </w:p>
  </w:footnote>
  <w:footnote w:id="84">
    <w:p w:rsidR="00B53753" w:rsidRDefault="00B53753">
      <w:pPr>
        <w:pStyle w:val="Textpoznpodarou"/>
      </w:pPr>
      <w:r>
        <w:rPr>
          <w:rStyle w:val="Znakapoznpodarou"/>
        </w:rPr>
        <w:footnoteRef/>
      </w:r>
      <w:r>
        <w:t xml:space="preserve"> Tuto skutečnost potvrdil Ústavní soud v nálezu ze dne 22. 9. 1999, I. ÚS 245/98, který se týkal odpovědnosti za škodu způsobenou nevyhlášením řádně schválených ustanovení zákona.</w:t>
      </w:r>
    </w:p>
  </w:footnote>
  <w:footnote w:id="85">
    <w:p w:rsidR="00B53753" w:rsidRDefault="00B53753">
      <w:pPr>
        <w:pStyle w:val="Textpoznpodarou"/>
      </w:pPr>
      <w:r>
        <w:rPr>
          <w:rStyle w:val="Znakapoznpodarou"/>
        </w:rPr>
        <w:footnoteRef/>
      </w:r>
      <w:r>
        <w:t xml:space="preserve"> Stanovisko pléna Ústavního soudu ze dne 28. 4. 2009, </w:t>
      </w:r>
      <w:proofErr w:type="spellStart"/>
      <w:r>
        <w:t>sp</w:t>
      </w:r>
      <w:proofErr w:type="spellEnd"/>
      <w:r>
        <w:t xml:space="preserve">. zn. </w:t>
      </w:r>
      <w:proofErr w:type="spellStart"/>
      <w:r>
        <w:t>Pl</w:t>
      </w:r>
      <w:proofErr w:type="spellEnd"/>
      <w:r>
        <w:t xml:space="preserve">. ÚS-st 27/09, publikované pod č. </w:t>
      </w:r>
      <w:r w:rsidRPr="0083717C">
        <w:t>136/2009 Sb.</w:t>
      </w:r>
      <w:r>
        <w:t>, odst. 13.</w:t>
      </w:r>
    </w:p>
  </w:footnote>
  <w:footnote w:id="86">
    <w:p w:rsidR="00B53753" w:rsidRDefault="00B53753">
      <w:pPr>
        <w:pStyle w:val="Textpoznpodarou"/>
      </w:pPr>
      <w:r>
        <w:rPr>
          <w:rStyle w:val="Znakapoznpodarou"/>
        </w:rPr>
        <w:footnoteRef/>
      </w:r>
      <w:r>
        <w:t xml:space="preserve"> Tento argumentační postup Ústavního soudu byl některými autory výstižně</w:t>
      </w:r>
      <w:r>
        <w:rPr>
          <w:rFonts w:cs="Times New Roman"/>
        </w:rPr>
        <w:t xml:space="preserve"> </w:t>
      </w:r>
      <w:r>
        <w:t xml:space="preserve">přirovnán k pověstnému Cimrmanovu „kroku stranou“. Srov. </w:t>
      </w:r>
      <w:r>
        <w:rPr>
          <w:rFonts w:cs="Times New Roman"/>
        </w:rPr>
        <w:t xml:space="preserve">Bobek, M., Bříza, P., Komárek, J. </w:t>
      </w:r>
      <w:r w:rsidRPr="00A50739">
        <w:rPr>
          <w:rFonts w:cs="Times New Roman"/>
          <w:i/>
        </w:rPr>
        <w:t>Vnitrostátní aplikace práva Evropské unie</w:t>
      </w:r>
      <w:r>
        <w:rPr>
          <w:rFonts w:cs="Times New Roman"/>
        </w:rPr>
        <w:t xml:space="preserve">. Praha: C. H. Beck, 2011, str. 338. Srov. rovněž Smoljak, L. </w:t>
      </w:r>
      <w:r w:rsidRPr="00581B3A">
        <w:rPr>
          <w:rFonts w:cs="Times New Roman"/>
          <w:i/>
        </w:rPr>
        <w:t xml:space="preserve">Filosofie </w:t>
      </w:r>
      <w:proofErr w:type="spellStart"/>
      <w:r w:rsidRPr="00581B3A">
        <w:rPr>
          <w:rFonts w:cs="Times New Roman"/>
          <w:i/>
        </w:rPr>
        <w:t>externismu</w:t>
      </w:r>
      <w:proofErr w:type="spellEnd"/>
      <w:r>
        <w:rPr>
          <w:rFonts w:cs="Times New Roman"/>
        </w:rPr>
        <w:t>. [online] Dostupný z </w:t>
      </w:r>
      <w:hyperlink r:id="rId4" w:history="1">
        <w:r w:rsidRPr="00007199">
          <w:rPr>
            <w:rStyle w:val="Hypertextovodkaz"/>
            <w:rFonts w:cs="Times New Roman"/>
          </w:rPr>
          <w:t>http://www.phil.muni.cz/fil/texty/externismus.html</w:t>
        </w:r>
      </w:hyperlink>
      <w:r>
        <w:rPr>
          <w:rFonts w:cs="Times New Roman"/>
        </w:rPr>
        <w:t xml:space="preserve">. </w:t>
      </w:r>
    </w:p>
  </w:footnote>
  <w:footnote w:id="87">
    <w:p w:rsidR="00B53753" w:rsidRDefault="00B53753" w:rsidP="00865CDB">
      <w:pPr>
        <w:pStyle w:val="Textpoznpodarou"/>
      </w:pPr>
      <w:r>
        <w:rPr>
          <w:rStyle w:val="Znakapoznpodarou"/>
        </w:rPr>
        <w:footnoteRef/>
      </w:r>
      <w:r>
        <w:t xml:space="preserve"> Srov. </w:t>
      </w:r>
      <w:proofErr w:type="spellStart"/>
      <w:r>
        <w:t>Neubaeur</w:t>
      </w:r>
      <w:proofErr w:type="spellEnd"/>
      <w:r>
        <w:t xml:space="preserve">, J. </w:t>
      </w:r>
      <w:r w:rsidRPr="000848D0">
        <w:rPr>
          <w:i/>
        </w:rPr>
        <w:t>K</w:t>
      </w:r>
      <w:r>
        <w:rPr>
          <w:i/>
        </w:rPr>
        <w:t xml:space="preserve"> </w:t>
      </w:r>
      <w:r w:rsidRPr="000848D0">
        <w:rPr>
          <w:i/>
        </w:rPr>
        <w:t>náhradě škody způsobené mocí zákonodárnou</w:t>
      </w:r>
      <w:r>
        <w:t>. Jurisprudence. 2012, č. 7, str. 62 a násl.</w:t>
      </w:r>
    </w:p>
  </w:footnote>
  <w:footnote w:id="88">
    <w:p w:rsidR="00B53753" w:rsidRDefault="00B53753">
      <w:pPr>
        <w:pStyle w:val="Textpoznpodarou"/>
      </w:pPr>
      <w:r>
        <w:rPr>
          <w:rStyle w:val="Znakapoznpodarou"/>
        </w:rPr>
        <w:footnoteRef/>
      </w:r>
      <w:r>
        <w:t xml:space="preserve"> Rozhodnutí vlády ČR č. 230 </w:t>
      </w:r>
      <w:r w:rsidRPr="00BD765E">
        <w:t>ze dne 30. 3. 1998, č.</w:t>
      </w:r>
      <w:r>
        <w:t xml:space="preserve"> </w:t>
      </w:r>
      <w:r w:rsidRPr="00BD765E">
        <w:t>657 ze dne 23. 6. 1999 a č. 1374 ze dne 22. 12. 1999</w:t>
      </w:r>
      <w:r>
        <w:t>.</w:t>
      </w:r>
    </w:p>
  </w:footnote>
  <w:footnote w:id="89">
    <w:p w:rsidR="00B53753" w:rsidRDefault="00B53753">
      <w:pPr>
        <w:pStyle w:val="Textpoznpodarou"/>
      </w:pPr>
      <w:r>
        <w:rPr>
          <w:rStyle w:val="Znakapoznpodarou"/>
        </w:rPr>
        <w:footnoteRef/>
      </w:r>
      <w:r>
        <w:t xml:space="preserve"> Nález Ústavního soudu ze dne 23. 5. 2000, </w:t>
      </w:r>
      <w:proofErr w:type="spellStart"/>
      <w:r>
        <w:t>sp</w:t>
      </w:r>
      <w:proofErr w:type="spellEnd"/>
      <w:r>
        <w:t xml:space="preserve">. zn. </w:t>
      </w:r>
      <w:proofErr w:type="spellStart"/>
      <w:r>
        <w:t>Pl</w:t>
      </w:r>
      <w:proofErr w:type="spellEnd"/>
      <w:r>
        <w:t>. ÚS 24/99, publikovaný pod č. 167/2000 Sb.</w:t>
      </w:r>
    </w:p>
  </w:footnote>
  <w:footnote w:id="90">
    <w:p w:rsidR="00B53753" w:rsidRDefault="00B53753">
      <w:pPr>
        <w:pStyle w:val="Textpoznpodarou"/>
      </w:pPr>
      <w:r>
        <w:rPr>
          <w:rStyle w:val="Znakapoznpodarou"/>
        </w:rPr>
        <w:footnoteRef/>
      </w:r>
      <w:r>
        <w:t xml:space="preserve"> Usnesení Ústavního soudu ze dne 22. </w:t>
      </w:r>
      <w:r w:rsidRPr="007619C6">
        <w:t>5.</w:t>
      </w:r>
      <w:r>
        <w:t xml:space="preserve"> </w:t>
      </w:r>
      <w:r w:rsidRPr="007619C6">
        <w:t xml:space="preserve">2008, </w:t>
      </w:r>
      <w:proofErr w:type="spellStart"/>
      <w:r w:rsidRPr="007619C6">
        <w:t>sp</w:t>
      </w:r>
      <w:proofErr w:type="spellEnd"/>
      <w:r w:rsidRPr="007619C6">
        <w:t>. zn. II.</w:t>
      </w:r>
      <w:r>
        <w:t xml:space="preserve"> </w:t>
      </w:r>
      <w:r w:rsidRPr="007619C6">
        <w:t>ÚS 492/08</w:t>
      </w:r>
      <w:r>
        <w:t>.</w:t>
      </w:r>
    </w:p>
  </w:footnote>
  <w:footnote w:id="91">
    <w:p w:rsidR="00B53753" w:rsidRDefault="00B53753" w:rsidP="00BF027D">
      <w:pPr>
        <w:pStyle w:val="Textpoznpodarou"/>
      </w:pPr>
      <w:r>
        <w:rPr>
          <w:rStyle w:val="Znakapoznpodarou"/>
        </w:rPr>
        <w:footnoteRef/>
      </w:r>
      <w:r>
        <w:t xml:space="preserve"> Srov. rozsudek Nejvyššího soudu ze dne 24. 2. 2010, </w:t>
      </w:r>
      <w:proofErr w:type="spellStart"/>
      <w:r>
        <w:t>sp</w:t>
      </w:r>
      <w:proofErr w:type="spellEnd"/>
      <w:r>
        <w:t xml:space="preserve">. zn. 25 </w:t>
      </w:r>
      <w:proofErr w:type="spellStart"/>
      <w:r>
        <w:t>Cdo</w:t>
      </w:r>
      <w:proofErr w:type="spellEnd"/>
      <w:r>
        <w:t xml:space="preserve"> 3556/2007, a usnesení ze dne 30. 3. 2010, </w:t>
      </w:r>
      <w:proofErr w:type="spellStart"/>
      <w:r>
        <w:t>sp</w:t>
      </w:r>
      <w:proofErr w:type="spellEnd"/>
      <w:r>
        <w:t xml:space="preserve">. zn. 25 </w:t>
      </w:r>
      <w:proofErr w:type="spellStart"/>
      <w:r>
        <w:t>Cdo</w:t>
      </w:r>
      <w:proofErr w:type="spellEnd"/>
      <w:r>
        <w:t xml:space="preserve"> 1715/2008.</w:t>
      </w:r>
    </w:p>
  </w:footnote>
  <w:footnote w:id="92">
    <w:p w:rsidR="00B53753" w:rsidRDefault="00B53753" w:rsidP="00D63BE7">
      <w:pPr>
        <w:pStyle w:val="Textpoznpodarou"/>
      </w:pPr>
      <w:r>
        <w:rPr>
          <w:rStyle w:val="Znakapoznpodarou"/>
        </w:rPr>
        <w:footnoteRef/>
      </w:r>
      <w:r>
        <w:t xml:space="preserve"> Srov. ustanovení § 17 zákona č. 48/1997 Sb.</w:t>
      </w:r>
      <w:r>
        <w:rPr>
          <w:rFonts w:cs="Times New Roman"/>
          <w:color w:val="000000"/>
        </w:rPr>
        <w:t>, o veřejném zdravotním pojištění (v tehdy účinném znění).</w:t>
      </w:r>
    </w:p>
  </w:footnote>
  <w:footnote w:id="93">
    <w:p w:rsidR="00B53753" w:rsidRDefault="00B53753">
      <w:pPr>
        <w:pStyle w:val="Textpoznpodarou"/>
      </w:pPr>
      <w:r>
        <w:rPr>
          <w:rStyle w:val="Znakapoznpodarou"/>
        </w:rPr>
        <w:footnoteRef/>
      </w:r>
      <w:r>
        <w:t xml:space="preserve"> </w:t>
      </w:r>
      <w:r w:rsidRPr="0081570A">
        <w:t xml:space="preserve">Směrnice Rady </w:t>
      </w:r>
      <w:r>
        <w:t>80/155/EHS</w:t>
      </w:r>
      <w:r w:rsidRPr="0081570A">
        <w:t xml:space="preserve"> ze dne 21. ledna 1980 o koordinaci právních a správních př</w:t>
      </w:r>
      <w:r>
        <w:t>edpisů týkajících se přístupu k </w:t>
      </w:r>
      <w:r w:rsidRPr="0081570A">
        <w:t>činnosti porodních asistentek a jejího výkonu</w:t>
      </w:r>
      <w:r>
        <w:t xml:space="preserve">. </w:t>
      </w:r>
      <w:proofErr w:type="spellStart"/>
      <w:r>
        <w:t>Úř</w:t>
      </w:r>
      <w:proofErr w:type="spellEnd"/>
      <w:r>
        <w:t xml:space="preserve">. </w:t>
      </w:r>
      <w:proofErr w:type="spellStart"/>
      <w:proofErr w:type="gramStart"/>
      <w:r>
        <w:t>věst</w:t>
      </w:r>
      <w:proofErr w:type="spellEnd"/>
      <w:proofErr w:type="gramEnd"/>
      <w:r>
        <w:t>.</w:t>
      </w:r>
      <w:r w:rsidRPr="00D520F9">
        <w:t xml:space="preserve"> L 033</w:t>
      </w:r>
      <w:r>
        <w:t xml:space="preserve">, 11. 2. </w:t>
      </w:r>
      <w:r w:rsidRPr="00D520F9">
        <w:t>1980</w:t>
      </w:r>
      <w:r>
        <w:t>, str</w:t>
      </w:r>
      <w:r w:rsidRPr="00D520F9">
        <w:t xml:space="preserve">. </w:t>
      </w:r>
      <w:r>
        <w:t>8-1</w:t>
      </w:r>
      <w:r w:rsidRPr="00D520F9">
        <w:t>2</w:t>
      </w:r>
      <w:r>
        <w:t>. Zvláštní vydání v českém jazyce: kapitola 6, svazek 1, str. 99-103.</w:t>
      </w:r>
    </w:p>
  </w:footnote>
  <w:footnote w:id="94">
    <w:p w:rsidR="00B53753" w:rsidRDefault="00B53753" w:rsidP="00C00987">
      <w:pPr>
        <w:pStyle w:val="Textpoznpodarou"/>
      </w:pPr>
      <w:r>
        <w:rPr>
          <w:rStyle w:val="Znakapoznpodarou"/>
        </w:rPr>
        <w:footnoteRef/>
      </w:r>
      <w:r>
        <w:t xml:space="preserve"> Rozsudek Nejvyššího soudu ze dne 24. 2. 2010, </w:t>
      </w:r>
      <w:proofErr w:type="spellStart"/>
      <w:r>
        <w:t>sp</w:t>
      </w:r>
      <w:proofErr w:type="spellEnd"/>
      <w:r>
        <w:t xml:space="preserve">. zn. 25 </w:t>
      </w:r>
      <w:proofErr w:type="spellStart"/>
      <w:r>
        <w:t>Cdo</w:t>
      </w:r>
      <w:proofErr w:type="spellEnd"/>
      <w:r>
        <w:t xml:space="preserve"> 3556/2007, obdobně rovněž usnesení ze dne 30. 3. 2010, </w:t>
      </w:r>
      <w:proofErr w:type="spellStart"/>
      <w:r>
        <w:t>sp</w:t>
      </w:r>
      <w:proofErr w:type="spellEnd"/>
      <w:r>
        <w:t xml:space="preserve">. zn. 25 </w:t>
      </w:r>
      <w:proofErr w:type="spellStart"/>
      <w:r>
        <w:t>Cdo</w:t>
      </w:r>
      <w:proofErr w:type="spellEnd"/>
      <w:r>
        <w:t xml:space="preserve"> 1715/2008.</w:t>
      </w:r>
    </w:p>
  </w:footnote>
  <w:footnote w:id="95">
    <w:p w:rsidR="00B53753" w:rsidRDefault="00B53753">
      <w:pPr>
        <w:pStyle w:val="Textpoznpodarou"/>
      </w:pPr>
      <w:r>
        <w:rPr>
          <w:rStyle w:val="Znakapoznpodarou"/>
        </w:rPr>
        <w:footnoteRef/>
      </w:r>
      <w:r>
        <w:t xml:space="preserve"> Srov. nález Ústavního soudu ze dne 9. 2. 2011, </w:t>
      </w:r>
      <w:proofErr w:type="spellStart"/>
      <w:r>
        <w:t>sp</w:t>
      </w:r>
      <w:proofErr w:type="spellEnd"/>
      <w:r>
        <w:t xml:space="preserve">. zn. IV. ÚS 1521/10, obdobně rovněž nález ze dne 28. 6. 2011, </w:t>
      </w:r>
      <w:proofErr w:type="spellStart"/>
      <w:r>
        <w:t>sp</w:t>
      </w:r>
      <w:proofErr w:type="spellEnd"/>
      <w:r>
        <w:t>. zn. II. ÚS 1518/10.</w:t>
      </w:r>
    </w:p>
  </w:footnote>
  <w:footnote w:id="96">
    <w:p w:rsidR="00B53753" w:rsidRDefault="00B53753" w:rsidP="00E72B14">
      <w:pPr>
        <w:pStyle w:val="Textpoznpodarou"/>
      </w:pPr>
      <w:r>
        <w:rPr>
          <w:rStyle w:val="Znakapoznpodarou"/>
        </w:rPr>
        <w:footnoteRef/>
      </w:r>
      <w:r>
        <w:t xml:space="preserve"> Při této příležitosti ÚS </w:t>
      </w:r>
      <w:r>
        <w:rPr>
          <w:rFonts w:cs="Times New Roman"/>
          <w:color w:val="000000"/>
        </w:rPr>
        <w:t>odkázal na své (poněkud problematické) závěry plenárního stanoviska, v němž analogicky dovodil relativní autonomii režimu náhrady za nucené omezení vlastnického práva ve veřejném zájmu</w:t>
      </w:r>
      <w:r>
        <w:t xml:space="preserve">. Srov. stanovisko pléna Ústavního soudu ze dne 28. 4. 2009, </w:t>
      </w:r>
      <w:proofErr w:type="spellStart"/>
      <w:r>
        <w:t>sp</w:t>
      </w:r>
      <w:proofErr w:type="spellEnd"/>
      <w:r>
        <w:t xml:space="preserve">. zn. </w:t>
      </w:r>
      <w:proofErr w:type="spellStart"/>
      <w:r>
        <w:t>Pl</w:t>
      </w:r>
      <w:proofErr w:type="spellEnd"/>
      <w:r>
        <w:t xml:space="preserve">. ÚS-st 27/09, publikované pod č. 136/2009 Sb. a komentované v úvodu v </w:t>
      </w:r>
      <w:r w:rsidRPr="005D568F">
        <w:rPr>
          <w:highlight w:val="yellow"/>
        </w:rPr>
        <w:t>bodu 5</w:t>
      </w:r>
      <w:r w:rsidRPr="001B1E94">
        <w:rPr>
          <w:highlight w:val="yellow"/>
        </w:rPr>
        <w:t>. této kapitoly</w:t>
      </w:r>
      <w:r>
        <w:t>.</w:t>
      </w:r>
    </w:p>
  </w:footnote>
  <w:footnote w:id="97">
    <w:p w:rsidR="00B53753" w:rsidRDefault="00B53753" w:rsidP="0033552C">
      <w:pPr>
        <w:pStyle w:val="Textpoznpodarou"/>
      </w:pPr>
      <w:r>
        <w:rPr>
          <w:rStyle w:val="Znakapoznpodarou"/>
        </w:rPr>
        <w:footnoteRef/>
      </w:r>
      <w:r>
        <w:t xml:space="preserve"> Nález Ústavního soudu ze dne 9. 2. 2011, </w:t>
      </w:r>
      <w:proofErr w:type="spellStart"/>
      <w:r>
        <w:t>sp</w:t>
      </w:r>
      <w:proofErr w:type="spellEnd"/>
      <w:r>
        <w:t xml:space="preserve">. zn. IV. ÚS 1521/10, odst. 14, obdobně rovněž nález ze dne 28. 6. 2011, </w:t>
      </w:r>
      <w:proofErr w:type="spellStart"/>
      <w:r>
        <w:t>sp</w:t>
      </w:r>
      <w:proofErr w:type="spellEnd"/>
      <w:r>
        <w:t>. zn. II. ÚS 1518/10.</w:t>
      </w:r>
    </w:p>
  </w:footnote>
  <w:footnote w:id="98">
    <w:p w:rsidR="00B53753" w:rsidRDefault="00B53753">
      <w:pPr>
        <w:pStyle w:val="Textpoznpodarou"/>
      </w:pPr>
      <w:r>
        <w:rPr>
          <w:rStyle w:val="Znakapoznpodarou"/>
        </w:rPr>
        <w:footnoteRef/>
      </w:r>
      <w:r>
        <w:t xml:space="preserve"> Rozsudek Nejvyššího soudu ze dne 24. 2. 2010, </w:t>
      </w:r>
      <w:proofErr w:type="spellStart"/>
      <w:r>
        <w:t>sp</w:t>
      </w:r>
      <w:proofErr w:type="spellEnd"/>
      <w:r>
        <w:t xml:space="preserve">. zn. 25 </w:t>
      </w:r>
      <w:proofErr w:type="spellStart"/>
      <w:r>
        <w:t>Cdo</w:t>
      </w:r>
      <w:proofErr w:type="spellEnd"/>
      <w:r>
        <w:t xml:space="preserve"> 3556/2007, a usnesení ze dne 30. 3. 2010, </w:t>
      </w:r>
      <w:proofErr w:type="spellStart"/>
      <w:r>
        <w:t>sp</w:t>
      </w:r>
      <w:proofErr w:type="spellEnd"/>
      <w:r>
        <w:t xml:space="preserve">. zn. 25 </w:t>
      </w:r>
      <w:proofErr w:type="spellStart"/>
      <w:r>
        <w:t>Cdo</w:t>
      </w:r>
      <w:proofErr w:type="spellEnd"/>
      <w:r>
        <w:t xml:space="preserve"> 1715/2008.</w:t>
      </w:r>
    </w:p>
  </w:footnote>
  <w:footnote w:id="99">
    <w:p w:rsidR="00B53753" w:rsidRDefault="00B53753">
      <w:pPr>
        <w:pStyle w:val="Textpoznpodarou"/>
      </w:pPr>
      <w:r>
        <w:rPr>
          <w:rStyle w:val="Znakapoznpodarou"/>
        </w:rPr>
        <w:footnoteRef/>
      </w:r>
      <w:r>
        <w:t xml:space="preserve"> Srov. rovněž usnesení Nejvyššího soudu ze dne 21. 9. 2011, </w:t>
      </w:r>
      <w:proofErr w:type="spellStart"/>
      <w:r>
        <w:t>sp</w:t>
      </w:r>
      <w:proofErr w:type="spellEnd"/>
      <w:r>
        <w:t xml:space="preserve">. zn. 28 </w:t>
      </w:r>
      <w:proofErr w:type="spellStart"/>
      <w:r>
        <w:t>Cdo</w:t>
      </w:r>
      <w:proofErr w:type="spellEnd"/>
      <w:r>
        <w:t xml:space="preserve"> 851/2011, a usnesení ze dne 11. 4. 2012, </w:t>
      </w:r>
      <w:proofErr w:type="spellStart"/>
      <w:r>
        <w:t>sp</w:t>
      </w:r>
      <w:proofErr w:type="spellEnd"/>
      <w:r>
        <w:t xml:space="preserve">. zn. 28 </w:t>
      </w:r>
      <w:proofErr w:type="spellStart"/>
      <w:r>
        <w:t>Cdo</w:t>
      </w:r>
      <w:proofErr w:type="spellEnd"/>
      <w:r>
        <w:t xml:space="preserve"> 2487/2011.</w:t>
      </w:r>
    </w:p>
  </w:footnote>
  <w:footnote w:id="100">
    <w:p w:rsidR="00B53753" w:rsidRDefault="00B53753" w:rsidP="007A7039">
      <w:pPr>
        <w:pStyle w:val="Textpoznpodarou"/>
      </w:pPr>
      <w:r>
        <w:rPr>
          <w:rStyle w:val="Znakapoznpodarou"/>
        </w:rPr>
        <w:footnoteRef/>
      </w:r>
      <w:r>
        <w:t xml:space="preserve"> Nejvyšší soud přitom dospěl k závěru, že směrnice Rady </w:t>
      </w:r>
      <w:r w:rsidRPr="00CC34D0">
        <w:t>80/155/EHS členským státům neukládá povinnost určitým způsobem financovat činnost porodních asistentek z veřejného zdravotního pojištění</w:t>
      </w:r>
      <w:r>
        <w:t>.</w:t>
      </w:r>
    </w:p>
  </w:footnote>
  <w:footnote w:id="101">
    <w:p w:rsidR="00B53753" w:rsidRDefault="00B53753">
      <w:pPr>
        <w:pStyle w:val="Textpoznpodarou"/>
      </w:pPr>
      <w:r>
        <w:rPr>
          <w:rStyle w:val="Znakapoznpodarou"/>
        </w:rPr>
        <w:footnoteRef/>
      </w:r>
      <w:r>
        <w:t xml:space="preserve"> </w:t>
      </w:r>
      <w:r w:rsidRPr="00DA6B6F">
        <w:t xml:space="preserve">Nařízení Rady (ES) č. 1260/2001 ze dne 19. června 2001, o společné </w:t>
      </w:r>
      <w:r>
        <w:t xml:space="preserve">organizaci trhů v odvětví cukru. </w:t>
      </w:r>
      <w:proofErr w:type="spellStart"/>
      <w:r w:rsidRPr="000A015D">
        <w:t>Úř</w:t>
      </w:r>
      <w:proofErr w:type="spellEnd"/>
      <w:r w:rsidRPr="000A015D">
        <w:t xml:space="preserve">. </w:t>
      </w:r>
      <w:proofErr w:type="spellStart"/>
      <w:proofErr w:type="gramStart"/>
      <w:r w:rsidRPr="000A015D">
        <w:t>věst</w:t>
      </w:r>
      <w:proofErr w:type="spellEnd"/>
      <w:proofErr w:type="gramEnd"/>
      <w:r w:rsidRPr="000A015D">
        <w:t>. L 178, 30.</w:t>
      </w:r>
      <w:r>
        <w:t xml:space="preserve"> </w:t>
      </w:r>
      <w:r w:rsidRPr="000A015D">
        <w:t>6.</w:t>
      </w:r>
      <w:r>
        <w:t xml:space="preserve"> </w:t>
      </w:r>
      <w:r w:rsidRPr="000A015D">
        <w:t>2001, s</w:t>
      </w:r>
      <w:r>
        <w:t>tr. 1-</w:t>
      </w:r>
      <w:r w:rsidRPr="000A015D">
        <w:t>45</w:t>
      </w:r>
      <w:r>
        <w:t>. Zvláštní vydání v českém jazyce: kapitola 3, svazek 33, str. 17-61; a </w:t>
      </w:r>
      <w:r w:rsidRPr="00DA6B6F">
        <w:t xml:space="preserve">Nařízení Komise (ES) č. 1265/2001 ze dne 27. června 2001, kterým se stanoví prováděcí pravidla k </w:t>
      </w:r>
      <w:r>
        <w:t>Nařízení Rady (ES) č. </w:t>
      </w:r>
      <w:r w:rsidRPr="00DA6B6F">
        <w:t>1260/2001, pokud jde o poskytování produkční náhrady pro některé výro</w:t>
      </w:r>
      <w:r>
        <w:t>bky z odvětví cukru používané v </w:t>
      </w:r>
      <w:r w:rsidRPr="00DA6B6F">
        <w:t>chemickém průmyslu</w:t>
      </w:r>
      <w:r>
        <w:t xml:space="preserve">. </w:t>
      </w:r>
      <w:proofErr w:type="spellStart"/>
      <w:r w:rsidRPr="000A015D">
        <w:t>Úř</w:t>
      </w:r>
      <w:proofErr w:type="spellEnd"/>
      <w:r w:rsidRPr="000A015D">
        <w:t xml:space="preserve">. </w:t>
      </w:r>
      <w:proofErr w:type="spellStart"/>
      <w:proofErr w:type="gramStart"/>
      <w:r w:rsidRPr="000A015D">
        <w:t>věst</w:t>
      </w:r>
      <w:proofErr w:type="spellEnd"/>
      <w:proofErr w:type="gramEnd"/>
      <w:r w:rsidRPr="000A015D">
        <w:t>. L 178, 30.</w:t>
      </w:r>
      <w:r>
        <w:t xml:space="preserve"> </w:t>
      </w:r>
      <w:r w:rsidRPr="000A015D">
        <w:t>6.</w:t>
      </w:r>
      <w:r>
        <w:t xml:space="preserve"> 2001, str. 63-</w:t>
      </w:r>
      <w:r w:rsidRPr="000A015D">
        <w:t>72</w:t>
      </w:r>
      <w:r>
        <w:t>. Zvláštní vydání v českém jazyce: kapitola 3, svazek 33, str. 76-85.</w:t>
      </w:r>
    </w:p>
  </w:footnote>
  <w:footnote w:id="102">
    <w:p w:rsidR="00B53753" w:rsidRDefault="00B53753">
      <w:pPr>
        <w:pStyle w:val="Textpoznpodarou"/>
      </w:pPr>
      <w:r>
        <w:rPr>
          <w:rStyle w:val="Znakapoznpodarou"/>
        </w:rPr>
        <w:footnoteRef/>
      </w:r>
      <w:r>
        <w:t xml:space="preserve"> Rozsudek Nejvyššího soudu ze dne 20. 8. 2012, </w:t>
      </w:r>
      <w:proofErr w:type="spellStart"/>
      <w:r>
        <w:t>sp</w:t>
      </w:r>
      <w:proofErr w:type="spellEnd"/>
      <w:r>
        <w:t xml:space="preserve">. zn. 28 </w:t>
      </w:r>
      <w:proofErr w:type="spellStart"/>
      <w:r>
        <w:t>Cdo</w:t>
      </w:r>
      <w:proofErr w:type="spellEnd"/>
      <w:r>
        <w:t xml:space="preserve"> 2927/2010, odst. 35.</w:t>
      </w:r>
    </w:p>
  </w:footnote>
  <w:footnote w:id="103">
    <w:p w:rsidR="00B53753" w:rsidRDefault="00B53753">
      <w:pPr>
        <w:pStyle w:val="Textpoznpodarou"/>
      </w:pPr>
      <w:r>
        <w:rPr>
          <w:rStyle w:val="Znakapoznpodarou"/>
        </w:rPr>
        <w:footnoteRef/>
      </w:r>
      <w:r>
        <w:t xml:space="preserve"> Srov. např. krátkou anotaci rozhodnutí Bříza, P., </w:t>
      </w:r>
      <w:proofErr w:type="spellStart"/>
      <w:r>
        <w:t>Ciencia</w:t>
      </w:r>
      <w:r>
        <w:rPr>
          <w:rFonts w:cs="Times New Roman"/>
        </w:rPr>
        <w:t>ł</w:t>
      </w:r>
      <w:r>
        <w:t>a</w:t>
      </w:r>
      <w:proofErr w:type="spellEnd"/>
      <w:r>
        <w:t xml:space="preserve">, R. </w:t>
      </w:r>
      <w:r w:rsidRPr="00214518">
        <w:rPr>
          <w:i/>
        </w:rPr>
        <w:t>Nejvyšší soud: Uplatňování náhrady škody způsobené ze strany státu porušením práva EU</w:t>
      </w:r>
      <w:r>
        <w:t>. EU Právní novinky. 2012, č. 11, str. 9.</w:t>
      </w:r>
    </w:p>
  </w:footnote>
  <w:footnote w:id="104">
    <w:p w:rsidR="00B53753" w:rsidRDefault="00B53753">
      <w:pPr>
        <w:pStyle w:val="Textpoznpodarou"/>
      </w:pPr>
      <w:r>
        <w:rPr>
          <w:rStyle w:val="Znakapoznpodarou"/>
        </w:rPr>
        <w:footnoteRef/>
      </w:r>
      <w:r>
        <w:t xml:space="preserve"> Ke sjednocování rozhodovací praxe prostřednictvím publikace rozhodnutí ve Sbírce soudních rozhodnutí a stanovisek srov. např. Vojtek, P. </w:t>
      </w:r>
      <w:r w:rsidRPr="00422DEF">
        <w:rPr>
          <w:i/>
        </w:rPr>
        <w:t xml:space="preserve">K judikatuře Nejvyššího soudu trochu jinak. </w:t>
      </w:r>
      <w:r w:rsidRPr="00422DEF">
        <w:t>Soudní rozhledy</w:t>
      </w:r>
      <w:r>
        <w:t xml:space="preserve">. 2002, č. 9, str. 309 a násl. nebo Králík, M. </w:t>
      </w:r>
      <w:r w:rsidRPr="00573F1D">
        <w:rPr>
          <w:i/>
        </w:rPr>
        <w:t>Meze praktického dosahu judikatury aneb několik poznámek k „judikatuře Nejvyššího soudu trochu jinak“</w:t>
      </w:r>
      <w:r>
        <w:t>. Soudní rozhledy. 2005, č. 4, str. 121 a násl.</w:t>
      </w:r>
    </w:p>
  </w:footnote>
  <w:footnote w:id="105">
    <w:p w:rsidR="00B53753" w:rsidRDefault="00B53753">
      <w:pPr>
        <w:pStyle w:val="Textpoznpodarou"/>
      </w:pPr>
      <w:r>
        <w:rPr>
          <w:rStyle w:val="Znakapoznpodarou"/>
        </w:rPr>
        <w:footnoteRef/>
      </w:r>
      <w:r>
        <w:t xml:space="preserve"> Srov. </w:t>
      </w:r>
      <w:r>
        <w:rPr>
          <w:highlight w:val="yellow"/>
        </w:rPr>
        <w:t>bod</w:t>
      </w:r>
      <w:r w:rsidRPr="00DC44ED">
        <w:rPr>
          <w:highlight w:val="yellow"/>
        </w:rPr>
        <w:t xml:space="preserve"> 1. této kapitoly a poznámku pod čarou č. 9</w:t>
      </w:r>
      <w:r>
        <w:t>.</w:t>
      </w:r>
    </w:p>
  </w:footnote>
  <w:footnote w:id="106">
    <w:p w:rsidR="00B53753" w:rsidRDefault="00B53753">
      <w:pPr>
        <w:pStyle w:val="Textpoznpodarou"/>
      </w:pPr>
      <w:r>
        <w:rPr>
          <w:rStyle w:val="Znakapoznpodarou"/>
        </w:rPr>
        <w:footnoteRef/>
      </w:r>
      <w:r>
        <w:t xml:space="preserve"> Konkrétně ze senátu č. 25 do senátu č. 28. V současnosti ve věcech sporů o náhradu škody při výkonu veřejné moci rozhoduje senát č. 30. Srov. příslušné rozvrhy práce NS dostupné na webových stránkách </w:t>
      </w:r>
      <w:hyperlink r:id="rId5" w:history="1">
        <w:r w:rsidRPr="00E327A5">
          <w:rPr>
            <w:rStyle w:val="Hypertextovodkaz"/>
          </w:rPr>
          <w:t>www.nsoud.cz</w:t>
        </w:r>
      </w:hyperlink>
      <w:r>
        <w:t>.</w:t>
      </w:r>
    </w:p>
  </w:footnote>
  <w:footnote w:id="107">
    <w:p w:rsidR="00B53753" w:rsidRDefault="00B53753">
      <w:pPr>
        <w:pStyle w:val="Textpoznpodarou"/>
      </w:pPr>
      <w:r>
        <w:rPr>
          <w:rStyle w:val="Znakapoznpodarou"/>
        </w:rPr>
        <w:footnoteRef/>
      </w:r>
      <w:r>
        <w:t xml:space="preserve"> Pro čtenáře, kteří netrávili dětství s filmy </w:t>
      </w:r>
      <w:r w:rsidRPr="003B192F">
        <w:rPr>
          <w:i/>
        </w:rPr>
        <w:t xml:space="preserve">„Lucie, postrach </w:t>
      </w:r>
      <w:proofErr w:type="gramStart"/>
      <w:r w:rsidRPr="003B192F">
        <w:rPr>
          <w:i/>
        </w:rPr>
        <w:t>ulice“</w:t>
      </w:r>
      <w:r>
        <w:t xml:space="preserve"> a </w:t>
      </w:r>
      <w:r w:rsidRPr="003B192F">
        <w:rPr>
          <w:i/>
        </w:rPr>
        <w:t>„...a zase</w:t>
      </w:r>
      <w:proofErr w:type="gramEnd"/>
      <w:r w:rsidRPr="003B192F">
        <w:rPr>
          <w:i/>
        </w:rPr>
        <w:t xml:space="preserve"> ta Lucie!“</w:t>
      </w:r>
      <w:r>
        <w:t xml:space="preserve"> (1984), činím tuto vysvětlující poznámku k názvu uvedené podkapitoly.</w:t>
      </w:r>
    </w:p>
  </w:footnote>
  <w:footnote w:id="108">
    <w:p w:rsidR="00B53753" w:rsidRDefault="00B53753">
      <w:pPr>
        <w:pStyle w:val="Textpoznpodarou"/>
      </w:pPr>
      <w:r>
        <w:rPr>
          <w:rStyle w:val="Znakapoznpodarou"/>
        </w:rPr>
        <w:footnoteRef/>
      </w:r>
      <w:r>
        <w:t xml:space="preserve"> </w:t>
      </w:r>
      <w:r>
        <w:rPr>
          <w:rFonts w:cs="Times New Roman"/>
        </w:rPr>
        <w:t xml:space="preserve">Bobek, M., Bříza, P., Komárek, J. </w:t>
      </w:r>
      <w:r w:rsidRPr="00A50739">
        <w:rPr>
          <w:rFonts w:cs="Times New Roman"/>
          <w:i/>
        </w:rPr>
        <w:t>Vnitrostátní aplikace práva Evropské unie</w:t>
      </w:r>
      <w:r>
        <w:rPr>
          <w:rFonts w:cs="Times New Roman"/>
        </w:rPr>
        <w:t>. Praha: C. H. Beck, 2011, str. 324-325.</w:t>
      </w:r>
    </w:p>
  </w:footnote>
  <w:footnote w:id="109">
    <w:p w:rsidR="00B53753" w:rsidRDefault="00B53753">
      <w:pPr>
        <w:pStyle w:val="Textpoznpodarou"/>
      </w:pPr>
      <w:r>
        <w:rPr>
          <w:rStyle w:val="Znakapoznpodarou"/>
        </w:rPr>
        <w:footnoteRef/>
      </w:r>
      <w:r>
        <w:t xml:space="preserve"> Rozsudek Soudního dvora ze dne 11. 12. 2007, </w:t>
      </w:r>
      <w:proofErr w:type="spellStart"/>
      <w:r w:rsidRPr="00E4540E">
        <w:rPr>
          <w:i/>
        </w:rPr>
        <w:t>Skoma</w:t>
      </w:r>
      <w:proofErr w:type="spellEnd"/>
      <w:r w:rsidRPr="00E4540E">
        <w:rPr>
          <w:i/>
        </w:rPr>
        <w:t>-Lux</w:t>
      </w:r>
      <w:r>
        <w:rPr>
          <w:i/>
        </w:rPr>
        <w:t xml:space="preserve"> I.</w:t>
      </w:r>
      <w:r>
        <w:t xml:space="preserve">, C-161/06, Sb. </w:t>
      </w:r>
      <w:proofErr w:type="spellStart"/>
      <w:r>
        <w:t>rozh</w:t>
      </w:r>
      <w:proofErr w:type="spellEnd"/>
      <w:r>
        <w:t xml:space="preserve">., str. I-10841. Připomeňme, že v řízení o kasační stížnosti před Nejvyšším správním soudem byla v uvedené věci podána rovněž druhá předběžná otázka, která se týkala výkladu celního sazebníku Společenství. Srov. rozsudek Soudního dvora ze dne 16. 12. 2010, </w:t>
      </w:r>
      <w:proofErr w:type="spellStart"/>
      <w:r>
        <w:rPr>
          <w:i/>
        </w:rPr>
        <w:t>Skoma</w:t>
      </w:r>
      <w:proofErr w:type="spellEnd"/>
      <w:r>
        <w:rPr>
          <w:i/>
        </w:rPr>
        <w:t>-Lux II.</w:t>
      </w:r>
      <w:r>
        <w:t xml:space="preserve">, C-339/09, Sb. </w:t>
      </w:r>
      <w:proofErr w:type="spellStart"/>
      <w:r>
        <w:t>rozh</w:t>
      </w:r>
      <w:proofErr w:type="spellEnd"/>
      <w:r>
        <w:t>., str. I-13251.</w:t>
      </w:r>
    </w:p>
  </w:footnote>
  <w:footnote w:id="110">
    <w:p w:rsidR="00B53753" w:rsidRPr="006A291A" w:rsidRDefault="00B53753">
      <w:pPr>
        <w:pStyle w:val="Textpoznpodarou"/>
      </w:pPr>
      <w:r>
        <w:rPr>
          <w:rStyle w:val="Znakapoznpodarou"/>
        </w:rPr>
        <w:footnoteRef/>
      </w:r>
      <w:r>
        <w:t xml:space="preserve"> V podrobnostech srov. kapitolu (</w:t>
      </w:r>
      <w:r w:rsidRPr="001C4E47">
        <w:rPr>
          <w:i/>
          <w:highlight w:val="yellow"/>
        </w:rPr>
        <w:t>doplnit číslo Honzovy kapitol</w:t>
      </w:r>
      <w:r>
        <w:rPr>
          <w:i/>
          <w:highlight w:val="yellow"/>
        </w:rPr>
        <w:t>y</w:t>
      </w:r>
      <w:r w:rsidRPr="001C4E47">
        <w:rPr>
          <w:i/>
          <w:highlight w:val="yellow"/>
        </w:rPr>
        <w:t xml:space="preserve">, konkrétně její </w:t>
      </w:r>
      <w:proofErr w:type="gramStart"/>
      <w:r>
        <w:rPr>
          <w:i/>
          <w:highlight w:val="yellow"/>
        </w:rPr>
        <w:t>bod I.</w:t>
      </w:r>
      <w:r w:rsidRPr="001C4E47">
        <w:rPr>
          <w:i/>
          <w:highlight w:val="yellow"/>
        </w:rPr>
        <w:t>3</w:t>
      </w:r>
      <w:r>
        <w:rPr>
          <w:i/>
          <w:highlight w:val="yellow"/>
        </w:rPr>
        <w:t>- Temporální</w:t>
      </w:r>
      <w:proofErr w:type="gramEnd"/>
      <w:r>
        <w:rPr>
          <w:i/>
          <w:highlight w:val="yellow"/>
        </w:rPr>
        <w:t xml:space="preserve"> otázky</w:t>
      </w:r>
      <w:r w:rsidRPr="001C4E47">
        <w:rPr>
          <w:i/>
          <w:highlight w:val="yellow"/>
        </w:rPr>
        <w:t>).</w:t>
      </w:r>
      <w:r>
        <w:t xml:space="preserve"> Dále srov. Bílková, J. </w:t>
      </w:r>
      <w:r w:rsidRPr="006A291A">
        <w:rPr>
          <w:i/>
        </w:rPr>
        <w:t xml:space="preserve">K temporálním dopadům rozsudku Evropského soudního dvora ve věci C-161/06 aneb opět </w:t>
      </w:r>
      <w:proofErr w:type="spellStart"/>
      <w:r w:rsidRPr="006A291A">
        <w:rPr>
          <w:i/>
        </w:rPr>
        <w:t>Skoma</w:t>
      </w:r>
      <w:proofErr w:type="spellEnd"/>
      <w:r w:rsidRPr="006A291A">
        <w:rPr>
          <w:i/>
        </w:rPr>
        <w:t>-Lux a odpovědnost za škodu způsobenou při výkonu veřejné moci</w:t>
      </w:r>
      <w:r>
        <w:t>. Jurisprudence. 2013, č. 3, str. 9-12.</w:t>
      </w:r>
    </w:p>
  </w:footnote>
  <w:footnote w:id="111">
    <w:p w:rsidR="00B53753" w:rsidRDefault="00B53753">
      <w:pPr>
        <w:pStyle w:val="Textpoznpodarou"/>
      </w:pPr>
      <w:r>
        <w:rPr>
          <w:rStyle w:val="Znakapoznpodarou"/>
        </w:rPr>
        <w:footnoteRef/>
      </w:r>
      <w:r>
        <w:t xml:space="preserve"> </w:t>
      </w:r>
      <w:r w:rsidRPr="00240020">
        <w:rPr>
          <w:i/>
        </w:rPr>
        <w:t>Tamtéž</w:t>
      </w:r>
      <w:r>
        <w:t xml:space="preserve">, body 71-73 rozsudku </w:t>
      </w:r>
      <w:proofErr w:type="spellStart"/>
      <w:r>
        <w:rPr>
          <w:i/>
        </w:rPr>
        <w:t>Skoma</w:t>
      </w:r>
      <w:proofErr w:type="spellEnd"/>
      <w:r>
        <w:rPr>
          <w:i/>
        </w:rPr>
        <w:t xml:space="preserve">-Lux </w:t>
      </w:r>
      <w:r w:rsidRPr="00501F93">
        <w:rPr>
          <w:i/>
        </w:rPr>
        <w:t>I.</w:t>
      </w:r>
    </w:p>
  </w:footnote>
  <w:footnote w:id="112">
    <w:p w:rsidR="00B53753" w:rsidRDefault="00B53753">
      <w:pPr>
        <w:pStyle w:val="Textpoznpodarou"/>
      </w:pPr>
      <w:r>
        <w:rPr>
          <w:rStyle w:val="Znakapoznpodarou"/>
        </w:rPr>
        <w:footnoteRef/>
      </w:r>
      <w:r>
        <w:t xml:space="preserve"> Na tomto místě je nicméně třeba zdůraznit, že v případě aplikace principu odpovědnosti státu za porušení práva EU by opačný přístup byl prostě v rozporu s judikaturou SDEU, jakož i se závěry rozsudku NS ze dne 20. 8. 2012, </w:t>
      </w:r>
      <w:proofErr w:type="spellStart"/>
      <w:r>
        <w:t>sp</w:t>
      </w:r>
      <w:proofErr w:type="spellEnd"/>
      <w:r>
        <w:t xml:space="preserve">. zn. 28 </w:t>
      </w:r>
      <w:proofErr w:type="spellStart"/>
      <w:r>
        <w:t>Cdo</w:t>
      </w:r>
      <w:proofErr w:type="spellEnd"/>
      <w:r>
        <w:t xml:space="preserve"> 2927/2010, podle něhož se </w:t>
      </w:r>
      <w:r w:rsidRPr="002D51BC">
        <w:t xml:space="preserve">vnitrostátní zákon č. 82/1998 Sb. použije pouze potud, pokud </w:t>
      </w:r>
      <w:r>
        <w:t>unijní právo</w:t>
      </w:r>
      <w:r w:rsidRPr="002D51BC">
        <w:t xml:space="preserve"> (včetně judikatury SD</w:t>
      </w:r>
      <w:r>
        <w:t>EU</w:t>
      </w:r>
      <w:r w:rsidRPr="002D51BC">
        <w:t>), nestanoví jinak</w:t>
      </w:r>
      <w:r>
        <w:t>. Judikatura SDEU přitom žádný požadavek ve smyslu zrušení sporného rozhodnutí nestanoví. Naopak, konstatuje-li SDEU protiprávnost, soudy členského státu jsou tímto závěrem vázány a již pouze přezkoumávají zbývající okolnosti, tj. příčinnou souvislost a výši škody.</w:t>
      </w:r>
    </w:p>
  </w:footnote>
  <w:footnote w:id="113">
    <w:p w:rsidR="00B53753" w:rsidRDefault="00B53753">
      <w:pPr>
        <w:pStyle w:val="Textpoznpodarou"/>
      </w:pPr>
      <w:r>
        <w:rPr>
          <w:rStyle w:val="Znakapoznpodarou"/>
        </w:rPr>
        <w:footnoteRef/>
      </w:r>
      <w:r>
        <w:t xml:space="preserve"> Srov. rovněž usnesení Nejvyšší soudu ze dne 13. 11. 2012, </w:t>
      </w:r>
      <w:proofErr w:type="spellStart"/>
      <w:r>
        <w:t>sp</w:t>
      </w:r>
      <w:proofErr w:type="spellEnd"/>
      <w:r>
        <w:t xml:space="preserve">. zn. 28 </w:t>
      </w:r>
      <w:proofErr w:type="spellStart"/>
      <w:r>
        <w:t>Cdo</w:t>
      </w:r>
      <w:proofErr w:type="spellEnd"/>
      <w:r>
        <w:t xml:space="preserve"> 3614/2011.</w:t>
      </w:r>
    </w:p>
  </w:footnote>
  <w:footnote w:id="114">
    <w:p w:rsidR="00B53753" w:rsidRDefault="00B53753">
      <w:pPr>
        <w:pStyle w:val="Textpoznpodarou"/>
      </w:pPr>
      <w:r>
        <w:rPr>
          <w:rStyle w:val="Znakapoznpodarou"/>
        </w:rPr>
        <w:footnoteRef/>
      </w:r>
      <w:r>
        <w:t xml:space="preserve"> Pro zpracování této podkapitoly byly použity výňatky z následujících publikací: </w:t>
      </w:r>
      <w:proofErr w:type="spellStart"/>
      <w:r>
        <w:t>Bončková</w:t>
      </w:r>
      <w:proofErr w:type="spellEnd"/>
      <w:r>
        <w:t xml:space="preserve">, H. </w:t>
      </w:r>
      <w:r>
        <w:rPr>
          <w:i/>
        </w:rPr>
        <w:t>Judikatura v </w:t>
      </w:r>
      <w:r w:rsidRPr="009078C3">
        <w:rPr>
          <w:i/>
        </w:rPr>
        <w:t>občanském a obchodním právu: Práce s judikaturou a právem Evropské unie</w:t>
      </w:r>
      <w:r>
        <w:t xml:space="preserve">. In: Bobek, M., </w:t>
      </w:r>
      <w:proofErr w:type="spellStart"/>
      <w:proofErr w:type="gramStart"/>
      <w:r>
        <w:t>Kühn</w:t>
      </w:r>
      <w:proofErr w:type="spellEnd"/>
      <w:r>
        <w:t>, Z. a kol</w:t>
      </w:r>
      <w:proofErr w:type="gramEnd"/>
      <w:r>
        <w:t xml:space="preserve">. </w:t>
      </w:r>
      <w:r>
        <w:rPr>
          <w:i/>
        </w:rPr>
        <w:t>Judikatura a právní argumentace</w:t>
      </w:r>
      <w:r>
        <w:t xml:space="preserve">. 2. vyd. Praha: Auditorium, 2013, str. 435-436; a </w:t>
      </w:r>
      <w:proofErr w:type="spellStart"/>
      <w:r>
        <w:t>Bončková</w:t>
      </w:r>
      <w:proofErr w:type="spellEnd"/>
      <w:r>
        <w:t xml:space="preserve">, H. </w:t>
      </w:r>
      <w:r w:rsidRPr="00000F8C">
        <w:rPr>
          <w:i/>
        </w:rPr>
        <w:t>K důvodům zahájení řízení o předběžné otázce aneb nahlédnutí pod pokličku procesu podání a zodpovězení první předběžné otázky Nejvyššího soudu</w:t>
      </w:r>
      <w:r>
        <w:t xml:space="preserve">. In: Stehlík, V., </w:t>
      </w:r>
      <w:proofErr w:type="spellStart"/>
      <w:r>
        <w:t>Hamuľák</w:t>
      </w:r>
      <w:proofErr w:type="spellEnd"/>
      <w:r>
        <w:t>, O. (</w:t>
      </w:r>
      <w:proofErr w:type="spellStart"/>
      <w:r>
        <w:t>eds</w:t>
      </w:r>
      <w:proofErr w:type="spellEnd"/>
      <w:r>
        <w:t xml:space="preserve">.). </w:t>
      </w:r>
      <w:r w:rsidRPr="00000F8C">
        <w:rPr>
          <w:i/>
        </w:rPr>
        <w:t>Vybrané otázky aplikace práva EU na národní úrovni.</w:t>
      </w:r>
      <w:r>
        <w:t xml:space="preserve"> Olomouc: Univerzita Palackého v Olomouci, 2013, str. 33-45.</w:t>
      </w:r>
    </w:p>
  </w:footnote>
  <w:footnote w:id="115">
    <w:p w:rsidR="00B53753" w:rsidRPr="0016328D" w:rsidRDefault="00B53753" w:rsidP="00380349">
      <w:pPr>
        <w:pStyle w:val="Textpoznpodarou"/>
      </w:pPr>
      <w:r>
        <w:rPr>
          <w:rStyle w:val="Znakapoznpodarou"/>
        </w:rPr>
        <w:footnoteRef/>
      </w:r>
      <w:r>
        <w:t xml:space="preserve"> Srov. kapitolu (</w:t>
      </w:r>
      <w:r w:rsidRPr="009C4A9B">
        <w:rPr>
          <w:i/>
          <w:highlight w:val="yellow"/>
        </w:rPr>
        <w:t xml:space="preserve">doplnit číslo Honzovy kapitoly, konkrétně </w:t>
      </w:r>
      <w:r>
        <w:rPr>
          <w:i/>
          <w:highlight w:val="yellow"/>
        </w:rPr>
        <w:t>bod</w:t>
      </w:r>
      <w:r w:rsidRPr="0016328D">
        <w:rPr>
          <w:i/>
          <w:highlight w:val="yellow"/>
        </w:rPr>
        <w:t xml:space="preserve"> </w:t>
      </w:r>
      <w:proofErr w:type="gramStart"/>
      <w:r w:rsidRPr="0016328D">
        <w:rPr>
          <w:i/>
          <w:highlight w:val="yellow"/>
        </w:rPr>
        <w:t>IV.- Předběžná</w:t>
      </w:r>
      <w:proofErr w:type="gramEnd"/>
      <w:r w:rsidRPr="0016328D">
        <w:rPr>
          <w:i/>
          <w:highlight w:val="yellow"/>
        </w:rPr>
        <w:t xml:space="preserve"> otázka</w:t>
      </w:r>
      <w:r>
        <w:t>).</w:t>
      </w:r>
    </w:p>
  </w:footnote>
  <w:footnote w:id="116">
    <w:p w:rsidR="00B53753" w:rsidRDefault="00B53753">
      <w:pPr>
        <w:pStyle w:val="Textpoznpodarou"/>
      </w:pPr>
      <w:r>
        <w:rPr>
          <w:rStyle w:val="Znakapoznpodarou"/>
        </w:rPr>
        <w:footnoteRef/>
      </w:r>
      <w:r>
        <w:t xml:space="preserve"> K tomuto tématu srov. např. Bříza, P., Švarc, M. </w:t>
      </w:r>
      <w:proofErr w:type="spellStart"/>
      <w:r w:rsidRPr="001807A4">
        <w:rPr>
          <w:i/>
        </w:rPr>
        <w:t>Komunitarizace</w:t>
      </w:r>
      <w:proofErr w:type="spellEnd"/>
      <w:r w:rsidRPr="001807A4">
        <w:rPr>
          <w:i/>
        </w:rPr>
        <w:t xml:space="preserve"> trestního práva v Lisabonské smlouvě a její (případná) reflexe v právním řádu České republiky</w:t>
      </w:r>
      <w:r>
        <w:t>. Trestněprávní revue. 2009, č. 6, str. 161 a násl.</w:t>
      </w:r>
    </w:p>
  </w:footnote>
  <w:footnote w:id="117">
    <w:p w:rsidR="00B53753" w:rsidRDefault="00B53753" w:rsidP="007D6272">
      <w:pPr>
        <w:pStyle w:val="Textpoznpodarou"/>
      </w:pPr>
      <w:r>
        <w:rPr>
          <w:rStyle w:val="Znakapoznpodarou"/>
        </w:rPr>
        <w:footnoteRef/>
      </w:r>
      <w:r>
        <w:t xml:space="preserve"> Tuto skutečnost lze snadno ověřit prostřednictvím databází judikatury dostupných na webových stránkách NS (</w:t>
      </w:r>
      <w:hyperlink r:id="rId6" w:history="1">
        <w:r w:rsidRPr="00123356">
          <w:rPr>
            <w:rStyle w:val="Hypertextovodkaz"/>
          </w:rPr>
          <w:t>www.nsoud.cz</w:t>
        </w:r>
      </w:hyperlink>
      <w:r>
        <w:t>) a NSS (</w:t>
      </w:r>
      <w:hyperlink r:id="rId7" w:history="1">
        <w:r w:rsidRPr="00123356">
          <w:rPr>
            <w:rStyle w:val="Hypertextovodkaz"/>
          </w:rPr>
          <w:t>www.nssoud.cz</w:t>
        </w:r>
      </w:hyperlink>
      <w:r>
        <w:t>). Zadáním do příslušného vyhledávače prakticky jakéhokoliv pojmu souvisejícího s právem ËU a porovnáním počtu vyhledaných rozhodnutí se můžeme snadno přesvědčit, který z obou vrcholných soudů s právem EU přichází do styku častěji.</w:t>
      </w:r>
    </w:p>
  </w:footnote>
  <w:footnote w:id="118">
    <w:p w:rsidR="00B53753" w:rsidRDefault="00B53753">
      <w:pPr>
        <w:pStyle w:val="Textpoznpodarou"/>
      </w:pPr>
      <w:r>
        <w:rPr>
          <w:rStyle w:val="Znakapoznpodarou"/>
        </w:rPr>
        <w:footnoteRef/>
      </w:r>
      <w:r>
        <w:t xml:space="preserve"> I tato skutečnost je přitom důsledkem vývoje evropské integrace. Unijní zákonodárce v těchto novějších a na vnější zásahy citlivějších politik EU přirozeně dává přednost harmonizaci před unifikací (tj. směrnicím před nařízeními). Obecně je však preferovanějším normativním aktem v EU nařízení. V současné době je jich platných necelých 10 000, zatímco směrnic je v platnosti kolem 2 000. Srov. Král, R. </w:t>
      </w:r>
      <w:r w:rsidRPr="00FF1AFD">
        <w:rPr>
          <w:i/>
        </w:rPr>
        <w:t>Směrnice EU z pohledu jejich transpozice a vnitrostátních účinků</w:t>
      </w:r>
      <w:r>
        <w:t>. Praha: C. H. Beck, 2014, str. 3.</w:t>
      </w:r>
    </w:p>
  </w:footnote>
  <w:footnote w:id="119">
    <w:p w:rsidR="00B53753" w:rsidRDefault="00B53753">
      <w:pPr>
        <w:pStyle w:val="Textpoznpodarou"/>
      </w:pPr>
      <w:r>
        <w:rPr>
          <w:rStyle w:val="Znakapoznpodarou"/>
        </w:rPr>
        <w:footnoteRef/>
      </w:r>
      <w:r>
        <w:t xml:space="preserve"> V tomto ohledu přinesl poměrně zásadní změnu zákon č. 404/2012 Sb., </w:t>
      </w:r>
      <w:r w:rsidRPr="00A4063A">
        <w:t>kterým se mění zákon č. 99/1963 Sb., občanský soudní řád, ve znění pozdějších předpisů, a některé další zákony</w:t>
      </w:r>
      <w:r>
        <w:t xml:space="preserve">, jenž významným způsobem novelizoval právní úpravu dovolacího řízení. Nově se tak např. u vztahů ze spotřebitelských smluv nebo pracovněprávních vztahů nepřihlíží k výši peněžitého plnění. Srov. § 238 odst. 1 písm. c) zákona č. 99/1963 Sb., občanský soudní řád. Srov. rovněž Pavliš, T., </w:t>
      </w:r>
      <w:proofErr w:type="spellStart"/>
      <w:r>
        <w:t>Deduch</w:t>
      </w:r>
      <w:proofErr w:type="spellEnd"/>
      <w:r>
        <w:t xml:space="preserve">, J. </w:t>
      </w:r>
      <w:r w:rsidRPr="00DB6549">
        <w:rPr>
          <w:i/>
        </w:rPr>
        <w:t>Ohlédnutí po roce účinnosti nové právní úpravy civilního dovolání</w:t>
      </w:r>
      <w:r>
        <w:rPr>
          <w:i/>
        </w:rPr>
        <w:t>.</w:t>
      </w:r>
      <w:r>
        <w:t xml:space="preserve"> Právní rozhledy. 2014, č. 5, str. 153 a násl. </w:t>
      </w:r>
    </w:p>
  </w:footnote>
  <w:footnote w:id="120">
    <w:p w:rsidR="00B53753" w:rsidRPr="00F31CA1" w:rsidRDefault="00B53753" w:rsidP="007C6A85">
      <w:pPr>
        <w:pStyle w:val="Textpoznpodarou"/>
      </w:pPr>
      <w:r w:rsidRPr="00F31CA1">
        <w:rPr>
          <w:rStyle w:val="Znakapoznpodarou"/>
        </w:rPr>
        <w:footnoteRef/>
      </w:r>
      <w:r w:rsidRPr="00F31CA1">
        <w:t xml:space="preserve"> Přehled předběžných otázek podaných polským Nejvyšším správním soudem lze nalézt na jeho webových stránkách </w:t>
      </w:r>
      <w:hyperlink r:id="rId8" w:history="1">
        <w:r w:rsidRPr="001E76A0">
          <w:rPr>
            <w:rStyle w:val="Hypertextovodkaz"/>
          </w:rPr>
          <w:t>www.nsa.gov.pl</w:t>
        </w:r>
      </w:hyperlink>
      <w:r w:rsidRPr="00F31CA1">
        <w:t xml:space="preserve">. </w:t>
      </w:r>
    </w:p>
  </w:footnote>
  <w:footnote w:id="121">
    <w:p w:rsidR="00B53753" w:rsidRPr="00100720" w:rsidRDefault="00B53753" w:rsidP="007C6A85">
      <w:pPr>
        <w:pStyle w:val="Textpoznpodarou"/>
      </w:pPr>
      <w:r>
        <w:rPr>
          <w:rStyle w:val="Znakapoznpodarou"/>
        </w:rPr>
        <w:footnoteRef/>
      </w:r>
      <w:r w:rsidRPr="00E83A92">
        <w:t xml:space="preserve"> </w:t>
      </w:r>
      <w:r>
        <w:t xml:space="preserve">Je navíc třeba poznamenat, že polský Nejvyšší soud na rozdíl od svého českého protějšku rozhoduje též spory v oblasti hospodářské soutěže a sociálního zabezpečení, tj. spory, jež by v českých podmínkách spadaly do působnosti Nejvyššího správního soudu. Zdaleka ne všechny předběžné otázky podané polským Nejvyšším soudem jsou tudíž z oblasti civilního nebo trestního práva. Srov. např. rozsudek Soudního dvora ze dne 12. 5. 2011, </w:t>
      </w:r>
      <w:r w:rsidRPr="00207054">
        <w:rPr>
          <w:i/>
        </w:rPr>
        <w:t xml:space="preserve">Polska </w:t>
      </w:r>
      <w:proofErr w:type="spellStart"/>
      <w:r w:rsidRPr="00207054">
        <w:rPr>
          <w:i/>
        </w:rPr>
        <w:t>Telefonia</w:t>
      </w:r>
      <w:proofErr w:type="spellEnd"/>
      <w:r w:rsidRPr="00207054">
        <w:rPr>
          <w:i/>
        </w:rPr>
        <w:t xml:space="preserve"> </w:t>
      </w:r>
      <w:proofErr w:type="spellStart"/>
      <w:r w:rsidRPr="00207054">
        <w:rPr>
          <w:i/>
        </w:rPr>
        <w:t>Cyfrowa</w:t>
      </w:r>
      <w:proofErr w:type="spellEnd"/>
      <w:r>
        <w:t xml:space="preserve">, C-410/09, Sb. </w:t>
      </w:r>
      <w:proofErr w:type="spellStart"/>
      <w:r>
        <w:t>rozh</w:t>
      </w:r>
      <w:proofErr w:type="spellEnd"/>
      <w:r>
        <w:t xml:space="preserve">. str. I-3853, nebo rozsudek ze dne 3. 3. 2011, </w:t>
      </w:r>
      <w:proofErr w:type="spellStart"/>
      <w:r w:rsidRPr="00100720">
        <w:rPr>
          <w:i/>
        </w:rPr>
        <w:t>Tomaszewska</w:t>
      </w:r>
      <w:proofErr w:type="spellEnd"/>
      <w:r>
        <w:t xml:space="preserve">, C-440/09, Sb. </w:t>
      </w:r>
      <w:proofErr w:type="spellStart"/>
      <w:r>
        <w:t>rozh</w:t>
      </w:r>
      <w:proofErr w:type="spellEnd"/>
      <w:r>
        <w:t>. str. I-1033.</w:t>
      </w:r>
    </w:p>
  </w:footnote>
  <w:footnote w:id="122">
    <w:p w:rsidR="00B53753" w:rsidRPr="00F31CA1" w:rsidRDefault="00B53753" w:rsidP="007C6A85">
      <w:pPr>
        <w:pStyle w:val="Textpoznpodarou"/>
      </w:pPr>
      <w:r w:rsidRPr="00F31CA1">
        <w:rPr>
          <w:rStyle w:val="Znakapoznpodarou"/>
        </w:rPr>
        <w:footnoteRef/>
      </w:r>
      <w:r w:rsidRPr="00F31CA1">
        <w:t xml:space="preserve"> Údaje o předběžných otázkách polského a slovenského Nejvyššího soudu byly převzaty z databáze SDEU dostupné na webových stránkách </w:t>
      </w:r>
      <w:hyperlink r:id="rId9" w:history="1">
        <w:r w:rsidRPr="001E76A0">
          <w:rPr>
            <w:rStyle w:val="Hypertextovodkaz"/>
          </w:rPr>
          <w:t>http://curia.europa.eu</w:t>
        </w:r>
      </w:hyperlink>
      <w:r w:rsidRPr="00F31CA1">
        <w:t>.</w:t>
      </w:r>
    </w:p>
  </w:footnote>
  <w:footnote w:id="123">
    <w:p w:rsidR="00B53753" w:rsidRDefault="00B53753">
      <w:pPr>
        <w:pStyle w:val="Textpoznpodarou"/>
      </w:pPr>
      <w:r>
        <w:rPr>
          <w:rStyle w:val="Znakapoznpodarou"/>
        </w:rPr>
        <w:footnoteRef/>
      </w:r>
      <w:r>
        <w:t xml:space="preserve"> Srov. zejména ságu týkající se tzv. slovenských důchodů v kapitole (</w:t>
      </w:r>
      <w:r w:rsidRPr="009C4A9B">
        <w:rPr>
          <w:i/>
          <w:highlight w:val="yellow"/>
        </w:rPr>
        <w:t xml:space="preserve">doplnit číslo Honzovy kapitoly, konkrétně </w:t>
      </w:r>
      <w:r>
        <w:rPr>
          <w:i/>
          <w:highlight w:val="yellow"/>
        </w:rPr>
        <w:t>bod</w:t>
      </w:r>
      <w:r w:rsidRPr="0016328D">
        <w:rPr>
          <w:i/>
          <w:highlight w:val="yellow"/>
        </w:rPr>
        <w:t xml:space="preserve"> </w:t>
      </w:r>
      <w:proofErr w:type="gramStart"/>
      <w:r w:rsidRPr="0016328D">
        <w:rPr>
          <w:i/>
          <w:highlight w:val="yellow"/>
        </w:rPr>
        <w:t>IV.</w:t>
      </w:r>
      <w:r>
        <w:rPr>
          <w:i/>
          <w:highlight w:val="yellow"/>
        </w:rPr>
        <w:t>1</w:t>
      </w:r>
      <w:r w:rsidRPr="0016328D">
        <w:rPr>
          <w:i/>
          <w:highlight w:val="yellow"/>
        </w:rPr>
        <w:t xml:space="preserve">- </w:t>
      </w:r>
      <w:r>
        <w:rPr>
          <w:i/>
          <w:highlight w:val="yellow"/>
        </w:rPr>
        <w:t>Předložení</w:t>
      </w:r>
      <w:proofErr w:type="gramEnd"/>
      <w:r>
        <w:rPr>
          <w:i/>
          <w:highlight w:val="yellow"/>
        </w:rPr>
        <w:t xml:space="preserve"> předběžné otázk</w:t>
      </w:r>
      <w:r w:rsidRPr="00FC20A2">
        <w:rPr>
          <w:i/>
          <w:highlight w:val="yellow"/>
        </w:rPr>
        <w:t>y</w:t>
      </w:r>
      <w:r>
        <w:t>).</w:t>
      </w:r>
    </w:p>
  </w:footnote>
  <w:footnote w:id="124">
    <w:p w:rsidR="00B53753" w:rsidRDefault="00B53753">
      <w:pPr>
        <w:pStyle w:val="Textpoznpodarou"/>
      </w:pPr>
      <w:r>
        <w:rPr>
          <w:rStyle w:val="Znakapoznpodarou"/>
        </w:rPr>
        <w:footnoteRef/>
      </w:r>
      <w:r>
        <w:t xml:space="preserve"> Rozsudek Soudního dvora </w:t>
      </w:r>
      <w:r w:rsidRPr="00F31CA1">
        <w:t xml:space="preserve">ze dne 21. 6. 2012, </w:t>
      </w:r>
      <w:r>
        <w:rPr>
          <w:i/>
        </w:rPr>
        <w:t>Wolf Naturprodukte</w:t>
      </w:r>
      <w:r w:rsidRPr="00F31CA1">
        <w:t>,</w:t>
      </w:r>
      <w:r>
        <w:t xml:space="preserve"> </w:t>
      </w:r>
      <w:r w:rsidRPr="00F31CA1">
        <w:t>C-514/10</w:t>
      </w:r>
      <w:r>
        <w:t xml:space="preserve">, dosud nezveřejněný. </w:t>
      </w:r>
      <w:r w:rsidRPr="00F31CA1">
        <w:t>Kuriozitou je, že SDEU ve svých výročních zprávách</w:t>
      </w:r>
      <w:r>
        <w:t xml:space="preserve"> z let 2010-2012</w:t>
      </w:r>
      <w:r w:rsidRPr="00F31CA1">
        <w:t xml:space="preserve"> tuto předběžnou otázku Nejvyššímu soudu </w:t>
      </w:r>
      <w:r>
        <w:t>setrvale upíral</w:t>
      </w:r>
      <w:r w:rsidRPr="00F31CA1">
        <w:t xml:space="preserve"> a</w:t>
      </w:r>
      <w:r>
        <w:t> nechtěně tak vytvářel</w:t>
      </w:r>
      <w:r w:rsidRPr="00F31CA1">
        <w:t xml:space="preserve"> dojem, že český Nejvyšší soud je tím nejzarytějš</w:t>
      </w:r>
      <w:r>
        <w:t>ím ze zarytých odpůrců řízení o </w:t>
      </w:r>
      <w:r w:rsidRPr="00F31CA1">
        <w:t xml:space="preserve">předběžné otázce. </w:t>
      </w:r>
      <w:r>
        <w:t xml:space="preserve">Srov. příslušné výroční zprávy SDEU dostupné na stránkách </w:t>
      </w:r>
      <w:hyperlink r:id="rId10" w:history="1">
        <w:r w:rsidRPr="001E76A0">
          <w:rPr>
            <w:rStyle w:val="Hypertextovodkaz"/>
          </w:rPr>
          <w:t>http://curia.europa.eu</w:t>
        </w:r>
      </w:hyperlink>
      <w:r w:rsidRPr="00F31CA1">
        <w:t>.</w:t>
      </w:r>
      <w:r>
        <w:t xml:space="preserve"> </w:t>
      </w:r>
    </w:p>
  </w:footnote>
  <w:footnote w:id="125">
    <w:p w:rsidR="00B53753" w:rsidRPr="00F31CA1" w:rsidRDefault="00B53753" w:rsidP="00A37D71">
      <w:pPr>
        <w:pStyle w:val="Textpoznpodarou"/>
      </w:pPr>
      <w:r w:rsidRPr="00F31CA1">
        <w:rPr>
          <w:rStyle w:val="Znakapoznpodarou"/>
        </w:rPr>
        <w:footnoteRef/>
      </w:r>
      <w:r>
        <w:t xml:space="preserve"> Srov. </w:t>
      </w:r>
      <w:r w:rsidRPr="00143C35">
        <w:t>Komárek, J.</w:t>
      </w:r>
      <w:r w:rsidRPr="00143C35">
        <w:rPr>
          <w:i/>
        </w:rPr>
        <w:t xml:space="preserve"> Soudní dvůr EU – červen 2012</w:t>
      </w:r>
      <w:r w:rsidRPr="00F31CA1">
        <w:t xml:space="preserve">. </w:t>
      </w:r>
      <w:r w:rsidRPr="00143C35">
        <w:t>Soudní rozhledy</w:t>
      </w:r>
      <w:r w:rsidRPr="00F31CA1">
        <w:t>. 2012, č. 9, str. 334</w:t>
      </w:r>
      <w:r>
        <w:t xml:space="preserve"> a násl.; Komárek, J.</w:t>
      </w:r>
      <w:r w:rsidRPr="00F31CA1">
        <w:t xml:space="preserve"> </w:t>
      </w:r>
      <w:r w:rsidRPr="00143C35">
        <w:rPr>
          <w:i/>
        </w:rPr>
        <w:t>Soudní dvůr EU – červenec 2012</w:t>
      </w:r>
      <w:r w:rsidRPr="00F31CA1">
        <w:t xml:space="preserve">. </w:t>
      </w:r>
      <w:r w:rsidRPr="00143C35">
        <w:t>Soudní rozhledy</w:t>
      </w:r>
      <w:r w:rsidRPr="00F31CA1">
        <w:t>. 2012, č. 10, str. 370</w:t>
      </w:r>
      <w:r>
        <w:t xml:space="preserve"> a násl.; </w:t>
      </w:r>
      <w:proofErr w:type="spellStart"/>
      <w:r>
        <w:t>Tlamycha</w:t>
      </w:r>
      <w:proofErr w:type="spellEnd"/>
      <w:r>
        <w:t>, J.</w:t>
      </w:r>
      <w:r w:rsidRPr="00F31CA1">
        <w:t xml:space="preserve"> </w:t>
      </w:r>
      <w:r w:rsidRPr="00B0080F">
        <w:rPr>
          <w:i/>
        </w:rPr>
        <w:t>Wolf Naturprodukte (C-514/10).</w:t>
      </w:r>
      <w:r w:rsidRPr="00F31CA1">
        <w:t xml:space="preserve"> </w:t>
      </w:r>
      <w:r w:rsidRPr="00B0080F">
        <w:t>Jurisprudence</w:t>
      </w:r>
      <w:r>
        <w:t>. 2012, č. 7, str. 101.</w:t>
      </w:r>
    </w:p>
  </w:footnote>
  <w:footnote w:id="126">
    <w:p w:rsidR="00B53753" w:rsidRDefault="00B53753" w:rsidP="00A37D71">
      <w:pPr>
        <w:pStyle w:val="Textpoznpodarou"/>
      </w:pPr>
      <w:r>
        <w:rPr>
          <w:rStyle w:val="Znakapoznpodarou"/>
        </w:rPr>
        <w:footnoteRef/>
      </w:r>
      <w:r>
        <w:t xml:space="preserve"> Srov. </w:t>
      </w:r>
      <w:proofErr w:type="spellStart"/>
      <w:r>
        <w:t>Bončková</w:t>
      </w:r>
      <w:proofErr w:type="spellEnd"/>
      <w:r>
        <w:t xml:space="preserve">, H. </w:t>
      </w:r>
      <w:r w:rsidRPr="00000F8C">
        <w:rPr>
          <w:i/>
        </w:rPr>
        <w:t>K důvodům zahájení řízení o předběžné otázce aneb nahlédnutí pod pokličku procesu podání a zodpovězení první předběžné otázky Nejvyššího soudu</w:t>
      </w:r>
      <w:r>
        <w:t xml:space="preserve">. In: Stehlík, V., </w:t>
      </w:r>
      <w:proofErr w:type="spellStart"/>
      <w:r>
        <w:t>Hamuľák</w:t>
      </w:r>
      <w:proofErr w:type="spellEnd"/>
      <w:r>
        <w:t>, O. (</w:t>
      </w:r>
      <w:proofErr w:type="spellStart"/>
      <w:r>
        <w:t>eds</w:t>
      </w:r>
      <w:proofErr w:type="spellEnd"/>
      <w:r>
        <w:t xml:space="preserve">.). </w:t>
      </w:r>
      <w:r w:rsidRPr="00000F8C">
        <w:rPr>
          <w:i/>
        </w:rPr>
        <w:t>Vybrané otázky aplikace práva EU na národní úrovni.</w:t>
      </w:r>
      <w:r>
        <w:t xml:space="preserve"> Olomouc: Univerzita Palackého v Olomouci, 2013, str. 33-45.</w:t>
      </w:r>
    </w:p>
  </w:footnote>
  <w:footnote w:id="127">
    <w:p w:rsidR="00B53753" w:rsidRPr="00F31CA1" w:rsidRDefault="00B53753" w:rsidP="00B53753">
      <w:pPr>
        <w:pStyle w:val="Textpoznpodarou"/>
      </w:pPr>
      <w:r w:rsidRPr="00F31CA1">
        <w:rPr>
          <w:rStyle w:val="Znakapoznpodarou"/>
        </w:rPr>
        <w:footnoteRef/>
      </w:r>
      <w:r>
        <w:t xml:space="preserve"> V této souvislosti s</w:t>
      </w:r>
      <w:r w:rsidRPr="00F31CA1">
        <w:t xml:space="preserve">rov. </w:t>
      </w:r>
      <w:r>
        <w:t xml:space="preserve">výstupy zahraničního oddělení Nejvyššího soudu, jež soustavně sleduje a analyzuje rozhodovací činnost obecných soudů v oblasti aplikace unijního práva, konkrétně k nařízením EU </w:t>
      </w:r>
      <w:proofErr w:type="spellStart"/>
      <w:r w:rsidRPr="00F31CA1">
        <w:t>Bončková</w:t>
      </w:r>
      <w:proofErr w:type="spellEnd"/>
      <w:r w:rsidRPr="00F31CA1">
        <w:t xml:space="preserve">, </w:t>
      </w:r>
      <w:r w:rsidR="008D722E">
        <w:t xml:space="preserve">H., </w:t>
      </w:r>
      <w:proofErr w:type="spellStart"/>
      <w:r w:rsidR="008D722E">
        <w:t>Žondra</w:t>
      </w:r>
      <w:proofErr w:type="spellEnd"/>
      <w:r w:rsidR="008D722E">
        <w:t>, M.</w:t>
      </w:r>
      <w:r w:rsidRPr="00F31CA1">
        <w:t xml:space="preserve">: </w:t>
      </w:r>
      <w:r w:rsidRPr="008D722E">
        <w:rPr>
          <w:i/>
        </w:rPr>
        <w:t>Aplikace práva EU českými soudy v soukromoprávních věcech v letech 2004-2008. Část II. Nařízení.</w:t>
      </w:r>
      <w:r w:rsidRPr="00F31CA1">
        <w:t xml:space="preserve"> </w:t>
      </w:r>
      <w:r w:rsidRPr="008D722E">
        <w:t>Právní fórum.</w:t>
      </w:r>
      <w:r w:rsidR="008D722E">
        <w:t xml:space="preserve"> 2011, č. 3, str. 97-98;</w:t>
      </w:r>
      <w:r>
        <w:t xml:space="preserve"> nebo Pavel, </w:t>
      </w:r>
      <w:r w:rsidR="008D722E">
        <w:t>A.,</w:t>
      </w:r>
      <w:r>
        <w:t xml:space="preserve"> </w:t>
      </w:r>
      <w:proofErr w:type="spellStart"/>
      <w:r>
        <w:t>Kondelová</w:t>
      </w:r>
      <w:proofErr w:type="spellEnd"/>
      <w:r>
        <w:t>, A</w:t>
      </w:r>
      <w:r w:rsidR="008D722E">
        <w:t>.,</w:t>
      </w:r>
      <w:r>
        <w:t xml:space="preserve"> </w:t>
      </w:r>
      <w:proofErr w:type="spellStart"/>
      <w:r>
        <w:t>Šipulová</w:t>
      </w:r>
      <w:proofErr w:type="spellEnd"/>
      <w:r>
        <w:t>, K</w:t>
      </w:r>
      <w:r w:rsidR="008D722E">
        <w:t>., Havelka, L.</w:t>
      </w:r>
      <w:r>
        <w:t xml:space="preserve"> </w:t>
      </w:r>
      <w:r w:rsidRPr="00D82FB5">
        <w:rPr>
          <w:i/>
        </w:rPr>
        <w:t>Aplikace unijního práva českými civilními soudy 2009-2011</w:t>
      </w:r>
      <w:r>
        <w:t>. Brno: Nejvyšší soud, 2013, str. 67 a násl.</w:t>
      </w:r>
    </w:p>
  </w:footnote>
  <w:footnote w:id="128">
    <w:p w:rsidR="008D722E" w:rsidRPr="00781BEC" w:rsidRDefault="008D722E" w:rsidP="008D722E">
      <w:pPr>
        <w:pStyle w:val="Textpoznpodarou"/>
      </w:pPr>
      <w:r>
        <w:rPr>
          <w:rStyle w:val="Znakapoznpodarou"/>
        </w:rPr>
        <w:footnoteRef/>
      </w:r>
      <w:r w:rsidRPr="00EC53F9">
        <w:t xml:space="preserve"> </w:t>
      </w:r>
      <w:r>
        <w:t>Srov. čl. 76 nařízení Brusel I.</w:t>
      </w:r>
    </w:p>
  </w:footnote>
  <w:footnote w:id="129">
    <w:p w:rsidR="003640AB" w:rsidRPr="002E4061" w:rsidRDefault="003640AB" w:rsidP="003640AB">
      <w:pPr>
        <w:pStyle w:val="Textpoznpodarou"/>
      </w:pPr>
      <w:r>
        <w:rPr>
          <w:rStyle w:val="Znakapoznpodarou"/>
        </w:rPr>
        <w:footnoteRef/>
      </w:r>
      <w:r w:rsidRPr="00A27FA0">
        <w:t xml:space="preserve"> </w:t>
      </w:r>
      <w:r>
        <w:t xml:space="preserve">Stanovisko generálního advokáta Pedra </w:t>
      </w:r>
      <w:proofErr w:type="spellStart"/>
      <w:r>
        <w:t>Cruz</w:t>
      </w:r>
      <w:proofErr w:type="spellEnd"/>
      <w:r>
        <w:t xml:space="preserve"> </w:t>
      </w:r>
      <w:proofErr w:type="spellStart"/>
      <w:r>
        <w:t>Villalóna</w:t>
      </w:r>
      <w:proofErr w:type="spellEnd"/>
      <w:r>
        <w:t xml:space="preserve"> ze dne 2. 2. 2012, </w:t>
      </w:r>
      <w:r>
        <w:rPr>
          <w:i/>
        </w:rPr>
        <w:t xml:space="preserve">Wolf Naturprodukte, </w:t>
      </w:r>
      <w:r>
        <w:t>C-514/10.</w:t>
      </w:r>
    </w:p>
  </w:footnote>
  <w:footnote w:id="130">
    <w:p w:rsidR="003640AB" w:rsidRPr="00385A4A" w:rsidRDefault="003640AB" w:rsidP="003640AB">
      <w:pPr>
        <w:pStyle w:val="Textpoznpodarou"/>
      </w:pPr>
      <w:r>
        <w:rPr>
          <w:rStyle w:val="Znakapoznpodarou"/>
        </w:rPr>
        <w:footnoteRef/>
      </w:r>
      <w:r w:rsidRPr="00385A4A">
        <w:t xml:space="preserve"> </w:t>
      </w:r>
      <w:r>
        <w:t>Zatímco Komise se v řízení o předběžné otázce vyjadřuje vždy a zpravidla tak činí i stát, jehož vnitrostátní soud řízení u SDEU zahájil, ostatní členské státy prezentují svá stanoviska k předběžné otázce, pouze mají-li na výsledku řízení určitý zájem.</w:t>
      </w:r>
    </w:p>
  </w:footnote>
  <w:footnote w:id="131">
    <w:p w:rsidR="003640AB" w:rsidRPr="0044482D" w:rsidRDefault="003640AB" w:rsidP="003640AB">
      <w:pPr>
        <w:pStyle w:val="Textpoznpodarou"/>
      </w:pPr>
      <w:r>
        <w:rPr>
          <w:rStyle w:val="Znakapoznpodarou"/>
        </w:rPr>
        <w:footnoteRef/>
      </w:r>
      <w:r>
        <w:t xml:space="preserve"> Bod 27 rozsudku.</w:t>
      </w:r>
    </w:p>
  </w:footnote>
  <w:footnote w:id="132">
    <w:p w:rsidR="003640AB" w:rsidRPr="003661C1" w:rsidRDefault="003640AB" w:rsidP="003640AB">
      <w:pPr>
        <w:pStyle w:val="Textpoznpodarou"/>
      </w:pPr>
      <w:r>
        <w:rPr>
          <w:rStyle w:val="Znakapoznpodarou"/>
        </w:rPr>
        <w:footnoteRef/>
      </w:r>
      <w:r w:rsidRPr="009F417F">
        <w:t xml:space="preserve"> </w:t>
      </w:r>
      <w:r>
        <w:t xml:space="preserve">Usnesení Nejvyššího soudu ze dne 25. 7. 2012, </w:t>
      </w:r>
      <w:proofErr w:type="spellStart"/>
      <w:r>
        <w:t>sp</w:t>
      </w:r>
      <w:proofErr w:type="spellEnd"/>
      <w:r>
        <w:t xml:space="preserve">. zn. 20 </w:t>
      </w:r>
      <w:proofErr w:type="spellStart"/>
      <w:r>
        <w:t>Cdo</w:t>
      </w:r>
      <w:proofErr w:type="spellEnd"/>
      <w:r>
        <w:t xml:space="preserve"> 4468/2008-II.</w:t>
      </w:r>
    </w:p>
  </w:footnote>
  <w:footnote w:id="133">
    <w:p w:rsidR="009A184B" w:rsidRDefault="009A184B">
      <w:pPr>
        <w:pStyle w:val="Textpoznpodarou"/>
      </w:pPr>
      <w:r>
        <w:rPr>
          <w:rStyle w:val="Znakapoznpodarou"/>
        </w:rPr>
        <w:footnoteRef/>
      </w:r>
      <w:r>
        <w:t xml:space="preserve"> </w:t>
      </w:r>
      <w:r w:rsidRPr="00F31CA1">
        <w:t xml:space="preserve">Usnesení </w:t>
      </w:r>
      <w:r>
        <w:t xml:space="preserve">Nejvyššího soudu </w:t>
      </w:r>
      <w:r w:rsidRPr="00F31CA1">
        <w:t xml:space="preserve">ze dne 12. 11. 2013, </w:t>
      </w:r>
      <w:proofErr w:type="spellStart"/>
      <w:r w:rsidRPr="00F31CA1">
        <w:t>sp</w:t>
      </w:r>
      <w:proofErr w:type="spellEnd"/>
      <w:r w:rsidRPr="00F31CA1">
        <w:t xml:space="preserve">. zn. 30 </w:t>
      </w:r>
      <w:proofErr w:type="spellStart"/>
      <w:r w:rsidRPr="00F31CA1">
        <w:t>Cdo</w:t>
      </w:r>
      <w:proofErr w:type="spellEnd"/>
      <w:r w:rsidRPr="00F31CA1">
        <w:t xml:space="preserve"> 1994/2013</w:t>
      </w:r>
      <w:r>
        <w:t xml:space="preserve">. V </w:t>
      </w:r>
      <w:r w:rsidRPr="00F31CA1">
        <w:t>databázi SDEU je tato předběžná otázka vedena pod číslem C-656/13</w:t>
      </w:r>
      <w:r>
        <w:t>.</w:t>
      </w:r>
    </w:p>
  </w:footnote>
  <w:footnote w:id="134">
    <w:p w:rsidR="00B53753" w:rsidRDefault="00B53753" w:rsidP="00A25B08">
      <w:pPr>
        <w:pStyle w:val="Textpoznpodarou"/>
      </w:pPr>
      <w:r>
        <w:rPr>
          <w:rStyle w:val="Znakapoznpodarou"/>
        </w:rPr>
        <w:footnoteRef/>
      </w:r>
      <w:r>
        <w:t xml:space="preserve"> Kromě rozhodnutí uvedených níže </w:t>
      </w:r>
      <w:r w:rsidR="004457CC">
        <w:t>v tomto bodu</w:t>
      </w:r>
      <w:r>
        <w:t xml:space="preserve"> srov. rovněž usnesení Nejvyššího soudu ze dne 25. 3. 2008, </w:t>
      </w:r>
      <w:proofErr w:type="spellStart"/>
      <w:r>
        <w:t>sp</w:t>
      </w:r>
      <w:proofErr w:type="spellEnd"/>
      <w:r>
        <w:t xml:space="preserve">. zn. 29 Odo 565/2006 nebo rozsudek ze dne 23. 2. 2010, </w:t>
      </w:r>
      <w:proofErr w:type="spellStart"/>
      <w:r>
        <w:t>sp</w:t>
      </w:r>
      <w:proofErr w:type="spellEnd"/>
      <w:r>
        <w:t xml:space="preserve">. zn. 29 </w:t>
      </w:r>
      <w:proofErr w:type="spellStart"/>
      <w:r>
        <w:t>Cdo</w:t>
      </w:r>
      <w:proofErr w:type="spellEnd"/>
      <w:r>
        <w:t xml:space="preserve"> 940/2009. </w:t>
      </w:r>
    </w:p>
  </w:footnote>
  <w:footnote w:id="135">
    <w:p w:rsidR="00B53753" w:rsidRDefault="00B53753" w:rsidP="00A25B08">
      <w:pPr>
        <w:pStyle w:val="Textpoznpodarou"/>
      </w:pPr>
      <w:r>
        <w:rPr>
          <w:rStyle w:val="Znakapoznpodarou"/>
        </w:rPr>
        <w:footnoteRef/>
      </w:r>
      <w:r>
        <w:t xml:space="preserve"> Usnesení Nejvyššího soudu ze dne 3. 8. 2005, </w:t>
      </w:r>
      <w:proofErr w:type="spellStart"/>
      <w:r>
        <w:t>sp</w:t>
      </w:r>
      <w:proofErr w:type="spellEnd"/>
      <w:r>
        <w:t xml:space="preserve">. zn. 28 </w:t>
      </w:r>
      <w:proofErr w:type="spellStart"/>
      <w:r>
        <w:t>Cdo</w:t>
      </w:r>
      <w:proofErr w:type="spellEnd"/>
      <w:r>
        <w:t xml:space="preserve"> 1347/2005.</w:t>
      </w:r>
    </w:p>
  </w:footnote>
  <w:footnote w:id="136">
    <w:p w:rsidR="00B53753" w:rsidRDefault="00B53753" w:rsidP="00A25B08">
      <w:pPr>
        <w:pStyle w:val="Textpoznpodarou"/>
      </w:pPr>
      <w:r>
        <w:rPr>
          <w:rStyle w:val="Znakapoznpodarou"/>
        </w:rPr>
        <w:footnoteRef/>
      </w:r>
      <w:r>
        <w:t xml:space="preserve"> Proti tomuto postupu, kterým se žalobce žalobou na určení vlastnického práva snažil obejít smysl a účel restitučního zákonodárství, se později v souvislosti s jinou kauzou vyslovil rovněž Ústavní soud. Srov. nález </w:t>
      </w:r>
      <w:r w:rsidR="004457CC">
        <w:rPr>
          <w:rFonts w:eastAsia="Calibri" w:cs="Times New Roman"/>
        </w:rPr>
        <w:t xml:space="preserve">Ústavního soudu ze dne 25. 1. 2006, </w:t>
      </w:r>
      <w:proofErr w:type="spellStart"/>
      <w:r w:rsidR="004457CC">
        <w:rPr>
          <w:rFonts w:eastAsia="Calibri" w:cs="Times New Roman"/>
        </w:rPr>
        <w:t>sp</w:t>
      </w:r>
      <w:proofErr w:type="spellEnd"/>
      <w:r w:rsidR="004457CC">
        <w:rPr>
          <w:rFonts w:eastAsia="Calibri" w:cs="Times New Roman"/>
        </w:rPr>
        <w:t>. zn. II. ÚS 14/04</w:t>
      </w:r>
      <w:r>
        <w:t>.</w:t>
      </w:r>
    </w:p>
  </w:footnote>
  <w:footnote w:id="137">
    <w:p w:rsidR="00B53753" w:rsidRDefault="00B53753" w:rsidP="00A25B08">
      <w:pPr>
        <w:pStyle w:val="Textpoznpodarou"/>
      </w:pPr>
      <w:r>
        <w:rPr>
          <w:rStyle w:val="Znakapoznpodarou"/>
        </w:rPr>
        <w:footnoteRef/>
      </w:r>
      <w:r>
        <w:t xml:space="preserve"> Formulovaná předběžná otázka byla přitom zjevně účelová, z pohledu práva EU pak zcela bezpředmětná, srov. její text, jak ho ve svém dovolání uvádí žalobce: </w:t>
      </w:r>
      <w:r>
        <w:rPr>
          <w:i/>
        </w:rPr>
        <w:t>„Lze vykládat čl. 6 odst. 1 Smlouvy o Evropské unii, prohlašující, že Unie je založena na zásadách právního státu, že dojde-li k situaci, kdy soudy určitého členského státu ztratí v jejich rozhodovací činnosti v konkrétní věci, v důsledku nepřípustných zásahů ze strany jiných orgánů státu, svou nezávislost a nestrannost, je nutné přenést jejich rozhodovací pravomoc v konkrétní věci na soudy jiného členského státu?“</w:t>
      </w:r>
    </w:p>
  </w:footnote>
  <w:footnote w:id="138">
    <w:p w:rsidR="00B53753" w:rsidRDefault="00B53753" w:rsidP="00A25B08">
      <w:pPr>
        <w:pStyle w:val="Textpoznpodarou"/>
      </w:pPr>
      <w:r>
        <w:rPr>
          <w:rStyle w:val="Znakapoznpodarou"/>
        </w:rPr>
        <w:footnoteRef/>
      </w:r>
      <w:r>
        <w:t xml:space="preserve"> Usnesení Nejvyššího soudu ze dne 5. 6. 2008, </w:t>
      </w:r>
      <w:proofErr w:type="spellStart"/>
      <w:r>
        <w:t>sp</w:t>
      </w:r>
      <w:proofErr w:type="spellEnd"/>
      <w:r>
        <w:t xml:space="preserve">. zn. 25 </w:t>
      </w:r>
      <w:proofErr w:type="spellStart"/>
      <w:r>
        <w:t>Cdo</w:t>
      </w:r>
      <w:proofErr w:type="spellEnd"/>
      <w:r>
        <w:t xml:space="preserve"> 1582/2006.</w:t>
      </w:r>
    </w:p>
  </w:footnote>
  <w:footnote w:id="139">
    <w:p w:rsidR="00B53753" w:rsidRDefault="00B53753" w:rsidP="00A25B08">
      <w:pPr>
        <w:pStyle w:val="Textpoznpodarou"/>
      </w:pPr>
      <w:r>
        <w:rPr>
          <w:rStyle w:val="Znakapoznpodarou"/>
        </w:rPr>
        <w:footnoteRef/>
      </w:r>
      <w:r>
        <w:t xml:space="preserve"> Konkrétně se jednalo o směrnici Evropského parlamentu a Rady 97/9/ES ze dne 3. března 1997 o systémech pro odškodnění investorů a směrnici Rady 93/22/EHS ze dne 10. května 1993 o investičních službách v oblasti cenných papírů.</w:t>
      </w:r>
    </w:p>
  </w:footnote>
  <w:footnote w:id="140">
    <w:p w:rsidR="00B53753" w:rsidRDefault="00B53753" w:rsidP="00A25B08">
      <w:pPr>
        <w:pStyle w:val="Textpoznpodarou"/>
      </w:pPr>
      <w:r>
        <w:rPr>
          <w:rStyle w:val="Znakapoznpodarou"/>
        </w:rPr>
        <w:footnoteRef/>
      </w:r>
      <w:r>
        <w:t xml:space="preserve"> Usnesení Nejvyššího soudu ze dne 31. 1.</w:t>
      </w:r>
      <w:r w:rsidR="004319D1">
        <w:t xml:space="preserve"> 2008, </w:t>
      </w:r>
      <w:proofErr w:type="spellStart"/>
      <w:r w:rsidR="004319D1">
        <w:t>sp</w:t>
      </w:r>
      <w:proofErr w:type="spellEnd"/>
      <w:r w:rsidR="004319D1">
        <w:t>. zn. 29 Odo 164/2006</w:t>
      </w:r>
      <w:r>
        <w:t>.</w:t>
      </w:r>
    </w:p>
  </w:footnote>
  <w:footnote w:id="141">
    <w:p w:rsidR="00B53753" w:rsidRDefault="00B53753" w:rsidP="00A25B08">
      <w:pPr>
        <w:pStyle w:val="Textpoznpodarou"/>
      </w:pPr>
      <w:r>
        <w:rPr>
          <w:rStyle w:val="Znakapoznpodarou"/>
        </w:rPr>
        <w:footnoteRef/>
      </w:r>
      <w:r>
        <w:t xml:space="preserve"> Nařízení Rady (ES) č. 1346/2000 ze dne 29. května 2000 o úpadkovém řízení.</w:t>
      </w:r>
    </w:p>
  </w:footnote>
  <w:footnote w:id="142">
    <w:p w:rsidR="00B53753" w:rsidRDefault="00B53753" w:rsidP="004C2111">
      <w:pPr>
        <w:pStyle w:val="Textpoznpodarou"/>
      </w:pPr>
      <w:r>
        <w:rPr>
          <w:rStyle w:val="Znakapoznpodarou"/>
        </w:rPr>
        <w:footnoteRef/>
      </w:r>
      <w:r>
        <w:t xml:space="preserve"> Srov. usnesení Nejvyššího soudu ze dne 31. 8. 2006, </w:t>
      </w:r>
      <w:proofErr w:type="spellStart"/>
      <w:r>
        <w:t>sp</w:t>
      </w:r>
      <w:proofErr w:type="spellEnd"/>
      <w:r>
        <w:t xml:space="preserve">. zn. 25 </w:t>
      </w:r>
      <w:proofErr w:type="spellStart"/>
      <w:r>
        <w:t>Nd</w:t>
      </w:r>
      <w:proofErr w:type="spellEnd"/>
      <w:r>
        <w:t xml:space="preserve"> 56/2006 a usnesení ze dne 18. 4. 2007, </w:t>
      </w:r>
      <w:proofErr w:type="spellStart"/>
      <w:r>
        <w:t>sp</w:t>
      </w:r>
      <w:proofErr w:type="spellEnd"/>
      <w:r>
        <w:t xml:space="preserve">. zn. 20 </w:t>
      </w:r>
      <w:proofErr w:type="spellStart"/>
      <w:r>
        <w:t>Cdo</w:t>
      </w:r>
      <w:proofErr w:type="spellEnd"/>
      <w:r>
        <w:t xml:space="preserve"> 710/2006.</w:t>
      </w:r>
    </w:p>
  </w:footnote>
  <w:footnote w:id="143">
    <w:p w:rsidR="00B53753" w:rsidRDefault="00B53753">
      <w:pPr>
        <w:pStyle w:val="Textpoznpodarou"/>
      </w:pPr>
      <w:r>
        <w:rPr>
          <w:rStyle w:val="Znakapoznpodarou"/>
        </w:rPr>
        <w:footnoteRef/>
      </w:r>
      <w:r>
        <w:t xml:space="preserve"> Blíže k povaze tohoto unijního lidskoprávního katalogu a specifik jeho přijetí v České republice srov. kapitolu (</w:t>
      </w:r>
      <w:r w:rsidRPr="009C4A9B">
        <w:rPr>
          <w:i/>
          <w:highlight w:val="yellow"/>
        </w:rPr>
        <w:t xml:space="preserve">doplnit číslo Honzovy kapitoly, konkrétně </w:t>
      </w:r>
      <w:proofErr w:type="gramStart"/>
      <w:r>
        <w:rPr>
          <w:i/>
          <w:highlight w:val="yellow"/>
        </w:rPr>
        <w:t>bod</w:t>
      </w:r>
      <w:r w:rsidRPr="009C4A9B">
        <w:rPr>
          <w:i/>
          <w:highlight w:val="yellow"/>
        </w:rPr>
        <w:t xml:space="preserve"> V.-</w:t>
      </w:r>
      <w:r>
        <w:rPr>
          <w:i/>
          <w:highlight w:val="yellow"/>
        </w:rPr>
        <w:t xml:space="preserve"> </w:t>
      </w:r>
      <w:r w:rsidRPr="009C4A9B">
        <w:rPr>
          <w:i/>
          <w:highlight w:val="yellow"/>
        </w:rPr>
        <w:t>Listina</w:t>
      </w:r>
      <w:proofErr w:type="gramEnd"/>
      <w:r w:rsidRPr="009C4A9B">
        <w:rPr>
          <w:i/>
          <w:highlight w:val="yellow"/>
        </w:rPr>
        <w:t xml:space="preserve"> EU</w:t>
      </w:r>
      <w:r>
        <w:t>) a v ní citovanou literaturu a judikaturu SDEU.</w:t>
      </w:r>
    </w:p>
  </w:footnote>
  <w:footnote w:id="144">
    <w:p w:rsidR="00B53753" w:rsidRDefault="00B53753">
      <w:pPr>
        <w:pStyle w:val="Textpoznpodarou"/>
      </w:pPr>
      <w:r>
        <w:rPr>
          <w:rStyle w:val="Znakapoznpodarou"/>
        </w:rPr>
        <w:footnoteRef/>
      </w:r>
      <w:r>
        <w:t xml:space="preserve"> Čl. 6 odst. 1 SEU.</w:t>
      </w:r>
    </w:p>
  </w:footnote>
  <w:footnote w:id="145">
    <w:p w:rsidR="00B53753" w:rsidRDefault="00B53753">
      <w:pPr>
        <w:pStyle w:val="Textpoznpodarou"/>
      </w:pPr>
      <w:r>
        <w:rPr>
          <w:rStyle w:val="Znakapoznpodarou"/>
        </w:rPr>
        <w:footnoteRef/>
      </w:r>
      <w:r>
        <w:t xml:space="preserve"> Srov. Vysvětlení k Listině základních práv. </w:t>
      </w:r>
      <w:proofErr w:type="spellStart"/>
      <w:r>
        <w:t>Úř</w:t>
      </w:r>
      <w:proofErr w:type="spellEnd"/>
      <w:r>
        <w:t xml:space="preserve">. </w:t>
      </w:r>
      <w:proofErr w:type="spellStart"/>
      <w:proofErr w:type="gramStart"/>
      <w:r>
        <w:t>věst</w:t>
      </w:r>
      <w:proofErr w:type="spellEnd"/>
      <w:proofErr w:type="gramEnd"/>
      <w:r>
        <w:t>. C 303/17, 14. 12. 2007, str. 17-35.</w:t>
      </w:r>
    </w:p>
  </w:footnote>
  <w:footnote w:id="146">
    <w:p w:rsidR="00B53753" w:rsidRDefault="00B53753">
      <w:pPr>
        <w:pStyle w:val="Textpoznpodarou"/>
      </w:pPr>
      <w:r>
        <w:rPr>
          <w:rStyle w:val="Znakapoznpodarou"/>
        </w:rPr>
        <w:footnoteRef/>
      </w:r>
      <w:r>
        <w:t xml:space="preserve"> Usnesení Nejvyššího soudu ze dne 20. 10. 2010, </w:t>
      </w:r>
      <w:proofErr w:type="spellStart"/>
      <w:r>
        <w:t>sp</w:t>
      </w:r>
      <w:proofErr w:type="spellEnd"/>
      <w:r>
        <w:t xml:space="preserve">. zn. 7 </w:t>
      </w:r>
      <w:proofErr w:type="spellStart"/>
      <w:r>
        <w:t>Tdo</w:t>
      </w:r>
      <w:proofErr w:type="spellEnd"/>
      <w:r>
        <w:t xml:space="preserve"> 149/2010; ze dne 16. 5. 2012, </w:t>
      </w:r>
      <w:proofErr w:type="spellStart"/>
      <w:r>
        <w:t>sp</w:t>
      </w:r>
      <w:proofErr w:type="spellEnd"/>
      <w:r>
        <w:t xml:space="preserve">. zn. 4 </w:t>
      </w:r>
      <w:proofErr w:type="spellStart"/>
      <w:r>
        <w:t>Tdo</w:t>
      </w:r>
      <w:proofErr w:type="spellEnd"/>
      <w:r>
        <w:t xml:space="preserve"> 426/2012</w:t>
      </w:r>
    </w:p>
  </w:footnote>
  <w:footnote w:id="147">
    <w:p w:rsidR="00B53753" w:rsidRDefault="00B53753">
      <w:pPr>
        <w:pStyle w:val="Textpoznpodarou"/>
      </w:pPr>
      <w:r>
        <w:rPr>
          <w:rStyle w:val="Znakapoznpodarou"/>
        </w:rPr>
        <w:footnoteRef/>
      </w:r>
      <w:r>
        <w:t xml:space="preserve"> Usnesení Nejvyššího soudu ze dne 13. 6. 2012, </w:t>
      </w:r>
      <w:proofErr w:type="spellStart"/>
      <w:r>
        <w:t>sp</w:t>
      </w:r>
      <w:proofErr w:type="spellEnd"/>
      <w:r>
        <w:t xml:space="preserve">. zn. 5 </w:t>
      </w:r>
      <w:proofErr w:type="spellStart"/>
      <w:r>
        <w:t>Tdo</w:t>
      </w:r>
      <w:proofErr w:type="spellEnd"/>
      <w:r>
        <w:t xml:space="preserve"> 464/2012; usnesení ze dne 4. 3. 2014, </w:t>
      </w:r>
      <w:proofErr w:type="spellStart"/>
      <w:r>
        <w:t>sp</w:t>
      </w:r>
      <w:proofErr w:type="spellEnd"/>
      <w:r>
        <w:t xml:space="preserve">. zn. 21 </w:t>
      </w:r>
      <w:proofErr w:type="spellStart"/>
      <w:r>
        <w:t>Cdo</w:t>
      </w:r>
      <w:proofErr w:type="spellEnd"/>
      <w:r>
        <w:t xml:space="preserve"> 79/2014; usnesení ze dne 21. 5. 2014, </w:t>
      </w:r>
      <w:proofErr w:type="spellStart"/>
      <w:r>
        <w:t>sp</w:t>
      </w:r>
      <w:proofErr w:type="spellEnd"/>
      <w:r>
        <w:t xml:space="preserve">. zn. 21 </w:t>
      </w:r>
      <w:proofErr w:type="spellStart"/>
      <w:r>
        <w:t>Cdo</w:t>
      </w:r>
      <w:proofErr w:type="spellEnd"/>
      <w:r>
        <w:t xml:space="preserve"> 124/2013 a 21 </w:t>
      </w:r>
      <w:proofErr w:type="spellStart"/>
      <w:r>
        <w:t>Cdo</w:t>
      </w:r>
      <w:proofErr w:type="spellEnd"/>
      <w:r>
        <w:t xml:space="preserve"> 3680/2013.</w:t>
      </w:r>
    </w:p>
  </w:footnote>
  <w:footnote w:id="148">
    <w:p w:rsidR="00B53753" w:rsidRDefault="00B53753" w:rsidP="001602C8">
      <w:pPr>
        <w:pStyle w:val="Textpoznpodarou"/>
      </w:pPr>
      <w:r>
        <w:rPr>
          <w:rStyle w:val="Znakapoznpodarou"/>
        </w:rPr>
        <w:footnoteRef/>
      </w:r>
      <w:r>
        <w:t xml:space="preserve"> Rozsudek Nejvyššího soudu ze dne 22. 5. 2013, </w:t>
      </w:r>
      <w:proofErr w:type="spellStart"/>
      <w:r>
        <w:t>sp</w:t>
      </w:r>
      <w:proofErr w:type="spellEnd"/>
      <w:r>
        <w:t xml:space="preserve">. zn. 30 </w:t>
      </w:r>
      <w:proofErr w:type="spellStart"/>
      <w:r>
        <w:t>Cdo</w:t>
      </w:r>
      <w:proofErr w:type="spellEnd"/>
      <w:r>
        <w:t xml:space="preserve"> 1376/2012.</w:t>
      </w:r>
    </w:p>
  </w:footnote>
  <w:footnote w:id="149">
    <w:p w:rsidR="00B53753" w:rsidRDefault="00B53753" w:rsidP="001602C8">
      <w:pPr>
        <w:pStyle w:val="Textpoznpodarou"/>
      </w:pPr>
      <w:r>
        <w:rPr>
          <w:rStyle w:val="Znakapoznpodarou"/>
        </w:rPr>
        <w:footnoteRef/>
      </w:r>
      <w:r>
        <w:t xml:space="preserve"> Usnesení Nejvyššího soudu ze dne 30. 12. 2013, </w:t>
      </w:r>
      <w:proofErr w:type="spellStart"/>
      <w:r>
        <w:t>sp</w:t>
      </w:r>
      <w:proofErr w:type="spellEnd"/>
      <w:r>
        <w:t xml:space="preserve">. zn. 20 </w:t>
      </w:r>
      <w:proofErr w:type="spellStart"/>
      <w:r>
        <w:t>Cdo</w:t>
      </w:r>
      <w:proofErr w:type="spellEnd"/>
      <w:r>
        <w:t xml:space="preserve"> 1851/2013.</w:t>
      </w:r>
    </w:p>
  </w:footnote>
  <w:footnote w:id="150">
    <w:p w:rsidR="00B53753" w:rsidRDefault="00B53753">
      <w:pPr>
        <w:pStyle w:val="Textpoznpodarou"/>
      </w:pPr>
      <w:r>
        <w:rPr>
          <w:rStyle w:val="Znakapoznpodarou"/>
        </w:rPr>
        <w:footnoteRef/>
      </w:r>
      <w:r>
        <w:t xml:space="preserve"> Obdobně rovněž usnesení Nejvyššího soudu ze dne 28. 5. 2014, </w:t>
      </w:r>
      <w:proofErr w:type="spellStart"/>
      <w:r>
        <w:t>sp</w:t>
      </w:r>
      <w:proofErr w:type="spellEnd"/>
      <w:r>
        <w:t xml:space="preserve">. zn. 26 </w:t>
      </w:r>
      <w:proofErr w:type="spellStart"/>
      <w:r>
        <w:t>Cdo</w:t>
      </w:r>
      <w:proofErr w:type="spellEnd"/>
      <w:r>
        <w:t xml:space="preserve"> 1087/2014.</w:t>
      </w:r>
    </w:p>
  </w:footnote>
  <w:footnote w:id="151">
    <w:p w:rsidR="00B53753" w:rsidRDefault="00B53753" w:rsidP="00051B76">
      <w:pPr>
        <w:pStyle w:val="Textpoznpodarou"/>
      </w:pPr>
      <w:r>
        <w:rPr>
          <w:rStyle w:val="Znakapoznpodarou"/>
        </w:rPr>
        <w:footnoteRef/>
      </w:r>
      <w:r>
        <w:t xml:space="preserve"> Srov. rozsudek Nejvyššího soudu ze dne 12. 9. 2012, </w:t>
      </w:r>
      <w:proofErr w:type="spellStart"/>
      <w:r>
        <w:t>sp</w:t>
      </w:r>
      <w:proofErr w:type="spellEnd"/>
      <w:r>
        <w:t xml:space="preserve">. zn. 28 </w:t>
      </w:r>
      <w:proofErr w:type="spellStart"/>
      <w:r>
        <w:t>Cdo</w:t>
      </w:r>
      <w:proofErr w:type="spellEnd"/>
      <w:r>
        <w:t xml:space="preserve"> 599/2012, a </w:t>
      </w:r>
      <w:r w:rsidRPr="006A291A">
        <w:rPr>
          <w:highlight w:val="yellow"/>
        </w:rPr>
        <w:t>komentář v </w:t>
      </w:r>
      <w:r>
        <w:rPr>
          <w:highlight w:val="yellow"/>
        </w:rPr>
        <w:t>bodu</w:t>
      </w:r>
      <w:r w:rsidRPr="006A291A">
        <w:rPr>
          <w:highlight w:val="yellow"/>
        </w:rPr>
        <w:t xml:space="preserve"> 5.3 této kapitoly</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E8D"/>
    <w:multiLevelType w:val="hybridMultilevel"/>
    <w:tmpl w:val="4B72DB3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
    <w:nsid w:val="30F741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415F13"/>
    <w:multiLevelType w:val="multilevel"/>
    <w:tmpl w:val="B830B4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8843FC0"/>
    <w:multiLevelType w:val="hybridMultilevel"/>
    <w:tmpl w:val="3A646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1"/>
    <w:rsid w:val="00000F8C"/>
    <w:rsid w:val="00001BD3"/>
    <w:rsid w:val="0000579D"/>
    <w:rsid w:val="0000784F"/>
    <w:rsid w:val="00014357"/>
    <w:rsid w:val="00014746"/>
    <w:rsid w:val="00020B81"/>
    <w:rsid w:val="00022831"/>
    <w:rsid w:val="00026E1B"/>
    <w:rsid w:val="00027091"/>
    <w:rsid w:val="000308D2"/>
    <w:rsid w:val="000404B8"/>
    <w:rsid w:val="00040BBA"/>
    <w:rsid w:val="00050EB7"/>
    <w:rsid w:val="00051B76"/>
    <w:rsid w:val="00053855"/>
    <w:rsid w:val="00060C27"/>
    <w:rsid w:val="000657E2"/>
    <w:rsid w:val="00067550"/>
    <w:rsid w:val="00067C59"/>
    <w:rsid w:val="00071B48"/>
    <w:rsid w:val="00072852"/>
    <w:rsid w:val="00075BD0"/>
    <w:rsid w:val="0007728D"/>
    <w:rsid w:val="00081072"/>
    <w:rsid w:val="00082F58"/>
    <w:rsid w:val="000841BE"/>
    <w:rsid w:val="000848D0"/>
    <w:rsid w:val="000861D7"/>
    <w:rsid w:val="00086E48"/>
    <w:rsid w:val="0009406F"/>
    <w:rsid w:val="00095AE0"/>
    <w:rsid w:val="00096E54"/>
    <w:rsid w:val="000A015D"/>
    <w:rsid w:val="000A0C99"/>
    <w:rsid w:val="000A0DF8"/>
    <w:rsid w:val="000A2AF9"/>
    <w:rsid w:val="000A500E"/>
    <w:rsid w:val="000B072E"/>
    <w:rsid w:val="000B7710"/>
    <w:rsid w:val="000C014D"/>
    <w:rsid w:val="000C0FB1"/>
    <w:rsid w:val="000C298E"/>
    <w:rsid w:val="000C3135"/>
    <w:rsid w:val="000C3924"/>
    <w:rsid w:val="000C5F19"/>
    <w:rsid w:val="000C614F"/>
    <w:rsid w:val="000C73F5"/>
    <w:rsid w:val="000D0ADA"/>
    <w:rsid w:val="000D3211"/>
    <w:rsid w:val="000D4D81"/>
    <w:rsid w:val="000E3BAE"/>
    <w:rsid w:val="000F0CAF"/>
    <w:rsid w:val="000F202C"/>
    <w:rsid w:val="000F4BF7"/>
    <w:rsid w:val="000F5356"/>
    <w:rsid w:val="000F66CC"/>
    <w:rsid w:val="000F6875"/>
    <w:rsid w:val="000F6AA9"/>
    <w:rsid w:val="000F6B47"/>
    <w:rsid w:val="000F7468"/>
    <w:rsid w:val="0010276A"/>
    <w:rsid w:val="00105B8A"/>
    <w:rsid w:val="00106B5F"/>
    <w:rsid w:val="00117945"/>
    <w:rsid w:val="00121748"/>
    <w:rsid w:val="001227F4"/>
    <w:rsid w:val="0012315C"/>
    <w:rsid w:val="00123DE0"/>
    <w:rsid w:val="001270ED"/>
    <w:rsid w:val="00132C91"/>
    <w:rsid w:val="00133C38"/>
    <w:rsid w:val="00134E79"/>
    <w:rsid w:val="00134E84"/>
    <w:rsid w:val="001375CB"/>
    <w:rsid w:val="0014301A"/>
    <w:rsid w:val="00143C35"/>
    <w:rsid w:val="00152F72"/>
    <w:rsid w:val="00153E34"/>
    <w:rsid w:val="00157F96"/>
    <w:rsid w:val="001602C8"/>
    <w:rsid w:val="0016328D"/>
    <w:rsid w:val="00163B88"/>
    <w:rsid w:val="00172FA2"/>
    <w:rsid w:val="001754D2"/>
    <w:rsid w:val="00175CCC"/>
    <w:rsid w:val="0018074A"/>
    <w:rsid w:val="001807A4"/>
    <w:rsid w:val="001843AF"/>
    <w:rsid w:val="00185961"/>
    <w:rsid w:val="0018721C"/>
    <w:rsid w:val="00193D97"/>
    <w:rsid w:val="00195E51"/>
    <w:rsid w:val="001A23A5"/>
    <w:rsid w:val="001A6030"/>
    <w:rsid w:val="001B18EB"/>
    <w:rsid w:val="001B1E94"/>
    <w:rsid w:val="001B541A"/>
    <w:rsid w:val="001B6390"/>
    <w:rsid w:val="001C4E47"/>
    <w:rsid w:val="001C742F"/>
    <w:rsid w:val="001D1224"/>
    <w:rsid w:val="001D59A2"/>
    <w:rsid w:val="001D5FCC"/>
    <w:rsid w:val="001E57A5"/>
    <w:rsid w:val="001E7987"/>
    <w:rsid w:val="001F2C48"/>
    <w:rsid w:val="001F5E42"/>
    <w:rsid w:val="001F6D7B"/>
    <w:rsid w:val="001F7785"/>
    <w:rsid w:val="0020050D"/>
    <w:rsid w:val="0020262E"/>
    <w:rsid w:val="0020426A"/>
    <w:rsid w:val="00207E4B"/>
    <w:rsid w:val="00214518"/>
    <w:rsid w:val="00215C35"/>
    <w:rsid w:val="00216DCB"/>
    <w:rsid w:val="00217405"/>
    <w:rsid w:val="00221615"/>
    <w:rsid w:val="0022213D"/>
    <w:rsid w:val="00222B71"/>
    <w:rsid w:val="00225580"/>
    <w:rsid w:val="0022570C"/>
    <w:rsid w:val="002301EB"/>
    <w:rsid w:val="00231EFD"/>
    <w:rsid w:val="00235B44"/>
    <w:rsid w:val="00237695"/>
    <w:rsid w:val="00240020"/>
    <w:rsid w:val="00244DA4"/>
    <w:rsid w:val="00250E70"/>
    <w:rsid w:val="00255574"/>
    <w:rsid w:val="002606BF"/>
    <w:rsid w:val="00262F61"/>
    <w:rsid w:val="00263C04"/>
    <w:rsid w:val="002700A1"/>
    <w:rsid w:val="0027053C"/>
    <w:rsid w:val="002716F9"/>
    <w:rsid w:val="00274473"/>
    <w:rsid w:val="0027682D"/>
    <w:rsid w:val="0028282E"/>
    <w:rsid w:val="0028365D"/>
    <w:rsid w:val="002838A4"/>
    <w:rsid w:val="00284EBD"/>
    <w:rsid w:val="00286664"/>
    <w:rsid w:val="00290F7E"/>
    <w:rsid w:val="002927AD"/>
    <w:rsid w:val="00292C1D"/>
    <w:rsid w:val="0029385F"/>
    <w:rsid w:val="0029703D"/>
    <w:rsid w:val="002A0F11"/>
    <w:rsid w:val="002A1A48"/>
    <w:rsid w:val="002A44B4"/>
    <w:rsid w:val="002A632F"/>
    <w:rsid w:val="002B0D9F"/>
    <w:rsid w:val="002B2924"/>
    <w:rsid w:val="002B30D4"/>
    <w:rsid w:val="002B34F3"/>
    <w:rsid w:val="002C1244"/>
    <w:rsid w:val="002D51BC"/>
    <w:rsid w:val="002E218D"/>
    <w:rsid w:val="002E2C22"/>
    <w:rsid w:val="002E4143"/>
    <w:rsid w:val="002E4A8F"/>
    <w:rsid w:val="002E73DF"/>
    <w:rsid w:val="002F082F"/>
    <w:rsid w:val="002F0CC8"/>
    <w:rsid w:val="002F0CD3"/>
    <w:rsid w:val="002F1751"/>
    <w:rsid w:val="002F42DF"/>
    <w:rsid w:val="002F4D32"/>
    <w:rsid w:val="002F65C6"/>
    <w:rsid w:val="002F7AE1"/>
    <w:rsid w:val="003000E9"/>
    <w:rsid w:val="003038FD"/>
    <w:rsid w:val="00310775"/>
    <w:rsid w:val="00317460"/>
    <w:rsid w:val="003237B9"/>
    <w:rsid w:val="00331644"/>
    <w:rsid w:val="00334157"/>
    <w:rsid w:val="0033483E"/>
    <w:rsid w:val="0033552C"/>
    <w:rsid w:val="0033584B"/>
    <w:rsid w:val="00343B1E"/>
    <w:rsid w:val="0034469B"/>
    <w:rsid w:val="00344C89"/>
    <w:rsid w:val="00347F43"/>
    <w:rsid w:val="00347F5E"/>
    <w:rsid w:val="00351567"/>
    <w:rsid w:val="00351D60"/>
    <w:rsid w:val="003640AB"/>
    <w:rsid w:val="00364453"/>
    <w:rsid w:val="00367312"/>
    <w:rsid w:val="0036788A"/>
    <w:rsid w:val="003710D5"/>
    <w:rsid w:val="0037506A"/>
    <w:rsid w:val="00380349"/>
    <w:rsid w:val="00380C3E"/>
    <w:rsid w:val="00384F04"/>
    <w:rsid w:val="003939F9"/>
    <w:rsid w:val="0039590A"/>
    <w:rsid w:val="003A2844"/>
    <w:rsid w:val="003A48AE"/>
    <w:rsid w:val="003A4D68"/>
    <w:rsid w:val="003B0631"/>
    <w:rsid w:val="003B192F"/>
    <w:rsid w:val="003B2EEF"/>
    <w:rsid w:val="003B4834"/>
    <w:rsid w:val="003C0511"/>
    <w:rsid w:val="003C4FF4"/>
    <w:rsid w:val="003C62FB"/>
    <w:rsid w:val="003D796E"/>
    <w:rsid w:val="003E107F"/>
    <w:rsid w:val="003E2679"/>
    <w:rsid w:val="003E60C7"/>
    <w:rsid w:val="003F7C0F"/>
    <w:rsid w:val="003F7E67"/>
    <w:rsid w:val="00402CCE"/>
    <w:rsid w:val="004034DD"/>
    <w:rsid w:val="00404C51"/>
    <w:rsid w:val="004054E6"/>
    <w:rsid w:val="00406C8D"/>
    <w:rsid w:val="00412D05"/>
    <w:rsid w:val="00413476"/>
    <w:rsid w:val="004209BC"/>
    <w:rsid w:val="004216F7"/>
    <w:rsid w:val="00422DEF"/>
    <w:rsid w:val="0042408D"/>
    <w:rsid w:val="004264AE"/>
    <w:rsid w:val="0042764B"/>
    <w:rsid w:val="0043088E"/>
    <w:rsid w:val="00430E9F"/>
    <w:rsid w:val="004319D1"/>
    <w:rsid w:val="0043228E"/>
    <w:rsid w:val="00433A90"/>
    <w:rsid w:val="00437D0A"/>
    <w:rsid w:val="004457CC"/>
    <w:rsid w:val="00451717"/>
    <w:rsid w:val="00452387"/>
    <w:rsid w:val="00452E00"/>
    <w:rsid w:val="00461BB5"/>
    <w:rsid w:val="00463F4E"/>
    <w:rsid w:val="00470A7D"/>
    <w:rsid w:val="00470B15"/>
    <w:rsid w:val="004724A1"/>
    <w:rsid w:val="00482575"/>
    <w:rsid w:val="004831FD"/>
    <w:rsid w:val="00485A75"/>
    <w:rsid w:val="00487229"/>
    <w:rsid w:val="004907B9"/>
    <w:rsid w:val="00491049"/>
    <w:rsid w:val="00492CA1"/>
    <w:rsid w:val="0049454B"/>
    <w:rsid w:val="00495DE8"/>
    <w:rsid w:val="00496702"/>
    <w:rsid w:val="00497A86"/>
    <w:rsid w:val="00497CCA"/>
    <w:rsid w:val="004A0051"/>
    <w:rsid w:val="004A149D"/>
    <w:rsid w:val="004B60AC"/>
    <w:rsid w:val="004B63F8"/>
    <w:rsid w:val="004C20AE"/>
    <w:rsid w:val="004C2111"/>
    <w:rsid w:val="004C29D3"/>
    <w:rsid w:val="004D3D3A"/>
    <w:rsid w:val="004D5998"/>
    <w:rsid w:val="004E0B93"/>
    <w:rsid w:val="004E74C3"/>
    <w:rsid w:val="004F0135"/>
    <w:rsid w:val="004F3C55"/>
    <w:rsid w:val="004F441B"/>
    <w:rsid w:val="004F454D"/>
    <w:rsid w:val="004F5704"/>
    <w:rsid w:val="00500115"/>
    <w:rsid w:val="00501837"/>
    <w:rsid w:val="00501C59"/>
    <w:rsid w:val="00501CBD"/>
    <w:rsid w:val="00501F93"/>
    <w:rsid w:val="00503C27"/>
    <w:rsid w:val="0051025D"/>
    <w:rsid w:val="00512098"/>
    <w:rsid w:val="00514094"/>
    <w:rsid w:val="0051472A"/>
    <w:rsid w:val="00515535"/>
    <w:rsid w:val="00515731"/>
    <w:rsid w:val="00516F9C"/>
    <w:rsid w:val="00517EA0"/>
    <w:rsid w:val="00520D46"/>
    <w:rsid w:val="005217C6"/>
    <w:rsid w:val="00522393"/>
    <w:rsid w:val="005243C7"/>
    <w:rsid w:val="00534B38"/>
    <w:rsid w:val="00541E43"/>
    <w:rsid w:val="00544D1A"/>
    <w:rsid w:val="00551DE4"/>
    <w:rsid w:val="00553A13"/>
    <w:rsid w:val="00554A1A"/>
    <w:rsid w:val="005604C1"/>
    <w:rsid w:val="00562166"/>
    <w:rsid w:val="005625C2"/>
    <w:rsid w:val="005645DD"/>
    <w:rsid w:val="00565F2C"/>
    <w:rsid w:val="00565FB5"/>
    <w:rsid w:val="0056735F"/>
    <w:rsid w:val="00573F1D"/>
    <w:rsid w:val="005742B6"/>
    <w:rsid w:val="00581B3A"/>
    <w:rsid w:val="00583B77"/>
    <w:rsid w:val="00585E12"/>
    <w:rsid w:val="0059400F"/>
    <w:rsid w:val="00594BAF"/>
    <w:rsid w:val="00595179"/>
    <w:rsid w:val="005A03EE"/>
    <w:rsid w:val="005A1CD4"/>
    <w:rsid w:val="005A453D"/>
    <w:rsid w:val="005A796B"/>
    <w:rsid w:val="005B6885"/>
    <w:rsid w:val="005C08F5"/>
    <w:rsid w:val="005C0ECB"/>
    <w:rsid w:val="005C415C"/>
    <w:rsid w:val="005C72C1"/>
    <w:rsid w:val="005D0EBA"/>
    <w:rsid w:val="005D561C"/>
    <w:rsid w:val="005D568F"/>
    <w:rsid w:val="005E2A8A"/>
    <w:rsid w:val="005E2D8C"/>
    <w:rsid w:val="005E674D"/>
    <w:rsid w:val="005E67AE"/>
    <w:rsid w:val="005F1796"/>
    <w:rsid w:val="005F44B5"/>
    <w:rsid w:val="005F6FDA"/>
    <w:rsid w:val="005F7333"/>
    <w:rsid w:val="00603AD5"/>
    <w:rsid w:val="00604098"/>
    <w:rsid w:val="00604D20"/>
    <w:rsid w:val="0060628C"/>
    <w:rsid w:val="00613909"/>
    <w:rsid w:val="00623028"/>
    <w:rsid w:val="00623AE5"/>
    <w:rsid w:val="00627426"/>
    <w:rsid w:val="00627F21"/>
    <w:rsid w:val="006334DF"/>
    <w:rsid w:val="006346B2"/>
    <w:rsid w:val="0063616D"/>
    <w:rsid w:val="00636295"/>
    <w:rsid w:val="00636DEB"/>
    <w:rsid w:val="006461DB"/>
    <w:rsid w:val="00646593"/>
    <w:rsid w:val="0065204C"/>
    <w:rsid w:val="006655C3"/>
    <w:rsid w:val="00671D78"/>
    <w:rsid w:val="006726F5"/>
    <w:rsid w:val="00675A7B"/>
    <w:rsid w:val="00675E42"/>
    <w:rsid w:val="006762A7"/>
    <w:rsid w:val="00681E4F"/>
    <w:rsid w:val="0068325B"/>
    <w:rsid w:val="00685B98"/>
    <w:rsid w:val="006A0575"/>
    <w:rsid w:val="006A0D48"/>
    <w:rsid w:val="006A0E34"/>
    <w:rsid w:val="006A209D"/>
    <w:rsid w:val="006A291A"/>
    <w:rsid w:val="006A6FE3"/>
    <w:rsid w:val="006A7588"/>
    <w:rsid w:val="006C0C17"/>
    <w:rsid w:val="006C2B8C"/>
    <w:rsid w:val="006C5513"/>
    <w:rsid w:val="006D2106"/>
    <w:rsid w:val="006D48CF"/>
    <w:rsid w:val="006F126E"/>
    <w:rsid w:val="00700FD6"/>
    <w:rsid w:val="00701D4C"/>
    <w:rsid w:val="007039D9"/>
    <w:rsid w:val="00705BDB"/>
    <w:rsid w:val="007064B4"/>
    <w:rsid w:val="00721D84"/>
    <w:rsid w:val="00723163"/>
    <w:rsid w:val="007245B1"/>
    <w:rsid w:val="00726531"/>
    <w:rsid w:val="00726B15"/>
    <w:rsid w:val="00735465"/>
    <w:rsid w:val="00735518"/>
    <w:rsid w:val="0074540F"/>
    <w:rsid w:val="00750E10"/>
    <w:rsid w:val="0075109F"/>
    <w:rsid w:val="007517C8"/>
    <w:rsid w:val="00753396"/>
    <w:rsid w:val="00756457"/>
    <w:rsid w:val="0075761E"/>
    <w:rsid w:val="007619C6"/>
    <w:rsid w:val="007630F5"/>
    <w:rsid w:val="00763468"/>
    <w:rsid w:val="00764023"/>
    <w:rsid w:val="00773599"/>
    <w:rsid w:val="007747B9"/>
    <w:rsid w:val="00776AB5"/>
    <w:rsid w:val="00782453"/>
    <w:rsid w:val="0078301F"/>
    <w:rsid w:val="00784F18"/>
    <w:rsid w:val="007856F4"/>
    <w:rsid w:val="0078672E"/>
    <w:rsid w:val="00787283"/>
    <w:rsid w:val="00787D57"/>
    <w:rsid w:val="00790434"/>
    <w:rsid w:val="00792502"/>
    <w:rsid w:val="00795C3F"/>
    <w:rsid w:val="00796940"/>
    <w:rsid w:val="007A1C94"/>
    <w:rsid w:val="007A3D12"/>
    <w:rsid w:val="007A4900"/>
    <w:rsid w:val="007A7039"/>
    <w:rsid w:val="007A7A9F"/>
    <w:rsid w:val="007B1CCE"/>
    <w:rsid w:val="007B4398"/>
    <w:rsid w:val="007B4567"/>
    <w:rsid w:val="007C276F"/>
    <w:rsid w:val="007C298B"/>
    <w:rsid w:val="007C4EBE"/>
    <w:rsid w:val="007C5A8A"/>
    <w:rsid w:val="007C6A85"/>
    <w:rsid w:val="007D0B1E"/>
    <w:rsid w:val="007D15C7"/>
    <w:rsid w:val="007D1C99"/>
    <w:rsid w:val="007D6272"/>
    <w:rsid w:val="007D7B8B"/>
    <w:rsid w:val="007E2FBF"/>
    <w:rsid w:val="007E5AF4"/>
    <w:rsid w:val="007E685E"/>
    <w:rsid w:val="007F27DF"/>
    <w:rsid w:val="007F293F"/>
    <w:rsid w:val="007F38AB"/>
    <w:rsid w:val="007F3DDC"/>
    <w:rsid w:val="007F5B33"/>
    <w:rsid w:val="007F7F6A"/>
    <w:rsid w:val="008010D1"/>
    <w:rsid w:val="00803E70"/>
    <w:rsid w:val="008123AF"/>
    <w:rsid w:val="0081570A"/>
    <w:rsid w:val="00816256"/>
    <w:rsid w:val="00816363"/>
    <w:rsid w:val="00816B52"/>
    <w:rsid w:val="00816CB0"/>
    <w:rsid w:val="00820918"/>
    <w:rsid w:val="00823504"/>
    <w:rsid w:val="00824D9A"/>
    <w:rsid w:val="008262A0"/>
    <w:rsid w:val="008304A6"/>
    <w:rsid w:val="00832070"/>
    <w:rsid w:val="00832F20"/>
    <w:rsid w:val="008334B1"/>
    <w:rsid w:val="0083717C"/>
    <w:rsid w:val="00845937"/>
    <w:rsid w:val="008510D1"/>
    <w:rsid w:val="008549AC"/>
    <w:rsid w:val="00854C7B"/>
    <w:rsid w:val="00863DA8"/>
    <w:rsid w:val="00865CDB"/>
    <w:rsid w:val="0087259B"/>
    <w:rsid w:val="00876DBA"/>
    <w:rsid w:val="00881E5D"/>
    <w:rsid w:val="00882F7C"/>
    <w:rsid w:val="00886055"/>
    <w:rsid w:val="00886983"/>
    <w:rsid w:val="008955E0"/>
    <w:rsid w:val="00895EC5"/>
    <w:rsid w:val="008A4AC3"/>
    <w:rsid w:val="008A6A5E"/>
    <w:rsid w:val="008B1438"/>
    <w:rsid w:val="008B7988"/>
    <w:rsid w:val="008C0A5A"/>
    <w:rsid w:val="008C1528"/>
    <w:rsid w:val="008C6B69"/>
    <w:rsid w:val="008C7F8F"/>
    <w:rsid w:val="008D4D89"/>
    <w:rsid w:val="008D60FB"/>
    <w:rsid w:val="008D722E"/>
    <w:rsid w:val="008E0081"/>
    <w:rsid w:val="008E39AB"/>
    <w:rsid w:val="008E4FE5"/>
    <w:rsid w:val="008E5308"/>
    <w:rsid w:val="008F5BB7"/>
    <w:rsid w:val="009008B6"/>
    <w:rsid w:val="00900DD6"/>
    <w:rsid w:val="009024D5"/>
    <w:rsid w:val="009027A6"/>
    <w:rsid w:val="009052FA"/>
    <w:rsid w:val="00905742"/>
    <w:rsid w:val="00905ABA"/>
    <w:rsid w:val="009078C3"/>
    <w:rsid w:val="009125ED"/>
    <w:rsid w:val="00913F0F"/>
    <w:rsid w:val="00917C69"/>
    <w:rsid w:val="009232B5"/>
    <w:rsid w:val="00923946"/>
    <w:rsid w:val="009259A8"/>
    <w:rsid w:val="0092607C"/>
    <w:rsid w:val="009264EF"/>
    <w:rsid w:val="0093100C"/>
    <w:rsid w:val="009335C4"/>
    <w:rsid w:val="00934D8B"/>
    <w:rsid w:val="00941BE0"/>
    <w:rsid w:val="00952E52"/>
    <w:rsid w:val="00954B75"/>
    <w:rsid w:val="00966F68"/>
    <w:rsid w:val="00967B5E"/>
    <w:rsid w:val="009709EB"/>
    <w:rsid w:val="00973E9A"/>
    <w:rsid w:val="00974D21"/>
    <w:rsid w:val="00981DDB"/>
    <w:rsid w:val="009849BE"/>
    <w:rsid w:val="009857B6"/>
    <w:rsid w:val="00992801"/>
    <w:rsid w:val="00992FDB"/>
    <w:rsid w:val="009A184B"/>
    <w:rsid w:val="009A2B37"/>
    <w:rsid w:val="009A42A6"/>
    <w:rsid w:val="009A45AF"/>
    <w:rsid w:val="009B1EDA"/>
    <w:rsid w:val="009B321C"/>
    <w:rsid w:val="009B60EF"/>
    <w:rsid w:val="009C0901"/>
    <w:rsid w:val="009C109A"/>
    <w:rsid w:val="009C32C4"/>
    <w:rsid w:val="009C3414"/>
    <w:rsid w:val="009C4A9B"/>
    <w:rsid w:val="009C5C9D"/>
    <w:rsid w:val="009C680C"/>
    <w:rsid w:val="009C7A5D"/>
    <w:rsid w:val="009D77EC"/>
    <w:rsid w:val="009E0670"/>
    <w:rsid w:val="009E2856"/>
    <w:rsid w:val="009E56D3"/>
    <w:rsid w:val="009E65C8"/>
    <w:rsid w:val="009F1806"/>
    <w:rsid w:val="009F23D0"/>
    <w:rsid w:val="009F623E"/>
    <w:rsid w:val="009F71FF"/>
    <w:rsid w:val="00A01723"/>
    <w:rsid w:val="00A052E3"/>
    <w:rsid w:val="00A07AB8"/>
    <w:rsid w:val="00A111AC"/>
    <w:rsid w:val="00A119C7"/>
    <w:rsid w:val="00A13257"/>
    <w:rsid w:val="00A15771"/>
    <w:rsid w:val="00A17775"/>
    <w:rsid w:val="00A21C34"/>
    <w:rsid w:val="00A25B08"/>
    <w:rsid w:val="00A30910"/>
    <w:rsid w:val="00A323A5"/>
    <w:rsid w:val="00A37D71"/>
    <w:rsid w:val="00A4063A"/>
    <w:rsid w:val="00A44BA1"/>
    <w:rsid w:val="00A4712B"/>
    <w:rsid w:val="00A50739"/>
    <w:rsid w:val="00A51A90"/>
    <w:rsid w:val="00A523BE"/>
    <w:rsid w:val="00A56F95"/>
    <w:rsid w:val="00A57958"/>
    <w:rsid w:val="00A62730"/>
    <w:rsid w:val="00A636BC"/>
    <w:rsid w:val="00A66B6C"/>
    <w:rsid w:val="00A70062"/>
    <w:rsid w:val="00A72181"/>
    <w:rsid w:val="00A72E3C"/>
    <w:rsid w:val="00A73600"/>
    <w:rsid w:val="00A7385F"/>
    <w:rsid w:val="00A74809"/>
    <w:rsid w:val="00A76083"/>
    <w:rsid w:val="00A803C5"/>
    <w:rsid w:val="00A87309"/>
    <w:rsid w:val="00A90840"/>
    <w:rsid w:val="00A93DAC"/>
    <w:rsid w:val="00AA0FC2"/>
    <w:rsid w:val="00AA5F85"/>
    <w:rsid w:val="00AB0007"/>
    <w:rsid w:val="00AB1063"/>
    <w:rsid w:val="00AB4B0B"/>
    <w:rsid w:val="00AC1278"/>
    <w:rsid w:val="00AC47AA"/>
    <w:rsid w:val="00AC59D7"/>
    <w:rsid w:val="00AD0174"/>
    <w:rsid w:val="00AD71A1"/>
    <w:rsid w:val="00AE1422"/>
    <w:rsid w:val="00AE755A"/>
    <w:rsid w:val="00AF0F4F"/>
    <w:rsid w:val="00B00803"/>
    <w:rsid w:val="00B0080F"/>
    <w:rsid w:val="00B10069"/>
    <w:rsid w:val="00B1019D"/>
    <w:rsid w:val="00B11B7D"/>
    <w:rsid w:val="00B148A3"/>
    <w:rsid w:val="00B152E2"/>
    <w:rsid w:val="00B1602B"/>
    <w:rsid w:val="00B160CA"/>
    <w:rsid w:val="00B20630"/>
    <w:rsid w:val="00B20CDC"/>
    <w:rsid w:val="00B2279F"/>
    <w:rsid w:val="00B248A2"/>
    <w:rsid w:val="00B2729B"/>
    <w:rsid w:val="00B329C6"/>
    <w:rsid w:val="00B34B87"/>
    <w:rsid w:val="00B3626C"/>
    <w:rsid w:val="00B37EF5"/>
    <w:rsid w:val="00B41191"/>
    <w:rsid w:val="00B45391"/>
    <w:rsid w:val="00B46851"/>
    <w:rsid w:val="00B50AE1"/>
    <w:rsid w:val="00B53221"/>
    <w:rsid w:val="00B53368"/>
    <w:rsid w:val="00B53753"/>
    <w:rsid w:val="00B56F5C"/>
    <w:rsid w:val="00B60FCE"/>
    <w:rsid w:val="00B626FB"/>
    <w:rsid w:val="00B662F6"/>
    <w:rsid w:val="00B66623"/>
    <w:rsid w:val="00B71780"/>
    <w:rsid w:val="00B731BE"/>
    <w:rsid w:val="00B77EBE"/>
    <w:rsid w:val="00B82385"/>
    <w:rsid w:val="00B83005"/>
    <w:rsid w:val="00B860F1"/>
    <w:rsid w:val="00B925AF"/>
    <w:rsid w:val="00B934C1"/>
    <w:rsid w:val="00B974B0"/>
    <w:rsid w:val="00BA1665"/>
    <w:rsid w:val="00BB0113"/>
    <w:rsid w:val="00BB07C4"/>
    <w:rsid w:val="00BB1D42"/>
    <w:rsid w:val="00BB2799"/>
    <w:rsid w:val="00BB30F3"/>
    <w:rsid w:val="00BB5B07"/>
    <w:rsid w:val="00BB706B"/>
    <w:rsid w:val="00BB75D8"/>
    <w:rsid w:val="00BC03D7"/>
    <w:rsid w:val="00BC40A3"/>
    <w:rsid w:val="00BD765E"/>
    <w:rsid w:val="00BE1177"/>
    <w:rsid w:val="00BE5579"/>
    <w:rsid w:val="00BE58EB"/>
    <w:rsid w:val="00BE6A25"/>
    <w:rsid w:val="00BE74B1"/>
    <w:rsid w:val="00BF027D"/>
    <w:rsid w:val="00BF5BA2"/>
    <w:rsid w:val="00BF61BA"/>
    <w:rsid w:val="00BF6B04"/>
    <w:rsid w:val="00BF7172"/>
    <w:rsid w:val="00BF777E"/>
    <w:rsid w:val="00BF7DBF"/>
    <w:rsid w:val="00C00987"/>
    <w:rsid w:val="00C0715F"/>
    <w:rsid w:val="00C10B26"/>
    <w:rsid w:val="00C12AB5"/>
    <w:rsid w:val="00C13814"/>
    <w:rsid w:val="00C2369B"/>
    <w:rsid w:val="00C35683"/>
    <w:rsid w:val="00C46583"/>
    <w:rsid w:val="00C5241A"/>
    <w:rsid w:val="00C53E48"/>
    <w:rsid w:val="00C54D5F"/>
    <w:rsid w:val="00C567ED"/>
    <w:rsid w:val="00C60048"/>
    <w:rsid w:val="00C60A1A"/>
    <w:rsid w:val="00C62848"/>
    <w:rsid w:val="00C62AA6"/>
    <w:rsid w:val="00C65AD8"/>
    <w:rsid w:val="00C65D19"/>
    <w:rsid w:val="00C6710A"/>
    <w:rsid w:val="00C72937"/>
    <w:rsid w:val="00C74615"/>
    <w:rsid w:val="00C8285C"/>
    <w:rsid w:val="00C8333F"/>
    <w:rsid w:val="00C86D62"/>
    <w:rsid w:val="00C928D5"/>
    <w:rsid w:val="00C92D7F"/>
    <w:rsid w:val="00C95056"/>
    <w:rsid w:val="00CA1D89"/>
    <w:rsid w:val="00CA4BBC"/>
    <w:rsid w:val="00CB20DA"/>
    <w:rsid w:val="00CB6C35"/>
    <w:rsid w:val="00CB732B"/>
    <w:rsid w:val="00CC34D0"/>
    <w:rsid w:val="00CC41A8"/>
    <w:rsid w:val="00CC4B5F"/>
    <w:rsid w:val="00CD1BC2"/>
    <w:rsid w:val="00CD34D3"/>
    <w:rsid w:val="00CD423F"/>
    <w:rsid w:val="00CD7BE6"/>
    <w:rsid w:val="00CE2198"/>
    <w:rsid w:val="00CE650B"/>
    <w:rsid w:val="00D0237F"/>
    <w:rsid w:val="00D03365"/>
    <w:rsid w:val="00D06B46"/>
    <w:rsid w:val="00D078D7"/>
    <w:rsid w:val="00D16CA7"/>
    <w:rsid w:val="00D2189A"/>
    <w:rsid w:val="00D32DB7"/>
    <w:rsid w:val="00D37C71"/>
    <w:rsid w:val="00D43657"/>
    <w:rsid w:val="00D45DE0"/>
    <w:rsid w:val="00D5199B"/>
    <w:rsid w:val="00D51BE3"/>
    <w:rsid w:val="00D520F9"/>
    <w:rsid w:val="00D57F41"/>
    <w:rsid w:val="00D637C0"/>
    <w:rsid w:val="00D63BE7"/>
    <w:rsid w:val="00D63EF8"/>
    <w:rsid w:val="00D66EF4"/>
    <w:rsid w:val="00D679C0"/>
    <w:rsid w:val="00D71265"/>
    <w:rsid w:val="00D86390"/>
    <w:rsid w:val="00D86B16"/>
    <w:rsid w:val="00D911CC"/>
    <w:rsid w:val="00D91CAB"/>
    <w:rsid w:val="00D933F3"/>
    <w:rsid w:val="00D96B57"/>
    <w:rsid w:val="00DA05B9"/>
    <w:rsid w:val="00DA3675"/>
    <w:rsid w:val="00DA6B6F"/>
    <w:rsid w:val="00DA6FAD"/>
    <w:rsid w:val="00DA7ABD"/>
    <w:rsid w:val="00DB606F"/>
    <w:rsid w:val="00DB6549"/>
    <w:rsid w:val="00DB6C09"/>
    <w:rsid w:val="00DC0B4E"/>
    <w:rsid w:val="00DC1510"/>
    <w:rsid w:val="00DC23A7"/>
    <w:rsid w:val="00DC440A"/>
    <w:rsid w:val="00DC44ED"/>
    <w:rsid w:val="00DC52E7"/>
    <w:rsid w:val="00DD59E7"/>
    <w:rsid w:val="00DE05EB"/>
    <w:rsid w:val="00DE4280"/>
    <w:rsid w:val="00DE6689"/>
    <w:rsid w:val="00DF0050"/>
    <w:rsid w:val="00DF3F2E"/>
    <w:rsid w:val="00E061F8"/>
    <w:rsid w:val="00E104AA"/>
    <w:rsid w:val="00E134FE"/>
    <w:rsid w:val="00E1718F"/>
    <w:rsid w:val="00E220CA"/>
    <w:rsid w:val="00E247C4"/>
    <w:rsid w:val="00E26F86"/>
    <w:rsid w:val="00E27878"/>
    <w:rsid w:val="00E3114F"/>
    <w:rsid w:val="00E334D2"/>
    <w:rsid w:val="00E34AE1"/>
    <w:rsid w:val="00E34DB6"/>
    <w:rsid w:val="00E35106"/>
    <w:rsid w:val="00E35DCB"/>
    <w:rsid w:val="00E40FFE"/>
    <w:rsid w:val="00E42575"/>
    <w:rsid w:val="00E42F8B"/>
    <w:rsid w:val="00E4526A"/>
    <w:rsid w:val="00E4540E"/>
    <w:rsid w:val="00E46942"/>
    <w:rsid w:val="00E5068B"/>
    <w:rsid w:val="00E557A4"/>
    <w:rsid w:val="00E6523F"/>
    <w:rsid w:val="00E71978"/>
    <w:rsid w:val="00E71DDD"/>
    <w:rsid w:val="00E72B14"/>
    <w:rsid w:val="00E72C0F"/>
    <w:rsid w:val="00E74C43"/>
    <w:rsid w:val="00E817C4"/>
    <w:rsid w:val="00E82ED9"/>
    <w:rsid w:val="00E84C33"/>
    <w:rsid w:val="00E86A0E"/>
    <w:rsid w:val="00E9347A"/>
    <w:rsid w:val="00E97AE2"/>
    <w:rsid w:val="00EA3961"/>
    <w:rsid w:val="00EA6D42"/>
    <w:rsid w:val="00EB02DC"/>
    <w:rsid w:val="00EB10BC"/>
    <w:rsid w:val="00EB6720"/>
    <w:rsid w:val="00EB6DA5"/>
    <w:rsid w:val="00EB7BAD"/>
    <w:rsid w:val="00EC1B61"/>
    <w:rsid w:val="00EC3A6D"/>
    <w:rsid w:val="00ED0572"/>
    <w:rsid w:val="00ED18B2"/>
    <w:rsid w:val="00ED1D2F"/>
    <w:rsid w:val="00ED391B"/>
    <w:rsid w:val="00EE0B1F"/>
    <w:rsid w:val="00EE0F68"/>
    <w:rsid w:val="00EE2E4F"/>
    <w:rsid w:val="00EE3555"/>
    <w:rsid w:val="00EE6083"/>
    <w:rsid w:val="00EE64FB"/>
    <w:rsid w:val="00EF3192"/>
    <w:rsid w:val="00EF568A"/>
    <w:rsid w:val="00F131F6"/>
    <w:rsid w:val="00F13DE2"/>
    <w:rsid w:val="00F13FEC"/>
    <w:rsid w:val="00F219FD"/>
    <w:rsid w:val="00F21C2C"/>
    <w:rsid w:val="00F22507"/>
    <w:rsid w:val="00F2278A"/>
    <w:rsid w:val="00F24976"/>
    <w:rsid w:val="00F33564"/>
    <w:rsid w:val="00F34AA6"/>
    <w:rsid w:val="00F36B28"/>
    <w:rsid w:val="00F43A83"/>
    <w:rsid w:val="00F453ED"/>
    <w:rsid w:val="00F4589B"/>
    <w:rsid w:val="00F52487"/>
    <w:rsid w:val="00F533F6"/>
    <w:rsid w:val="00F54CDE"/>
    <w:rsid w:val="00F55CE6"/>
    <w:rsid w:val="00F667BA"/>
    <w:rsid w:val="00F73117"/>
    <w:rsid w:val="00F7394C"/>
    <w:rsid w:val="00F779BD"/>
    <w:rsid w:val="00F80F34"/>
    <w:rsid w:val="00F8218B"/>
    <w:rsid w:val="00F825A5"/>
    <w:rsid w:val="00F82F02"/>
    <w:rsid w:val="00F84181"/>
    <w:rsid w:val="00F852A9"/>
    <w:rsid w:val="00F8693A"/>
    <w:rsid w:val="00F905BA"/>
    <w:rsid w:val="00F91734"/>
    <w:rsid w:val="00FA0367"/>
    <w:rsid w:val="00FA0BDB"/>
    <w:rsid w:val="00FA1B30"/>
    <w:rsid w:val="00FA3207"/>
    <w:rsid w:val="00FA6104"/>
    <w:rsid w:val="00FB3F90"/>
    <w:rsid w:val="00FC06CB"/>
    <w:rsid w:val="00FC0F7B"/>
    <w:rsid w:val="00FC133F"/>
    <w:rsid w:val="00FC1550"/>
    <w:rsid w:val="00FC197A"/>
    <w:rsid w:val="00FC20A2"/>
    <w:rsid w:val="00FC63A0"/>
    <w:rsid w:val="00FC7CD9"/>
    <w:rsid w:val="00FD0064"/>
    <w:rsid w:val="00FD5782"/>
    <w:rsid w:val="00FE1F94"/>
    <w:rsid w:val="00FE2634"/>
    <w:rsid w:val="00FE4E53"/>
    <w:rsid w:val="00FE70A7"/>
    <w:rsid w:val="00FF1AFD"/>
    <w:rsid w:val="00FF2626"/>
    <w:rsid w:val="00FF2E5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cs-CZ" w:eastAsia="en-US" w:bidi="ar-SA"/>
      </w:rPr>
    </w:rPrDefault>
    <w:pPrDefault>
      <w:pPr>
        <w:spacing w:line="360" w:lineRule="auto"/>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3EE"/>
  </w:style>
  <w:style w:type="paragraph" w:styleId="Nadpis2">
    <w:name w:val="heading 2"/>
    <w:basedOn w:val="Normln"/>
    <w:next w:val="Normln"/>
    <w:link w:val="Nadpis2Char"/>
    <w:uiPriority w:val="9"/>
    <w:semiHidden/>
    <w:unhideWhenUsed/>
    <w:qFormat/>
    <w:rsid w:val="005F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5F1796"/>
    <w:pPr>
      <w:keepNext/>
      <w:spacing w:line="240" w:lineRule="auto"/>
      <w:ind w:firstLine="0"/>
      <w:outlineLvl w:val="2"/>
    </w:pPr>
    <w:rPr>
      <w:rFonts w:ascii="Cambria" w:eastAsia="Times New Roman" w:hAnsi="Cambria" w:cs="Arial"/>
      <w:b/>
      <w:bCs/>
      <w:i/>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5A03EE"/>
    <w:pPr>
      <w:spacing w:line="240" w:lineRule="auto"/>
      <w:ind w:firstLine="357"/>
    </w:pPr>
    <w:rPr>
      <w:sz w:val="20"/>
      <w:szCs w:val="20"/>
    </w:rPr>
  </w:style>
  <w:style w:type="character" w:customStyle="1" w:styleId="TextpoznpodarouChar">
    <w:name w:val="Text pozn. pod čarou Char"/>
    <w:basedOn w:val="Standardnpsmoodstavce"/>
    <w:link w:val="Textpoznpodarou"/>
    <w:uiPriority w:val="99"/>
    <w:semiHidden/>
    <w:rsid w:val="005A03EE"/>
    <w:rPr>
      <w:sz w:val="20"/>
      <w:szCs w:val="20"/>
    </w:rPr>
  </w:style>
  <w:style w:type="character" w:styleId="Znakapoznpodarou">
    <w:name w:val="footnote reference"/>
    <w:basedOn w:val="Standardnpsmoodstavce"/>
    <w:semiHidden/>
    <w:unhideWhenUsed/>
    <w:rsid w:val="00B1019D"/>
    <w:rPr>
      <w:vertAlign w:val="superscript"/>
    </w:rPr>
  </w:style>
  <w:style w:type="paragraph" w:styleId="Odstavecseseznamem">
    <w:name w:val="List Paragraph"/>
    <w:basedOn w:val="Normln"/>
    <w:uiPriority w:val="34"/>
    <w:qFormat/>
    <w:rsid w:val="003E60C7"/>
    <w:pPr>
      <w:ind w:left="720"/>
      <w:contextualSpacing/>
    </w:pPr>
  </w:style>
  <w:style w:type="paragraph" w:styleId="Zhlav">
    <w:name w:val="header"/>
    <w:basedOn w:val="Normln"/>
    <w:link w:val="ZhlavChar"/>
    <w:uiPriority w:val="99"/>
    <w:semiHidden/>
    <w:unhideWhenUsed/>
    <w:rsid w:val="004E74C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E74C3"/>
  </w:style>
  <w:style w:type="paragraph" w:styleId="Zpat">
    <w:name w:val="footer"/>
    <w:basedOn w:val="Normln"/>
    <w:link w:val="ZpatChar"/>
    <w:uiPriority w:val="99"/>
    <w:unhideWhenUsed/>
    <w:rsid w:val="004E74C3"/>
    <w:pPr>
      <w:tabs>
        <w:tab w:val="center" w:pos="4536"/>
        <w:tab w:val="right" w:pos="9072"/>
      </w:tabs>
      <w:spacing w:line="240" w:lineRule="auto"/>
    </w:pPr>
  </w:style>
  <w:style w:type="character" w:customStyle="1" w:styleId="ZpatChar">
    <w:name w:val="Zápatí Char"/>
    <w:basedOn w:val="Standardnpsmoodstavce"/>
    <w:link w:val="Zpat"/>
    <w:uiPriority w:val="99"/>
    <w:rsid w:val="004E74C3"/>
  </w:style>
  <w:style w:type="character" w:styleId="Hypertextovodkaz">
    <w:name w:val="Hyperlink"/>
    <w:basedOn w:val="Standardnpsmoodstavce"/>
    <w:uiPriority w:val="99"/>
    <w:unhideWhenUsed/>
    <w:rsid w:val="00876DBA"/>
    <w:rPr>
      <w:color w:val="0000FF" w:themeColor="hyperlink"/>
      <w:u w:val="single"/>
    </w:rPr>
  </w:style>
  <w:style w:type="character" w:customStyle="1" w:styleId="highlight">
    <w:name w:val="highlight"/>
    <w:basedOn w:val="Standardnpsmoodstavce"/>
    <w:rsid w:val="004054E6"/>
  </w:style>
  <w:style w:type="character" w:customStyle="1" w:styleId="Nadpis3Char">
    <w:name w:val="Nadpis 3 Char"/>
    <w:basedOn w:val="Standardnpsmoodstavce"/>
    <w:link w:val="Nadpis3"/>
    <w:semiHidden/>
    <w:rsid w:val="005F1796"/>
    <w:rPr>
      <w:rFonts w:ascii="Cambria" w:eastAsia="Times New Roman" w:hAnsi="Cambria" w:cs="Arial"/>
      <w:b/>
      <w:bCs/>
      <w:i/>
      <w:szCs w:val="26"/>
      <w:lang w:eastAsia="cs-CZ"/>
    </w:rPr>
  </w:style>
  <w:style w:type="character" w:customStyle="1" w:styleId="Nadpis2Char">
    <w:name w:val="Nadpis 2 Char"/>
    <w:basedOn w:val="Standardnpsmoodstavce"/>
    <w:link w:val="Nadpis2"/>
    <w:uiPriority w:val="9"/>
    <w:semiHidden/>
    <w:rsid w:val="005F1796"/>
    <w:rPr>
      <w:rFonts w:asciiTheme="majorHAnsi" w:eastAsiaTheme="majorEastAsia" w:hAnsiTheme="majorHAnsi" w:cstheme="majorBidi"/>
      <w:b/>
      <w:bCs/>
      <w:color w:val="4F81BD" w:themeColor="accent1"/>
      <w:sz w:val="26"/>
      <w:szCs w:val="26"/>
    </w:rPr>
  </w:style>
  <w:style w:type="character" w:styleId="Odkaznakoment">
    <w:name w:val="annotation reference"/>
    <w:semiHidden/>
    <w:rsid w:val="004C2111"/>
    <w:rPr>
      <w:sz w:val="16"/>
      <w:szCs w:val="16"/>
    </w:rPr>
  </w:style>
  <w:style w:type="paragraph" w:styleId="Textkomente">
    <w:name w:val="annotation text"/>
    <w:basedOn w:val="Normln"/>
    <w:link w:val="TextkomenteChar"/>
    <w:semiHidden/>
    <w:rsid w:val="004C2111"/>
    <w:pPr>
      <w:spacing w:line="240" w:lineRule="auto"/>
      <w:ind w:firstLine="0"/>
      <w:jc w:val="left"/>
    </w:pPr>
    <w:rPr>
      <w:rFonts w:eastAsia="Times New Roman" w:cs="Times New Roman"/>
      <w:sz w:val="20"/>
      <w:szCs w:val="20"/>
      <w:lang w:eastAsia="cs-CZ"/>
    </w:rPr>
  </w:style>
  <w:style w:type="character" w:customStyle="1" w:styleId="TextkomenteChar">
    <w:name w:val="Text komentáře Char"/>
    <w:basedOn w:val="Standardnpsmoodstavce"/>
    <w:link w:val="Textkomente"/>
    <w:semiHidden/>
    <w:rsid w:val="004C2111"/>
    <w:rPr>
      <w:rFonts w:eastAsia="Times New Roman" w:cs="Times New Roman"/>
      <w:sz w:val="20"/>
      <w:szCs w:val="20"/>
      <w:lang w:eastAsia="cs-CZ"/>
    </w:rPr>
  </w:style>
  <w:style w:type="character" w:styleId="Siln">
    <w:name w:val="Strong"/>
    <w:qFormat/>
    <w:rsid w:val="004C2111"/>
    <w:rPr>
      <w:b/>
      <w:bCs/>
    </w:rPr>
  </w:style>
  <w:style w:type="paragraph" w:styleId="Textbubliny">
    <w:name w:val="Balloon Text"/>
    <w:basedOn w:val="Normln"/>
    <w:link w:val="TextbublinyChar"/>
    <w:uiPriority w:val="99"/>
    <w:semiHidden/>
    <w:unhideWhenUsed/>
    <w:rsid w:val="004C211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cs-CZ" w:eastAsia="en-US" w:bidi="ar-SA"/>
      </w:rPr>
    </w:rPrDefault>
    <w:pPrDefault>
      <w:pPr>
        <w:spacing w:line="360" w:lineRule="auto"/>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3EE"/>
  </w:style>
  <w:style w:type="paragraph" w:styleId="Nadpis2">
    <w:name w:val="heading 2"/>
    <w:basedOn w:val="Normln"/>
    <w:next w:val="Normln"/>
    <w:link w:val="Nadpis2Char"/>
    <w:uiPriority w:val="9"/>
    <w:semiHidden/>
    <w:unhideWhenUsed/>
    <w:qFormat/>
    <w:rsid w:val="005F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5F1796"/>
    <w:pPr>
      <w:keepNext/>
      <w:spacing w:line="240" w:lineRule="auto"/>
      <w:ind w:firstLine="0"/>
      <w:outlineLvl w:val="2"/>
    </w:pPr>
    <w:rPr>
      <w:rFonts w:ascii="Cambria" w:eastAsia="Times New Roman" w:hAnsi="Cambria" w:cs="Arial"/>
      <w:b/>
      <w:bCs/>
      <w:i/>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5A03EE"/>
    <w:pPr>
      <w:spacing w:line="240" w:lineRule="auto"/>
      <w:ind w:firstLine="357"/>
    </w:pPr>
    <w:rPr>
      <w:sz w:val="20"/>
      <w:szCs w:val="20"/>
    </w:rPr>
  </w:style>
  <w:style w:type="character" w:customStyle="1" w:styleId="TextpoznpodarouChar">
    <w:name w:val="Text pozn. pod čarou Char"/>
    <w:basedOn w:val="Standardnpsmoodstavce"/>
    <w:link w:val="Textpoznpodarou"/>
    <w:uiPriority w:val="99"/>
    <w:semiHidden/>
    <w:rsid w:val="005A03EE"/>
    <w:rPr>
      <w:sz w:val="20"/>
      <w:szCs w:val="20"/>
    </w:rPr>
  </w:style>
  <w:style w:type="character" w:styleId="Znakapoznpodarou">
    <w:name w:val="footnote reference"/>
    <w:basedOn w:val="Standardnpsmoodstavce"/>
    <w:semiHidden/>
    <w:unhideWhenUsed/>
    <w:rsid w:val="00B1019D"/>
    <w:rPr>
      <w:vertAlign w:val="superscript"/>
    </w:rPr>
  </w:style>
  <w:style w:type="paragraph" w:styleId="Odstavecseseznamem">
    <w:name w:val="List Paragraph"/>
    <w:basedOn w:val="Normln"/>
    <w:uiPriority w:val="34"/>
    <w:qFormat/>
    <w:rsid w:val="003E60C7"/>
    <w:pPr>
      <w:ind w:left="720"/>
      <w:contextualSpacing/>
    </w:pPr>
  </w:style>
  <w:style w:type="paragraph" w:styleId="Zhlav">
    <w:name w:val="header"/>
    <w:basedOn w:val="Normln"/>
    <w:link w:val="ZhlavChar"/>
    <w:uiPriority w:val="99"/>
    <w:semiHidden/>
    <w:unhideWhenUsed/>
    <w:rsid w:val="004E74C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E74C3"/>
  </w:style>
  <w:style w:type="paragraph" w:styleId="Zpat">
    <w:name w:val="footer"/>
    <w:basedOn w:val="Normln"/>
    <w:link w:val="ZpatChar"/>
    <w:uiPriority w:val="99"/>
    <w:unhideWhenUsed/>
    <w:rsid w:val="004E74C3"/>
    <w:pPr>
      <w:tabs>
        <w:tab w:val="center" w:pos="4536"/>
        <w:tab w:val="right" w:pos="9072"/>
      </w:tabs>
      <w:spacing w:line="240" w:lineRule="auto"/>
    </w:pPr>
  </w:style>
  <w:style w:type="character" w:customStyle="1" w:styleId="ZpatChar">
    <w:name w:val="Zápatí Char"/>
    <w:basedOn w:val="Standardnpsmoodstavce"/>
    <w:link w:val="Zpat"/>
    <w:uiPriority w:val="99"/>
    <w:rsid w:val="004E74C3"/>
  </w:style>
  <w:style w:type="character" w:styleId="Hypertextovodkaz">
    <w:name w:val="Hyperlink"/>
    <w:basedOn w:val="Standardnpsmoodstavce"/>
    <w:uiPriority w:val="99"/>
    <w:unhideWhenUsed/>
    <w:rsid w:val="00876DBA"/>
    <w:rPr>
      <w:color w:val="0000FF" w:themeColor="hyperlink"/>
      <w:u w:val="single"/>
    </w:rPr>
  </w:style>
  <w:style w:type="character" w:customStyle="1" w:styleId="highlight">
    <w:name w:val="highlight"/>
    <w:basedOn w:val="Standardnpsmoodstavce"/>
    <w:rsid w:val="004054E6"/>
  </w:style>
  <w:style w:type="character" w:customStyle="1" w:styleId="Nadpis3Char">
    <w:name w:val="Nadpis 3 Char"/>
    <w:basedOn w:val="Standardnpsmoodstavce"/>
    <w:link w:val="Nadpis3"/>
    <w:semiHidden/>
    <w:rsid w:val="005F1796"/>
    <w:rPr>
      <w:rFonts w:ascii="Cambria" w:eastAsia="Times New Roman" w:hAnsi="Cambria" w:cs="Arial"/>
      <w:b/>
      <w:bCs/>
      <w:i/>
      <w:szCs w:val="26"/>
      <w:lang w:eastAsia="cs-CZ"/>
    </w:rPr>
  </w:style>
  <w:style w:type="character" w:customStyle="1" w:styleId="Nadpis2Char">
    <w:name w:val="Nadpis 2 Char"/>
    <w:basedOn w:val="Standardnpsmoodstavce"/>
    <w:link w:val="Nadpis2"/>
    <w:uiPriority w:val="9"/>
    <w:semiHidden/>
    <w:rsid w:val="005F1796"/>
    <w:rPr>
      <w:rFonts w:asciiTheme="majorHAnsi" w:eastAsiaTheme="majorEastAsia" w:hAnsiTheme="majorHAnsi" w:cstheme="majorBidi"/>
      <w:b/>
      <w:bCs/>
      <w:color w:val="4F81BD" w:themeColor="accent1"/>
      <w:sz w:val="26"/>
      <w:szCs w:val="26"/>
    </w:rPr>
  </w:style>
  <w:style w:type="character" w:styleId="Odkaznakoment">
    <w:name w:val="annotation reference"/>
    <w:semiHidden/>
    <w:rsid w:val="004C2111"/>
    <w:rPr>
      <w:sz w:val="16"/>
      <w:szCs w:val="16"/>
    </w:rPr>
  </w:style>
  <w:style w:type="paragraph" w:styleId="Textkomente">
    <w:name w:val="annotation text"/>
    <w:basedOn w:val="Normln"/>
    <w:link w:val="TextkomenteChar"/>
    <w:semiHidden/>
    <w:rsid w:val="004C2111"/>
    <w:pPr>
      <w:spacing w:line="240" w:lineRule="auto"/>
      <w:ind w:firstLine="0"/>
      <w:jc w:val="left"/>
    </w:pPr>
    <w:rPr>
      <w:rFonts w:eastAsia="Times New Roman" w:cs="Times New Roman"/>
      <w:sz w:val="20"/>
      <w:szCs w:val="20"/>
      <w:lang w:eastAsia="cs-CZ"/>
    </w:rPr>
  </w:style>
  <w:style w:type="character" w:customStyle="1" w:styleId="TextkomenteChar">
    <w:name w:val="Text komentáře Char"/>
    <w:basedOn w:val="Standardnpsmoodstavce"/>
    <w:link w:val="Textkomente"/>
    <w:semiHidden/>
    <w:rsid w:val="004C2111"/>
    <w:rPr>
      <w:rFonts w:eastAsia="Times New Roman" w:cs="Times New Roman"/>
      <w:sz w:val="20"/>
      <w:szCs w:val="20"/>
      <w:lang w:eastAsia="cs-CZ"/>
    </w:rPr>
  </w:style>
  <w:style w:type="character" w:styleId="Siln">
    <w:name w:val="Strong"/>
    <w:qFormat/>
    <w:rsid w:val="004C2111"/>
    <w:rPr>
      <w:b/>
      <w:bCs/>
    </w:rPr>
  </w:style>
  <w:style w:type="paragraph" w:styleId="Textbubliny">
    <w:name w:val="Balloon Text"/>
    <w:basedOn w:val="Normln"/>
    <w:link w:val="TextbublinyChar"/>
    <w:uiPriority w:val="99"/>
    <w:semiHidden/>
    <w:unhideWhenUsed/>
    <w:rsid w:val="004C211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2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131">
      <w:bodyDiv w:val="1"/>
      <w:marLeft w:val="0"/>
      <w:marRight w:val="0"/>
      <w:marTop w:val="0"/>
      <w:marBottom w:val="0"/>
      <w:divBdr>
        <w:top w:val="none" w:sz="0" w:space="0" w:color="auto"/>
        <w:left w:val="none" w:sz="0" w:space="0" w:color="auto"/>
        <w:bottom w:val="none" w:sz="0" w:space="0" w:color="auto"/>
        <w:right w:val="none" w:sz="0" w:space="0" w:color="auto"/>
      </w:divBdr>
    </w:div>
    <w:div w:id="80181741">
      <w:bodyDiv w:val="1"/>
      <w:marLeft w:val="0"/>
      <w:marRight w:val="0"/>
      <w:marTop w:val="0"/>
      <w:marBottom w:val="0"/>
      <w:divBdr>
        <w:top w:val="none" w:sz="0" w:space="0" w:color="auto"/>
        <w:left w:val="none" w:sz="0" w:space="0" w:color="auto"/>
        <w:bottom w:val="none" w:sz="0" w:space="0" w:color="auto"/>
        <w:right w:val="none" w:sz="0" w:space="0" w:color="auto"/>
      </w:divBdr>
    </w:div>
    <w:div w:id="88552062">
      <w:bodyDiv w:val="1"/>
      <w:marLeft w:val="0"/>
      <w:marRight w:val="0"/>
      <w:marTop w:val="0"/>
      <w:marBottom w:val="0"/>
      <w:divBdr>
        <w:top w:val="none" w:sz="0" w:space="0" w:color="auto"/>
        <w:left w:val="none" w:sz="0" w:space="0" w:color="auto"/>
        <w:bottom w:val="none" w:sz="0" w:space="0" w:color="auto"/>
        <w:right w:val="none" w:sz="0" w:space="0" w:color="auto"/>
      </w:divBdr>
    </w:div>
    <w:div w:id="98646937">
      <w:bodyDiv w:val="1"/>
      <w:marLeft w:val="0"/>
      <w:marRight w:val="0"/>
      <w:marTop w:val="0"/>
      <w:marBottom w:val="0"/>
      <w:divBdr>
        <w:top w:val="none" w:sz="0" w:space="0" w:color="auto"/>
        <w:left w:val="none" w:sz="0" w:space="0" w:color="auto"/>
        <w:bottom w:val="none" w:sz="0" w:space="0" w:color="auto"/>
        <w:right w:val="none" w:sz="0" w:space="0" w:color="auto"/>
      </w:divBdr>
    </w:div>
    <w:div w:id="236786921">
      <w:bodyDiv w:val="1"/>
      <w:marLeft w:val="0"/>
      <w:marRight w:val="0"/>
      <w:marTop w:val="0"/>
      <w:marBottom w:val="0"/>
      <w:divBdr>
        <w:top w:val="none" w:sz="0" w:space="0" w:color="auto"/>
        <w:left w:val="none" w:sz="0" w:space="0" w:color="auto"/>
        <w:bottom w:val="none" w:sz="0" w:space="0" w:color="auto"/>
        <w:right w:val="none" w:sz="0" w:space="0" w:color="auto"/>
      </w:divBdr>
    </w:div>
    <w:div w:id="466708527">
      <w:bodyDiv w:val="1"/>
      <w:marLeft w:val="0"/>
      <w:marRight w:val="0"/>
      <w:marTop w:val="0"/>
      <w:marBottom w:val="0"/>
      <w:divBdr>
        <w:top w:val="none" w:sz="0" w:space="0" w:color="auto"/>
        <w:left w:val="none" w:sz="0" w:space="0" w:color="auto"/>
        <w:bottom w:val="none" w:sz="0" w:space="0" w:color="auto"/>
        <w:right w:val="none" w:sz="0" w:space="0" w:color="auto"/>
      </w:divBdr>
    </w:div>
    <w:div w:id="550120432">
      <w:bodyDiv w:val="1"/>
      <w:marLeft w:val="0"/>
      <w:marRight w:val="0"/>
      <w:marTop w:val="0"/>
      <w:marBottom w:val="0"/>
      <w:divBdr>
        <w:top w:val="none" w:sz="0" w:space="0" w:color="auto"/>
        <w:left w:val="none" w:sz="0" w:space="0" w:color="auto"/>
        <w:bottom w:val="none" w:sz="0" w:space="0" w:color="auto"/>
        <w:right w:val="none" w:sz="0" w:space="0" w:color="auto"/>
      </w:divBdr>
    </w:div>
    <w:div w:id="573390789">
      <w:bodyDiv w:val="1"/>
      <w:marLeft w:val="0"/>
      <w:marRight w:val="0"/>
      <w:marTop w:val="0"/>
      <w:marBottom w:val="0"/>
      <w:divBdr>
        <w:top w:val="none" w:sz="0" w:space="0" w:color="auto"/>
        <w:left w:val="none" w:sz="0" w:space="0" w:color="auto"/>
        <w:bottom w:val="none" w:sz="0" w:space="0" w:color="auto"/>
        <w:right w:val="none" w:sz="0" w:space="0" w:color="auto"/>
      </w:divBdr>
    </w:div>
    <w:div w:id="720978074">
      <w:bodyDiv w:val="1"/>
      <w:marLeft w:val="0"/>
      <w:marRight w:val="0"/>
      <w:marTop w:val="0"/>
      <w:marBottom w:val="0"/>
      <w:divBdr>
        <w:top w:val="none" w:sz="0" w:space="0" w:color="auto"/>
        <w:left w:val="none" w:sz="0" w:space="0" w:color="auto"/>
        <w:bottom w:val="none" w:sz="0" w:space="0" w:color="auto"/>
        <w:right w:val="none" w:sz="0" w:space="0" w:color="auto"/>
      </w:divBdr>
    </w:div>
    <w:div w:id="814419024">
      <w:bodyDiv w:val="1"/>
      <w:marLeft w:val="0"/>
      <w:marRight w:val="0"/>
      <w:marTop w:val="0"/>
      <w:marBottom w:val="0"/>
      <w:divBdr>
        <w:top w:val="none" w:sz="0" w:space="0" w:color="auto"/>
        <w:left w:val="none" w:sz="0" w:space="0" w:color="auto"/>
        <w:bottom w:val="none" w:sz="0" w:space="0" w:color="auto"/>
        <w:right w:val="none" w:sz="0" w:space="0" w:color="auto"/>
      </w:divBdr>
    </w:div>
    <w:div w:id="857741039">
      <w:bodyDiv w:val="1"/>
      <w:marLeft w:val="0"/>
      <w:marRight w:val="0"/>
      <w:marTop w:val="0"/>
      <w:marBottom w:val="0"/>
      <w:divBdr>
        <w:top w:val="none" w:sz="0" w:space="0" w:color="auto"/>
        <w:left w:val="none" w:sz="0" w:space="0" w:color="auto"/>
        <w:bottom w:val="none" w:sz="0" w:space="0" w:color="auto"/>
        <w:right w:val="none" w:sz="0" w:space="0" w:color="auto"/>
      </w:divBdr>
    </w:div>
    <w:div w:id="1203245692">
      <w:bodyDiv w:val="1"/>
      <w:marLeft w:val="0"/>
      <w:marRight w:val="0"/>
      <w:marTop w:val="0"/>
      <w:marBottom w:val="0"/>
      <w:divBdr>
        <w:top w:val="none" w:sz="0" w:space="0" w:color="auto"/>
        <w:left w:val="none" w:sz="0" w:space="0" w:color="auto"/>
        <w:bottom w:val="none" w:sz="0" w:space="0" w:color="auto"/>
        <w:right w:val="none" w:sz="0" w:space="0" w:color="auto"/>
      </w:divBdr>
    </w:div>
    <w:div w:id="1244990209">
      <w:bodyDiv w:val="1"/>
      <w:marLeft w:val="0"/>
      <w:marRight w:val="0"/>
      <w:marTop w:val="0"/>
      <w:marBottom w:val="0"/>
      <w:divBdr>
        <w:top w:val="none" w:sz="0" w:space="0" w:color="auto"/>
        <w:left w:val="none" w:sz="0" w:space="0" w:color="auto"/>
        <w:bottom w:val="none" w:sz="0" w:space="0" w:color="auto"/>
        <w:right w:val="none" w:sz="0" w:space="0" w:color="auto"/>
      </w:divBdr>
    </w:div>
    <w:div w:id="1336692239">
      <w:bodyDiv w:val="1"/>
      <w:marLeft w:val="0"/>
      <w:marRight w:val="0"/>
      <w:marTop w:val="0"/>
      <w:marBottom w:val="0"/>
      <w:divBdr>
        <w:top w:val="none" w:sz="0" w:space="0" w:color="auto"/>
        <w:left w:val="none" w:sz="0" w:space="0" w:color="auto"/>
        <w:bottom w:val="none" w:sz="0" w:space="0" w:color="auto"/>
        <w:right w:val="none" w:sz="0" w:space="0" w:color="auto"/>
      </w:divBdr>
    </w:div>
    <w:div w:id="1567448371">
      <w:bodyDiv w:val="1"/>
      <w:marLeft w:val="0"/>
      <w:marRight w:val="0"/>
      <w:marTop w:val="0"/>
      <w:marBottom w:val="0"/>
      <w:divBdr>
        <w:top w:val="none" w:sz="0" w:space="0" w:color="auto"/>
        <w:left w:val="none" w:sz="0" w:space="0" w:color="auto"/>
        <w:bottom w:val="none" w:sz="0" w:space="0" w:color="auto"/>
        <w:right w:val="none" w:sz="0" w:space="0" w:color="auto"/>
      </w:divBdr>
    </w:div>
    <w:div w:id="1668364914">
      <w:bodyDiv w:val="1"/>
      <w:marLeft w:val="0"/>
      <w:marRight w:val="0"/>
      <w:marTop w:val="0"/>
      <w:marBottom w:val="0"/>
      <w:divBdr>
        <w:top w:val="none" w:sz="0" w:space="0" w:color="auto"/>
        <w:left w:val="none" w:sz="0" w:space="0" w:color="auto"/>
        <w:bottom w:val="none" w:sz="0" w:space="0" w:color="auto"/>
        <w:right w:val="none" w:sz="0" w:space="0" w:color="auto"/>
      </w:divBdr>
    </w:div>
    <w:div w:id="1766881788">
      <w:bodyDiv w:val="1"/>
      <w:marLeft w:val="0"/>
      <w:marRight w:val="0"/>
      <w:marTop w:val="0"/>
      <w:marBottom w:val="0"/>
      <w:divBdr>
        <w:top w:val="none" w:sz="0" w:space="0" w:color="auto"/>
        <w:left w:val="none" w:sz="0" w:space="0" w:color="auto"/>
        <w:bottom w:val="none" w:sz="0" w:space="0" w:color="auto"/>
        <w:right w:val="none" w:sz="0" w:space="0" w:color="auto"/>
      </w:divBdr>
    </w:div>
    <w:div w:id="1800950047">
      <w:bodyDiv w:val="1"/>
      <w:marLeft w:val="0"/>
      <w:marRight w:val="0"/>
      <w:marTop w:val="0"/>
      <w:marBottom w:val="0"/>
      <w:divBdr>
        <w:top w:val="none" w:sz="0" w:space="0" w:color="auto"/>
        <w:left w:val="none" w:sz="0" w:space="0" w:color="auto"/>
        <w:bottom w:val="none" w:sz="0" w:space="0" w:color="auto"/>
        <w:right w:val="none" w:sz="0" w:space="0" w:color="auto"/>
      </w:divBdr>
    </w:div>
    <w:div w:id="1889299616">
      <w:bodyDiv w:val="1"/>
      <w:marLeft w:val="0"/>
      <w:marRight w:val="0"/>
      <w:marTop w:val="0"/>
      <w:marBottom w:val="0"/>
      <w:divBdr>
        <w:top w:val="none" w:sz="0" w:space="0" w:color="auto"/>
        <w:left w:val="none" w:sz="0" w:space="0" w:color="auto"/>
        <w:bottom w:val="none" w:sz="0" w:space="0" w:color="auto"/>
        <w:right w:val="none" w:sz="0" w:space="0" w:color="auto"/>
      </w:divBdr>
    </w:div>
    <w:div w:id="1987203282">
      <w:bodyDiv w:val="1"/>
      <w:marLeft w:val="0"/>
      <w:marRight w:val="0"/>
      <w:marTop w:val="0"/>
      <w:marBottom w:val="0"/>
      <w:divBdr>
        <w:top w:val="none" w:sz="0" w:space="0" w:color="auto"/>
        <w:left w:val="none" w:sz="0" w:space="0" w:color="auto"/>
        <w:bottom w:val="none" w:sz="0" w:space="0" w:color="auto"/>
        <w:right w:val="none" w:sz="0" w:space="0" w:color="auto"/>
      </w:divBdr>
      <w:divsChild>
        <w:div w:id="292443764">
          <w:marLeft w:val="0"/>
          <w:marRight w:val="0"/>
          <w:marTop w:val="0"/>
          <w:marBottom w:val="0"/>
          <w:divBdr>
            <w:top w:val="none" w:sz="0" w:space="0" w:color="auto"/>
            <w:left w:val="none" w:sz="0" w:space="0" w:color="auto"/>
            <w:bottom w:val="none" w:sz="0" w:space="0" w:color="auto"/>
            <w:right w:val="none" w:sz="0" w:space="0" w:color="auto"/>
          </w:divBdr>
        </w:div>
        <w:div w:id="917717360">
          <w:marLeft w:val="0"/>
          <w:marRight w:val="0"/>
          <w:marTop w:val="0"/>
          <w:marBottom w:val="0"/>
          <w:divBdr>
            <w:top w:val="none" w:sz="0" w:space="0" w:color="auto"/>
            <w:left w:val="none" w:sz="0" w:space="0" w:color="auto"/>
            <w:bottom w:val="none" w:sz="0" w:space="0" w:color="auto"/>
            <w:right w:val="none" w:sz="0" w:space="0" w:color="auto"/>
          </w:divBdr>
        </w:div>
      </w:divsChild>
    </w:div>
    <w:div w:id="1991904734">
      <w:bodyDiv w:val="1"/>
      <w:marLeft w:val="0"/>
      <w:marRight w:val="0"/>
      <w:marTop w:val="0"/>
      <w:marBottom w:val="0"/>
      <w:divBdr>
        <w:top w:val="none" w:sz="0" w:space="0" w:color="auto"/>
        <w:left w:val="none" w:sz="0" w:space="0" w:color="auto"/>
        <w:bottom w:val="none" w:sz="0" w:space="0" w:color="auto"/>
        <w:right w:val="none" w:sz="0" w:space="0" w:color="auto"/>
      </w:divBdr>
    </w:div>
    <w:div w:id="2023625463">
      <w:bodyDiv w:val="1"/>
      <w:marLeft w:val="0"/>
      <w:marRight w:val="0"/>
      <w:marTop w:val="0"/>
      <w:marBottom w:val="0"/>
      <w:divBdr>
        <w:top w:val="none" w:sz="0" w:space="0" w:color="auto"/>
        <w:left w:val="none" w:sz="0" w:space="0" w:color="auto"/>
        <w:bottom w:val="none" w:sz="0" w:space="0" w:color="auto"/>
        <w:right w:val="none" w:sz="0" w:space="0" w:color="auto"/>
      </w:divBdr>
    </w:div>
    <w:div w:id="20727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sa.gov.pl" TargetMode="External"/><Relationship Id="rId3" Type="http://schemas.openxmlformats.org/officeDocument/2006/relationships/hyperlink" Target="http://www.nsoud.cz" TargetMode="External"/><Relationship Id="rId7" Type="http://schemas.openxmlformats.org/officeDocument/2006/relationships/hyperlink" Target="http://www.nssoud.cz" TargetMode="External"/><Relationship Id="rId2" Type="http://schemas.openxmlformats.org/officeDocument/2006/relationships/hyperlink" Target="http://www.nsoud.cz" TargetMode="External"/><Relationship Id="rId1" Type="http://schemas.openxmlformats.org/officeDocument/2006/relationships/hyperlink" Target="http://www.whi-berlin.eu/documents/weiler.pdf" TargetMode="External"/><Relationship Id="rId6" Type="http://schemas.openxmlformats.org/officeDocument/2006/relationships/hyperlink" Target="http://www.nsoud.cz" TargetMode="External"/><Relationship Id="rId5" Type="http://schemas.openxmlformats.org/officeDocument/2006/relationships/hyperlink" Target="http://www.nsoud.cz" TargetMode="External"/><Relationship Id="rId10" Type="http://schemas.openxmlformats.org/officeDocument/2006/relationships/hyperlink" Target="http://curia.europa.eu" TargetMode="External"/><Relationship Id="rId4" Type="http://schemas.openxmlformats.org/officeDocument/2006/relationships/hyperlink" Target="http://www.phil.muni.cz/fil/texty/externismus.html" TargetMode="External"/><Relationship Id="rId9" Type="http://schemas.openxmlformats.org/officeDocument/2006/relationships/hyperlink" Target="http://curia.europ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934AE-D625-478E-910E-4CFCBDC5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10690</Words>
  <Characters>62538</Characters>
  <Application>Microsoft Office Word</Application>
  <DocSecurity>0</DocSecurity>
  <Lines>933</Lines>
  <Paragraphs>129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bonckhe</dc:creator>
  <cp:lastModifiedBy>353</cp:lastModifiedBy>
  <cp:revision>2</cp:revision>
  <cp:lastPrinted>2014-07-30T07:42:00Z</cp:lastPrinted>
  <dcterms:created xsi:type="dcterms:W3CDTF">2016-12-19T20:04:00Z</dcterms:created>
  <dcterms:modified xsi:type="dcterms:W3CDTF">2016-12-19T20:04:00Z</dcterms:modified>
</cp:coreProperties>
</file>